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46A3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t>1. Visão do MVP</w:t>
      </w:r>
    </w:p>
    <w:p w14:paraId="4B66C9CF" w14:textId="77777777" w:rsidR="004E5210" w:rsidRDefault="00000000">
      <w:pPr>
        <w:spacing w:line="269" w:lineRule="auto"/>
      </w:pPr>
      <w:r>
        <w:rPr>
          <w:color w:val="1F2937"/>
        </w:rPr>
        <w:t>O Agiliza Transparência organiza a solicitação, distribuição, resposta, conferência, validação e rastreabilidade de informações entre a STC e as unidades gestoras (UGs). O SEI continua como via formal; a plataforma é o ambiente operacional paralelo.</w:t>
      </w:r>
    </w:p>
    <w:tbl>
      <w:tblPr>
        <w:tblW w:w="0" w:type="auto"/>
        <w:tblBorders>
          <w:top w:val="single" w:sz="5" w:space="0" w:color="0C447C"/>
          <w:left w:val="single" w:sz="5" w:space="0" w:color="0C447C"/>
          <w:bottom w:val="single" w:sz="5" w:space="0" w:color="0C447C"/>
          <w:right w:val="single" w:sz="5" w:space="0" w:color="0C447C"/>
          <w:insideH w:val="single" w:sz="5" w:space="0" w:color="0C447C"/>
          <w:insideV w:val="single" w:sz="5" w:space="0" w:color="0C447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E5210" w14:paraId="0AC69E95" w14:textId="77777777">
        <w:tc>
          <w:tcPr>
            <w:tcW w:w="9360" w:type="dxa"/>
            <w:shd w:val="clear" w:color="auto" w:fill="E6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8E7EF" w14:textId="77777777" w:rsidR="004E5210" w:rsidRDefault="00000000">
            <w:pPr>
              <w:spacing w:after="0"/>
            </w:pPr>
            <w:r>
              <w:rPr>
                <w:b/>
                <w:color w:val="0C447C"/>
                <w:sz w:val="19"/>
              </w:rPr>
              <w:t xml:space="preserve">ARQUITETURA FUNCIONAL  </w:t>
            </w:r>
            <w:r>
              <w:rPr>
                <w:color w:val="1F2937"/>
                <w:sz w:val="19"/>
              </w:rPr>
              <w:t>Cada ciclo trata um objeto. O formulário inicial é comum às UGs, mas a coleta de cada UG pode receber versão local aprovada, preservando os envios já realizados.</w:t>
            </w:r>
          </w:p>
        </w:tc>
      </w:tr>
    </w:tbl>
    <w:p w14:paraId="00BE7D0B" w14:textId="77777777" w:rsidR="004E5210" w:rsidRDefault="004E5210">
      <w:pPr>
        <w:spacing w:after="20"/>
      </w:pPr>
    </w:p>
    <w:tbl>
      <w:tblPr>
        <w:tblW w:w="11003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429"/>
        <w:gridCol w:w="6574"/>
      </w:tblGrid>
      <w:tr w:rsidR="004E5210" w:rsidRPr="00A94B7C" w14:paraId="61B00CE6" w14:textId="77777777" w:rsidTr="00A94B7C">
        <w:trPr>
          <w:trHeight w:val="242"/>
          <w:tblHeader/>
        </w:trPr>
        <w:tc>
          <w:tcPr>
            <w:tcW w:w="4429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FCA5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Camada</w:t>
            </w:r>
          </w:p>
        </w:tc>
        <w:tc>
          <w:tcPr>
            <w:tcW w:w="6574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2400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Função no MVP</w:t>
            </w:r>
          </w:p>
        </w:tc>
      </w:tr>
      <w:tr w:rsidR="004E5210" w:rsidRPr="00A94B7C" w14:paraId="31F6D343" w14:textId="77777777" w:rsidTr="00A94B7C">
        <w:trPr>
          <w:trHeight w:val="227"/>
        </w:trPr>
        <w:tc>
          <w:tcPr>
            <w:tcW w:w="4429" w:type="dxa"/>
            <w:shd w:val="clear" w:color="auto" w:fill="FFFFFF"/>
            <w:vAlign w:val="center"/>
          </w:tcPr>
          <w:p w14:paraId="39EBB16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Ciclo</w:t>
            </w:r>
          </w:p>
        </w:tc>
        <w:tc>
          <w:tcPr>
            <w:tcW w:w="6574" w:type="dxa"/>
            <w:shd w:val="clear" w:color="auto" w:fill="FFFFFF"/>
            <w:vAlign w:val="center"/>
          </w:tcPr>
          <w:p w14:paraId="2201967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Define objeto, modelo-base, UGs, comunicação, prazo e regras por UG.</w:t>
            </w:r>
          </w:p>
        </w:tc>
      </w:tr>
      <w:tr w:rsidR="004E5210" w:rsidRPr="00A94B7C" w14:paraId="34370EB0" w14:textId="77777777" w:rsidTr="00A94B7C">
        <w:trPr>
          <w:trHeight w:val="484"/>
        </w:trPr>
        <w:tc>
          <w:tcPr>
            <w:tcW w:w="4429" w:type="dxa"/>
            <w:shd w:val="clear" w:color="auto" w:fill="F3F4F6"/>
            <w:vAlign w:val="center"/>
          </w:tcPr>
          <w:p w14:paraId="65137E5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Modelo-base</w:t>
            </w:r>
          </w:p>
        </w:tc>
        <w:tc>
          <w:tcPr>
            <w:tcW w:w="6574" w:type="dxa"/>
            <w:shd w:val="clear" w:color="auto" w:fill="F3F4F6"/>
            <w:vAlign w:val="center"/>
          </w:tcPr>
          <w:p w14:paraId="37E3AB8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Funciona como um Forms: campos, anexos obrigatórios e orientações iniciais. Todo objeto gera XLSX a partir da versão aprovada.</w:t>
            </w:r>
          </w:p>
        </w:tc>
      </w:tr>
      <w:tr w:rsidR="004E5210" w:rsidRPr="00A94B7C" w14:paraId="359EE597" w14:textId="77777777" w:rsidTr="00A94B7C">
        <w:trPr>
          <w:trHeight w:val="242"/>
        </w:trPr>
        <w:tc>
          <w:tcPr>
            <w:tcW w:w="4429" w:type="dxa"/>
            <w:shd w:val="clear" w:color="auto" w:fill="FFFFFF"/>
            <w:vAlign w:val="center"/>
          </w:tcPr>
          <w:p w14:paraId="3F3B50D3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Coleta local</w:t>
            </w:r>
          </w:p>
        </w:tc>
        <w:tc>
          <w:tcPr>
            <w:tcW w:w="6574" w:type="dxa"/>
            <w:shd w:val="clear" w:color="auto" w:fill="FFFFFF"/>
            <w:vAlign w:val="center"/>
          </w:tcPr>
          <w:p w14:paraId="6198952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Recorte de uma UG, com prazo, toggle, versões e histórico próprios.</w:t>
            </w:r>
          </w:p>
        </w:tc>
      </w:tr>
      <w:tr w:rsidR="004E5210" w:rsidRPr="00A94B7C" w14:paraId="2BB49CED" w14:textId="77777777" w:rsidTr="00A94B7C">
        <w:trPr>
          <w:trHeight w:val="227"/>
        </w:trPr>
        <w:tc>
          <w:tcPr>
            <w:tcW w:w="4429" w:type="dxa"/>
            <w:shd w:val="clear" w:color="auto" w:fill="F3F4F6"/>
            <w:vAlign w:val="center"/>
          </w:tcPr>
          <w:p w14:paraId="2BDAA55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Submissão</w:t>
            </w:r>
          </w:p>
        </w:tc>
        <w:tc>
          <w:tcPr>
            <w:tcW w:w="6574" w:type="dxa"/>
            <w:shd w:val="clear" w:color="auto" w:fill="F3F4F6"/>
            <w:vAlign w:val="center"/>
          </w:tcPr>
          <w:p w14:paraId="7E054853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Entrega identificada de um respondente e adjunta/setor, com XLSX e anexos.</w:t>
            </w:r>
          </w:p>
        </w:tc>
      </w:tr>
    </w:tbl>
    <w:p w14:paraId="4AF504D7" w14:textId="77777777" w:rsidR="004E5210" w:rsidRDefault="004E5210">
      <w:pPr>
        <w:spacing w:after="40"/>
      </w:pPr>
    </w:p>
    <w:p w14:paraId="34C796A8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t>2. Regras que sustentam o fluxo</w:t>
      </w:r>
    </w:p>
    <w:p w14:paraId="67EB69BE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O link é único por ciclo e atende várias UGs; ele não autoriza acesso cruzado entre UGs.</w:t>
      </w:r>
    </w:p>
    <w:p w14:paraId="4D449F80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Analista prepara; Especialista aprova a criação e cada versão local solicitada por UG.</w:t>
      </w:r>
    </w:p>
    <w:p w14:paraId="5CA7C68B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Uma mudança solicitada por uma UG permanece no mesmo ciclo, gera versão exclusiva e pede complemento apenas do requisito modificado.</w:t>
      </w:r>
    </w:p>
    <w:p w14:paraId="2B78A28E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O ciclo não se encerra automaticamente, inclusive após reiteração ou prazo vencido.</w:t>
      </w:r>
    </w:p>
    <w:p w14:paraId="4E00F62E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Envio depois do vencimento exige justificativa obrigatória, com autor, data e motivo registrados.</w:t>
      </w:r>
    </w:p>
    <w:p w14:paraId="15F11F53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t>3. Funcionalidades por perfil</w:t>
      </w:r>
    </w:p>
    <w:p w14:paraId="5E4B7A1C" w14:textId="77777777" w:rsidR="004E5210" w:rsidRDefault="00000000">
      <w:pPr>
        <w:pStyle w:val="Ttulo2"/>
      </w:pPr>
      <w:r>
        <w:rPr>
          <w:rFonts w:ascii="Calibri" w:hAnsi="Calibri"/>
          <w:color w:val="185FA5"/>
          <w:sz w:val="23"/>
        </w:rPr>
        <w:t>3.1 Analista STC</w:t>
      </w:r>
    </w:p>
    <w:tbl>
      <w:tblPr>
        <w:tblW w:w="10943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405"/>
        <w:gridCol w:w="6538"/>
      </w:tblGrid>
      <w:tr w:rsidR="004E5210" w:rsidRPr="00A94B7C" w14:paraId="12087978" w14:textId="77777777" w:rsidTr="00A94B7C">
        <w:trPr>
          <w:trHeight w:val="262"/>
          <w:tblHeader/>
        </w:trPr>
        <w:tc>
          <w:tcPr>
            <w:tcW w:w="4405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85E8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Dimensão</w:t>
            </w:r>
          </w:p>
        </w:tc>
        <w:tc>
          <w:tcPr>
            <w:tcW w:w="6538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F89D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Permissão no MVP</w:t>
            </w:r>
          </w:p>
        </w:tc>
      </w:tr>
      <w:tr w:rsidR="004E5210" w:rsidRPr="00A94B7C" w14:paraId="434B0621" w14:textId="77777777" w:rsidTr="00A94B7C">
        <w:trPr>
          <w:trHeight w:val="245"/>
        </w:trPr>
        <w:tc>
          <w:tcPr>
            <w:tcW w:w="4405" w:type="dxa"/>
            <w:shd w:val="clear" w:color="auto" w:fill="FFFFFF"/>
            <w:vAlign w:val="center"/>
          </w:tcPr>
          <w:p w14:paraId="6A289B13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Configuração</w:t>
            </w:r>
          </w:p>
        </w:tc>
        <w:tc>
          <w:tcPr>
            <w:tcW w:w="6538" w:type="dxa"/>
            <w:shd w:val="clear" w:color="auto" w:fill="FFFFFF"/>
            <w:vAlign w:val="center"/>
          </w:tcPr>
          <w:p w14:paraId="32D227B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Cria o ciclo; configura modelo-base, UGs, campos, anexos, prazo, notificação e toggle por UG.</w:t>
            </w:r>
          </w:p>
        </w:tc>
      </w:tr>
      <w:tr w:rsidR="004E5210" w:rsidRPr="00A94B7C" w14:paraId="23C5B4E6" w14:textId="77777777" w:rsidTr="00A94B7C">
        <w:trPr>
          <w:trHeight w:val="262"/>
        </w:trPr>
        <w:tc>
          <w:tcPr>
            <w:tcW w:w="4405" w:type="dxa"/>
            <w:shd w:val="clear" w:color="auto" w:fill="F3F4F6"/>
            <w:vAlign w:val="center"/>
          </w:tcPr>
          <w:p w14:paraId="3036E79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Alteração local</w:t>
            </w:r>
          </w:p>
        </w:tc>
        <w:tc>
          <w:tcPr>
            <w:tcW w:w="6538" w:type="dxa"/>
            <w:shd w:val="clear" w:color="auto" w:fill="F3F4F6"/>
            <w:vAlign w:val="center"/>
          </w:tcPr>
          <w:p w14:paraId="45608B1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Analisa solicitação da UG, aceita ou recusa e prepara a nova versão para aprovação.</w:t>
            </w:r>
          </w:p>
        </w:tc>
      </w:tr>
      <w:tr w:rsidR="004E5210" w:rsidRPr="00A94B7C" w14:paraId="48BF6C01" w14:textId="77777777" w:rsidTr="00A94B7C">
        <w:trPr>
          <w:trHeight w:val="262"/>
        </w:trPr>
        <w:tc>
          <w:tcPr>
            <w:tcW w:w="4405" w:type="dxa"/>
            <w:shd w:val="clear" w:color="auto" w:fill="FFFFFF"/>
            <w:vAlign w:val="center"/>
          </w:tcPr>
          <w:p w14:paraId="72B99B7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Administração</w:t>
            </w:r>
          </w:p>
        </w:tc>
        <w:tc>
          <w:tcPr>
            <w:tcW w:w="6538" w:type="dxa"/>
            <w:shd w:val="clear" w:color="auto" w:fill="FFFFFF"/>
            <w:vAlign w:val="center"/>
          </w:tcPr>
          <w:p w14:paraId="558E221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Cadastra/atualiza pontos focais e adjuntas; acompanha ciclos, UGs e submissões.</w:t>
            </w:r>
          </w:p>
        </w:tc>
      </w:tr>
      <w:tr w:rsidR="004E5210" w:rsidRPr="00A94B7C" w14:paraId="09EEA1F5" w14:textId="77777777" w:rsidTr="00A94B7C">
        <w:trPr>
          <w:trHeight w:val="262"/>
        </w:trPr>
        <w:tc>
          <w:tcPr>
            <w:tcW w:w="4405" w:type="dxa"/>
            <w:shd w:val="clear" w:color="auto" w:fill="F3F4F6"/>
            <w:vAlign w:val="center"/>
          </w:tcPr>
          <w:p w14:paraId="729F486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Validação e gestão</w:t>
            </w:r>
          </w:p>
        </w:tc>
        <w:tc>
          <w:tcPr>
            <w:tcW w:w="6538" w:type="dxa"/>
            <w:shd w:val="clear" w:color="auto" w:fill="F3F4F6"/>
            <w:vAlign w:val="center"/>
          </w:tcPr>
          <w:p w14:paraId="63A9F37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Valida respostas; registra SEI, reitera prazo e encerra manualmente com histórico.</w:t>
            </w:r>
          </w:p>
        </w:tc>
      </w:tr>
      <w:tr w:rsidR="004E5210" w:rsidRPr="00A94B7C" w14:paraId="26BDCB1A" w14:textId="77777777" w:rsidTr="00A94B7C">
        <w:trPr>
          <w:trHeight w:val="245"/>
        </w:trPr>
        <w:tc>
          <w:tcPr>
            <w:tcW w:w="4405" w:type="dxa"/>
            <w:shd w:val="clear" w:color="auto" w:fill="FFFFFF"/>
            <w:vAlign w:val="center"/>
          </w:tcPr>
          <w:p w14:paraId="22C7F98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Limite</w:t>
            </w:r>
          </w:p>
        </w:tc>
        <w:tc>
          <w:tcPr>
            <w:tcW w:w="6538" w:type="dxa"/>
            <w:shd w:val="clear" w:color="auto" w:fill="FFFFFF"/>
            <w:vAlign w:val="center"/>
          </w:tcPr>
          <w:p w14:paraId="6CBCEC2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 aprova a versão que preparou: envia a decisão ao Especialista.</w:t>
            </w:r>
          </w:p>
        </w:tc>
      </w:tr>
    </w:tbl>
    <w:p w14:paraId="5A255A05" w14:textId="77777777" w:rsidR="004E5210" w:rsidRDefault="004E5210">
      <w:pPr>
        <w:spacing w:after="40"/>
      </w:pPr>
    </w:p>
    <w:p w14:paraId="65FB46C8" w14:textId="77777777" w:rsidR="004E5210" w:rsidRDefault="00000000">
      <w:pPr>
        <w:pStyle w:val="Ttulo2"/>
      </w:pPr>
      <w:r>
        <w:rPr>
          <w:rFonts w:ascii="Calibri" w:hAnsi="Calibri"/>
          <w:color w:val="185FA5"/>
          <w:sz w:val="23"/>
        </w:rPr>
        <w:lastRenderedPageBreak/>
        <w:t>3.2 Especialista STC</w:t>
      </w:r>
    </w:p>
    <w:tbl>
      <w:tblPr>
        <w:tblW w:w="10973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417"/>
        <w:gridCol w:w="6556"/>
      </w:tblGrid>
      <w:tr w:rsidR="004E5210" w:rsidRPr="00A94B7C" w14:paraId="0C4898B4" w14:textId="77777777" w:rsidTr="00A94B7C">
        <w:trPr>
          <w:trHeight w:val="257"/>
          <w:tblHeader/>
        </w:trPr>
        <w:tc>
          <w:tcPr>
            <w:tcW w:w="4417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7661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Dimensão</w:t>
            </w:r>
          </w:p>
        </w:tc>
        <w:tc>
          <w:tcPr>
            <w:tcW w:w="6556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518E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Permissão no MVP</w:t>
            </w:r>
          </w:p>
        </w:tc>
      </w:tr>
      <w:tr w:rsidR="004E5210" w:rsidRPr="00A94B7C" w14:paraId="3CD9219D" w14:textId="77777777" w:rsidTr="00A94B7C">
        <w:trPr>
          <w:trHeight w:val="241"/>
        </w:trPr>
        <w:tc>
          <w:tcPr>
            <w:tcW w:w="4417" w:type="dxa"/>
            <w:shd w:val="clear" w:color="auto" w:fill="FFFFFF"/>
            <w:vAlign w:val="center"/>
          </w:tcPr>
          <w:p w14:paraId="5816FBD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Gate</w:t>
            </w:r>
          </w:p>
        </w:tc>
        <w:tc>
          <w:tcPr>
            <w:tcW w:w="6556" w:type="dxa"/>
            <w:shd w:val="clear" w:color="auto" w:fill="FFFFFF"/>
            <w:vAlign w:val="center"/>
          </w:tcPr>
          <w:p w14:paraId="04C9629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Aprova criação e versão local; pode solicitar ajustes ao Analista.</w:t>
            </w:r>
          </w:p>
        </w:tc>
      </w:tr>
      <w:tr w:rsidR="004E5210" w:rsidRPr="00A94B7C" w14:paraId="7A271AF4" w14:textId="77777777" w:rsidTr="00A94B7C">
        <w:trPr>
          <w:trHeight w:val="257"/>
        </w:trPr>
        <w:tc>
          <w:tcPr>
            <w:tcW w:w="4417" w:type="dxa"/>
            <w:shd w:val="clear" w:color="auto" w:fill="F3F4F6"/>
            <w:vAlign w:val="center"/>
          </w:tcPr>
          <w:p w14:paraId="70EB522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Administração</w:t>
            </w:r>
          </w:p>
        </w:tc>
        <w:tc>
          <w:tcPr>
            <w:tcW w:w="6556" w:type="dxa"/>
            <w:shd w:val="clear" w:color="auto" w:fill="F3F4F6"/>
            <w:vAlign w:val="center"/>
          </w:tcPr>
          <w:p w14:paraId="0EBCC03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Cadastra/atualiza pontos focais e adjuntas, com autor e data no histórico.</w:t>
            </w:r>
          </w:p>
        </w:tc>
      </w:tr>
      <w:tr w:rsidR="004E5210" w:rsidRPr="00A94B7C" w14:paraId="56BFF81F" w14:textId="77777777" w:rsidTr="00A94B7C">
        <w:trPr>
          <w:trHeight w:val="257"/>
        </w:trPr>
        <w:tc>
          <w:tcPr>
            <w:tcW w:w="4417" w:type="dxa"/>
            <w:shd w:val="clear" w:color="auto" w:fill="FFFFFF"/>
            <w:vAlign w:val="center"/>
          </w:tcPr>
          <w:p w14:paraId="4941F11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Validação e gestão</w:t>
            </w:r>
          </w:p>
        </w:tc>
        <w:tc>
          <w:tcPr>
            <w:tcW w:w="6556" w:type="dxa"/>
            <w:shd w:val="clear" w:color="auto" w:fill="FFFFFF"/>
            <w:vAlign w:val="center"/>
          </w:tcPr>
          <w:p w14:paraId="01CAA8F2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Valida respostas; registra SEI, reitera prazo e encerra manualmente.</w:t>
            </w:r>
          </w:p>
        </w:tc>
      </w:tr>
      <w:tr w:rsidR="004E5210" w:rsidRPr="00A94B7C" w14:paraId="7A676D2E" w14:textId="77777777" w:rsidTr="00A94B7C">
        <w:trPr>
          <w:trHeight w:val="241"/>
        </w:trPr>
        <w:tc>
          <w:tcPr>
            <w:tcW w:w="4417" w:type="dxa"/>
            <w:shd w:val="clear" w:color="auto" w:fill="F3F4F6"/>
            <w:vAlign w:val="center"/>
          </w:tcPr>
          <w:p w14:paraId="1D9E9D8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Limite</w:t>
            </w:r>
          </w:p>
        </w:tc>
        <w:tc>
          <w:tcPr>
            <w:tcW w:w="6556" w:type="dxa"/>
            <w:shd w:val="clear" w:color="auto" w:fill="F3F4F6"/>
            <w:vAlign w:val="center"/>
          </w:tcPr>
          <w:p w14:paraId="690EDDF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Nenhuma ação libera dados de uma UG para outra ou elimina o histórico de envio.</w:t>
            </w:r>
          </w:p>
        </w:tc>
      </w:tr>
    </w:tbl>
    <w:p w14:paraId="6CD46CFA" w14:textId="77777777" w:rsidR="004E5210" w:rsidRDefault="004E5210">
      <w:pPr>
        <w:spacing w:after="40"/>
      </w:pPr>
    </w:p>
    <w:p w14:paraId="2C65A8FC" w14:textId="77777777" w:rsidR="004E5210" w:rsidRDefault="00000000">
      <w:pPr>
        <w:pStyle w:val="Ttulo2"/>
      </w:pPr>
      <w:r>
        <w:rPr>
          <w:rFonts w:ascii="Calibri" w:hAnsi="Calibri"/>
          <w:color w:val="185FA5"/>
          <w:sz w:val="23"/>
        </w:rPr>
        <w:t>3.3 Ponto focal</w:t>
      </w:r>
    </w:p>
    <w:tbl>
      <w:tblPr>
        <w:tblW w:w="10988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423"/>
        <w:gridCol w:w="6565"/>
      </w:tblGrid>
      <w:tr w:rsidR="004E5210" w:rsidRPr="00A94B7C" w14:paraId="324CD970" w14:textId="77777777" w:rsidTr="00A94B7C">
        <w:trPr>
          <w:trHeight w:val="229"/>
          <w:tblHeader/>
        </w:trPr>
        <w:tc>
          <w:tcPr>
            <w:tcW w:w="4423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0904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Dimensão</w:t>
            </w:r>
          </w:p>
        </w:tc>
        <w:tc>
          <w:tcPr>
            <w:tcW w:w="6565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AFD1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Permissão no MVP</w:t>
            </w:r>
          </w:p>
        </w:tc>
      </w:tr>
      <w:tr w:rsidR="004E5210" w:rsidRPr="00A94B7C" w14:paraId="48DE120A" w14:textId="77777777" w:rsidTr="00A94B7C">
        <w:trPr>
          <w:trHeight w:val="215"/>
        </w:trPr>
        <w:tc>
          <w:tcPr>
            <w:tcW w:w="4423" w:type="dxa"/>
            <w:shd w:val="clear" w:color="auto" w:fill="FFFFFF"/>
            <w:vAlign w:val="center"/>
          </w:tcPr>
          <w:p w14:paraId="493E755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Visão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7C28EB7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Vê somente a coleta local, submissões e histórico da própria UG.</w:t>
            </w:r>
          </w:p>
        </w:tc>
      </w:tr>
      <w:tr w:rsidR="004E5210" w:rsidRPr="00A94B7C" w14:paraId="5D242CB2" w14:textId="77777777" w:rsidTr="00A94B7C">
        <w:trPr>
          <w:trHeight w:val="229"/>
        </w:trPr>
        <w:tc>
          <w:tcPr>
            <w:tcW w:w="4423" w:type="dxa"/>
            <w:shd w:val="clear" w:color="auto" w:fill="F3F4F6"/>
            <w:vAlign w:val="center"/>
          </w:tcPr>
          <w:p w14:paraId="0A66F35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Distribuição</w:t>
            </w:r>
          </w:p>
        </w:tc>
        <w:tc>
          <w:tcPr>
            <w:tcW w:w="6565" w:type="dxa"/>
            <w:shd w:val="clear" w:color="auto" w:fill="F3F4F6"/>
            <w:vAlign w:val="center"/>
          </w:tcPr>
          <w:p w14:paraId="2A92CF3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Pré-cadastra, atribui e remove respondentes; pode responder ou apenas monitorar.</w:t>
            </w:r>
          </w:p>
        </w:tc>
      </w:tr>
      <w:tr w:rsidR="004E5210" w:rsidRPr="00A94B7C" w14:paraId="5796D030" w14:textId="77777777" w:rsidTr="00A94B7C">
        <w:trPr>
          <w:trHeight w:val="229"/>
        </w:trPr>
        <w:tc>
          <w:tcPr>
            <w:tcW w:w="4423" w:type="dxa"/>
            <w:shd w:val="clear" w:color="auto" w:fill="FFFFFF"/>
            <w:vAlign w:val="center"/>
          </w:tcPr>
          <w:p w14:paraId="4FD39FF3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Adjuntas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4AC0DB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Quando uma adjunta não está cadastrada, informa o nome para a STC cadastrá-la formalmente.</w:t>
            </w:r>
          </w:p>
        </w:tc>
      </w:tr>
      <w:tr w:rsidR="004E5210" w:rsidRPr="00A94B7C" w14:paraId="31AD38AA" w14:textId="77777777" w:rsidTr="00A94B7C">
        <w:trPr>
          <w:trHeight w:val="229"/>
        </w:trPr>
        <w:tc>
          <w:tcPr>
            <w:tcW w:w="4423" w:type="dxa"/>
            <w:shd w:val="clear" w:color="auto" w:fill="F3F4F6"/>
            <w:vAlign w:val="center"/>
          </w:tcPr>
          <w:p w14:paraId="4FBDAFC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Toggle</w:t>
            </w:r>
          </w:p>
        </w:tc>
        <w:tc>
          <w:tcPr>
            <w:tcW w:w="6565" w:type="dxa"/>
            <w:shd w:val="clear" w:color="auto" w:fill="F3F4F6"/>
            <w:vAlign w:val="center"/>
          </w:tcPr>
          <w:p w14:paraId="3B0E6108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Quando ativo, encaminha ou devolve uma submissão específica com justificativa.</w:t>
            </w:r>
          </w:p>
        </w:tc>
      </w:tr>
      <w:tr w:rsidR="004E5210" w:rsidRPr="00A94B7C" w14:paraId="7CA27619" w14:textId="77777777" w:rsidTr="00A94B7C">
        <w:trPr>
          <w:trHeight w:val="444"/>
        </w:trPr>
        <w:tc>
          <w:tcPr>
            <w:tcW w:w="4423" w:type="dxa"/>
            <w:shd w:val="clear" w:color="auto" w:fill="FFFFFF"/>
            <w:vAlign w:val="center"/>
          </w:tcPr>
          <w:p w14:paraId="5D63938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 ocorrência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502027C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Analisa a sinalização do respondente e formaliza a declaração institucional à STC; pode indicar outra UG responsável.</w:t>
            </w:r>
          </w:p>
        </w:tc>
      </w:tr>
    </w:tbl>
    <w:p w14:paraId="7F998C7F" w14:textId="77777777" w:rsidR="004E5210" w:rsidRDefault="004E5210">
      <w:pPr>
        <w:spacing w:after="40"/>
      </w:pPr>
    </w:p>
    <w:p w14:paraId="40AFE83C" w14:textId="77777777" w:rsidR="004E5210" w:rsidRDefault="00000000">
      <w:pPr>
        <w:pStyle w:val="Ttulo2"/>
      </w:pPr>
      <w:r>
        <w:rPr>
          <w:rFonts w:ascii="Calibri" w:hAnsi="Calibri"/>
          <w:color w:val="185FA5"/>
          <w:sz w:val="23"/>
        </w:rPr>
        <w:t>3.4 Respondente técnico</w:t>
      </w:r>
    </w:p>
    <w:tbl>
      <w:tblPr>
        <w:tblW w:w="11003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429"/>
        <w:gridCol w:w="6574"/>
      </w:tblGrid>
      <w:tr w:rsidR="004E5210" w:rsidRPr="00A94B7C" w14:paraId="657C5DBB" w14:textId="77777777" w:rsidTr="00A94B7C">
        <w:trPr>
          <w:trHeight w:val="240"/>
          <w:tblHeader/>
        </w:trPr>
        <w:tc>
          <w:tcPr>
            <w:tcW w:w="4429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D28A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Dimensão</w:t>
            </w:r>
          </w:p>
        </w:tc>
        <w:tc>
          <w:tcPr>
            <w:tcW w:w="6574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C725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Permissão no MVP</w:t>
            </w:r>
          </w:p>
        </w:tc>
      </w:tr>
      <w:tr w:rsidR="004E5210" w:rsidRPr="00A94B7C" w14:paraId="129DB993" w14:textId="77777777" w:rsidTr="00A94B7C">
        <w:trPr>
          <w:trHeight w:val="465"/>
        </w:trPr>
        <w:tc>
          <w:tcPr>
            <w:tcW w:w="4429" w:type="dxa"/>
            <w:shd w:val="clear" w:color="auto" w:fill="FFFFFF"/>
            <w:vAlign w:val="center"/>
          </w:tcPr>
          <w:p w14:paraId="6F24CA3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Visão</w:t>
            </w:r>
          </w:p>
        </w:tc>
        <w:tc>
          <w:tcPr>
            <w:tcW w:w="6574" w:type="dxa"/>
            <w:shd w:val="clear" w:color="auto" w:fill="FFFFFF"/>
            <w:vAlign w:val="center"/>
          </w:tcPr>
          <w:p w14:paraId="716D8BE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Vê somente as próprias submissões e anexos; pode atuar em mais de uma adjunta atribuída, sem ver outros respondentes ou UGs.</w:t>
            </w:r>
          </w:p>
        </w:tc>
      </w:tr>
      <w:tr w:rsidR="004E5210" w:rsidRPr="00A94B7C" w14:paraId="3B409679" w14:textId="77777777" w:rsidTr="00A94B7C">
        <w:trPr>
          <w:trHeight w:val="240"/>
        </w:trPr>
        <w:tc>
          <w:tcPr>
            <w:tcW w:w="4429" w:type="dxa"/>
            <w:shd w:val="clear" w:color="auto" w:fill="F3F4F6"/>
            <w:vAlign w:val="center"/>
          </w:tcPr>
          <w:p w14:paraId="47E4F1F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Entrega</w:t>
            </w:r>
          </w:p>
        </w:tc>
        <w:tc>
          <w:tcPr>
            <w:tcW w:w="6574" w:type="dxa"/>
            <w:shd w:val="clear" w:color="auto" w:fill="F3F4F6"/>
            <w:vAlign w:val="center"/>
          </w:tcPr>
          <w:p w14:paraId="3523D8C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Baixa a planilha, salva rascunho, envia XLSX, caixas de anexos e corrige devoluções.</w:t>
            </w:r>
          </w:p>
        </w:tc>
      </w:tr>
      <w:tr w:rsidR="004E5210" w:rsidRPr="00A94B7C" w14:paraId="239495B0" w14:textId="77777777" w:rsidTr="00A94B7C">
        <w:trPr>
          <w:trHeight w:val="240"/>
        </w:trPr>
        <w:tc>
          <w:tcPr>
            <w:tcW w:w="4429" w:type="dxa"/>
            <w:shd w:val="clear" w:color="auto" w:fill="FFFFFF"/>
            <w:vAlign w:val="center"/>
          </w:tcPr>
          <w:p w14:paraId="37D978A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Restrição</w:t>
            </w:r>
          </w:p>
        </w:tc>
        <w:tc>
          <w:tcPr>
            <w:tcW w:w="6574" w:type="dxa"/>
            <w:shd w:val="clear" w:color="auto" w:fill="FFFFFF"/>
            <w:vAlign w:val="center"/>
          </w:tcPr>
          <w:p w14:paraId="2CF73AB9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Pode marcar resposta ou anexo como restrito.</w:t>
            </w:r>
          </w:p>
        </w:tc>
      </w:tr>
      <w:tr w:rsidR="004E5210" w:rsidRPr="00A94B7C" w14:paraId="1DCD9B45" w14:textId="77777777" w:rsidTr="00A94B7C">
        <w:trPr>
          <w:trHeight w:val="225"/>
        </w:trPr>
        <w:tc>
          <w:tcPr>
            <w:tcW w:w="4429" w:type="dxa"/>
            <w:shd w:val="clear" w:color="auto" w:fill="F3F4F6"/>
            <w:vAlign w:val="center"/>
          </w:tcPr>
          <w:p w14:paraId="163F498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 ocorrência</w:t>
            </w:r>
          </w:p>
        </w:tc>
        <w:tc>
          <w:tcPr>
            <w:tcW w:w="6574" w:type="dxa"/>
            <w:shd w:val="clear" w:color="auto" w:fill="F3F4F6"/>
            <w:vAlign w:val="center"/>
          </w:tcPr>
          <w:p w14:paraId="14F533B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Sinaliza ausência de informação/atualização ao ponto focal; não envia essa sinalização à STC.</w:t>
            </w:r>
          </w:p>
        </w:tc>
      </w:tr>
    </w:tbl>
    <w:p w14:paraId="73CA6AD9" w14:textId="77777777" w:rsidR="004E5210" w:rsidRDefault="004E5210">
      <w:pPr>
        <w:spacing w:after="40"/>
      </w:pPr>
    </w:p>
    <w:p w14:paraId="3771FD4B" w14:textId="77777777" w:rsidR="004E5210" w:rsidRDefault="00000000">
      <w:r>
        <w:br w:type="page"/>
      </w:r>
    </w:p>
    <w:p w14:paraId="2B0F06D5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lastRenderedPageBreak/>
        <w:t>4. Matriz resumida de permissões</w:t>
      </w:r>
    </w:p>
    <w:tbl>
      <w:tblPr>
        <w:tblW w:w="0" w:type="auto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1999"/>
        <w:gridCol w:w="1999"/>
        <w:gridCol w:w="1999"/>
        <w:gridCol w:w="1999"/>
      </w:tblGrid>
      <w:tr w:rsidR="004E5210" w:rsidRPr="00A94B7C" w14:paraId="5AA83263" w14:textId="77777777">
        <w:trPr>
          <w:tblHeader/>
        </w:trPr>
        <w:tc>
          <w:tcPr>
            <w:tcW w:w="2808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5D20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Ação</w:t>
            </w:r>
          </w:p>
        </w:tc>
        <w:tc>
          <w:tcPr>
            <w:tcW w:w="1512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7164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Analista</w:t>
            </w:r>
          </w:p>
        </w:tc>
        <w:tc>
          <w:tcPr>
            <w:tcW w:w="1512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F9E5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Especialista</w:t>
            </w:r>
          </w:p>
        </w:tc>
        <w:tc>
          <w:tcPr>
            <w:tcW w:w="1728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AD1D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Ponto focal</w:t>
            </w:r>
          </w:p>
        </w:tc>
        <w:tc>
          <w:tcPr>
            <w:tcW w:w="1800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000B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Respondente</w:t>
            </w:r>
          </w:p>
        </w:tc>
      </w:tr>
      <w:tr w:rsidR="004E5210" w:rsidRPr="00A94B7C" w14:paraId="2489E62F" w14:textId="77777777">
        <w:tc>
          <w:tcPr>
            <w:tcW w:w="1999" w:type="dxa"/>
            <w:shd w:val="clear" w:color="auto" w:fill="FFFFFF"/>
            <w:vAlign w:val="center"/>
          </w:tcPr>
          <w:p w14:paraId="01A1EBD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Criar/configurar modelo-base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3BE2465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2B1554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Revisa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1820F8F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43FB8E2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</w:tr>
      <w:tr w:rsidR="004E5210" w:rsidRPr="00A94B7C" w14:paraId="272C8043" w14:textId="77777777">
        <w:tc>
          <w:tcPr>
            <w:tcW w:w="1999" w:type="dxa"/>
            <w:shd w:val="clear" w:color="auto" w:fill="F3F4F6"/>
            <w:vAlign w:val="center"/>
          </w:tcPr>
          <w:p w14:paraId="5950556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Aprovar criação/versão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79E8BFA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710C8FA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09F0DA5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77F5AE4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</w:tr>
      <w:tr w:rsidR="004E5210" w:rsidRPr="00A94B7C" w14:paraId="784188DD" w14:textId="77777777">
        <w:tc>
          <w:tcPr>
            <w:tcW w:w="1999" w:type="dxa"/>
            <w:shd w:val="clear" w:color="auto" w:fill="FFFFFF"/>
            <w:vAlign w:val="center"/>
          </w:tcPr>
          <w:p w14:paraId="71415E7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Solicitar alteração local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3D2943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Analisa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08CBB73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Aprova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620010E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37955DF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Sinaliza</w:t>
            </w:r>
          </w:p>
        </w:tc>
      </w:tr>
      <w:tr w:rsidR="004E5210" w:rsidRPr="00A94B7C" w14:paraId="3E14B6EE" w14:textId="77777777">
        <w:tc>
          <w:tcPr>
            <w:tcW w:w="1999" w:type="dxa"/>
            <w:shd w:val="clear" w:color="auto" w:fill="F3F4F6"/>
            <w:vAlign w:val="center"/>
          </w:tcPr>
          <w:p w14:paraId="052C8DD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Cadastrar focal/adjunta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1949EE7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444ED72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1FA1A1C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Solicita adjunta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16C9281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</w:tr>
      <w:tr w:rsidR="004E5210" w:rsidRPr="00A94B7C" w14:paraId="25F98873" w14:textId="77777777">
        <w:tc>
          <w:tcPr>
            <w:tcW w:w="1999" w:type="dxa"/>
            <w:shd w:val="clear" w:color="auto" w:fill="FFFFFF"/>
            <w:vAlign w:val="center"/>
          </w:tcPr>
          <w:p w14:paraId="3BBA8C7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Administrar respondentes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EACBB4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Vê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4399762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Vê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156643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1A50B9E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</w:tr>
      <w:tr w:rsidR="004E5210" w:rsidRPr="00A94B7C" w14:paraId="617F0627" w14:textId="77777777">
        <w:tc>
          <w:tcPr>
            <w:tcW w:w="1999" w:type="dxa"/>
            <w:shd w:val="clear" w:color="auto" w:fill="F3F4F6"/>
            <w:vAlign w:val="center"/>
          </w:tcPr>
          <w:p w14:paraId="70F464F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Encaminhar/devolver com toggle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6AD2329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1CECBDF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4140ECE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72CDF00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Recebe devolução</w:t>
            </w:r>
          </w:p>
        </w:tc>
      </w:tr>
      <w:tr w:rsidR="004E5210" w:rsidRPr="00A94B7C" w14:paraId="28050910" w14:textId="77777777">
        <w:tc>
          <w:tcPr>
            <w:tcW w:w="1999" w:type="dxa"/>
            <w:shd w:val="clear" w:color="auto" w:fill="FFFFFF"/>
            <w:vAlign w:val="center"/>
          </w:tcPr>
          <w:p w14:paraId="611BE18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Validar resposta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05A6FBD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2172E4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E566FB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5507D1B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</w:tr>
      <w:tr w:rsidR="004E5210" w:rsidRPr="00A94B7C" w14:paraId="25EA5424" w14:textId="77777777">
        <w:tc>
          <w:tcPr>
            <w:tcW w:w="1999" w:type="dxa"/>
            <w:shd w:val="clear" w:color="auto" w:fill="F3F4F6"/>
            <w:vAlign w:val="center"/>
          </w:tcPr>
          <w:p w14:paraId="64396B6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Formalizar não ocorrência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09DA17E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Registra ciência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0ED499D8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Registra ciência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0D1EB688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6E4D48A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Sinaliza</w:t>
            </w:r>
          </w:p>
        </w:tc>
      </w:tr>
      <w:tr w:rsidR="004E5210" w:rsidRPr="00A94B7C" w14:paraId="7730EB8C" w14:textId="77777777">
        <w:tc>
          <w:tcPr>
            <w:tcW w:w="1999" w:type="dxa"/>
            <w:shd w:val="clear" w:color="auto" w:fill="FFFFFF"/>
            <w:vAlign w:val="center"/>
          </w:tcPr>
          <w:p w14:paraId="29AAB89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Reiterar/registrar SEI/encerrar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1577D4E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312F017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7358663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  <w:tc>
          <w:tcPr>
            <w:tcW w:w="1999" w:type="dxa"/>
            <w:shd w:val="clear" w:color="auto" w:fill="FFFFFF"/>
            <w:vAlign w:val="center"/>
          </w:tcPr>
          <w:p w14:paraId="2155E4A2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</w:t>
            </w:r>
          </w:p>
        </w:tc>
      </w:tr>
      <w:tr w:rsidR="004E5210" w:rsidRPr="00A94B7C" w14:paraId="1A7C2AB1" w14:textId="77777777">
        <w:tc>
          <w:tcPr>
            <w:tcW w:w="1999" w:type="dxa"/>
            <w:shd w:val="clear" w:color="auto" w:fill="F3F4F6"/>
            <w:vAlign w:val="center"/>
          </w:tcPr>
          <w:p w14:paraId="2AC94BC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Ver conteúdo restrito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076BE23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50D11252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Sim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7FB8A72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Somente UG</w:t>
            </w:r>
          </w:p>
        </w:tc>
        <w:tc>
          <w:tcPr>
            <w:tcW w:w="1999" w:type="dxa"/>
            <w:shd w:val="clear" w:color="auto" w:fill="F3F4F6"/>
            <w:vAlign w:val="center"/>
          </w:tcPr>
          <w:p w14:paraId="69F29648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Somente próprio</w:t>
            </w:r>
          </w:p>
        </w:tc>
      </w:tr>
    </w:tbl>
    <w:p w14:paraId="287E764F" w14:textId="77777777" w:rsidR="004E5210" w:rsidRDefault="004E5210">
      <w:pPr>
        <w:spacing w:after="40"/>
      </w:pPr>
    </w:p>
    <w:p w14:paraId="168D7C69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t>5. Funcionalidades da plataforma</w:t>
      </w:r>
    </w:p>
    <w:tbl>
      <w:tblPr>
        <w:tblW w:w="10771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547"/>
        <w:gridCol w:w="6224"/>
      </w:tblGrid>
      <w:tr w:rsidR="004E5210" w:rsidRPr="00A94B7C" w14:paraId="33E7033A" w14:textId="77777777" w:rsidTr="00A94B7C">
        <w:trPr>
          <w:trHeight w:val="237"/>
          <w:tblHeader/>
        </w:trPr>
        <w:tc>
          <w:tcPr>
            <w:tcW w:w="4547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A751A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Funcionalidade</w:t>
            </w:r>
          </w:p>
        </w:tc>
        <w:tc>
          <w:tcPr>
            <w:tcW w:w="6224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B3FA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Comportamento no MVP</w:t>
            </w:r>
          </w:p>
        </w:tc>
      </w:tr>
      <w:tr w:rsidR="004E5210" w:rsidRPr="00A94B7C" w14:paraId="0F8A6E59" w14:textId="77777777" w:rsidTr="00A94B7C">
        <w:trPr>
          <w:trHeight w:val="697"/>
        </w:trPr>
        <w:tc>
          <w:tcPr>
            <w:tcW w:w="4547" w:type="dxa"/>
            <w:shd w:val="clear" w:color="auto" w:fill="FFFFFF"/>
            <w:vAlign w:val="center"/>
          </w:tcPr>
          <w:p w14:paraId="40739C1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Modelo-base e planilha</w:t>
            </w:r>
          </w:p>
        </w:tc>
        <w:tc>
          <w:tcPr>
            <w:tcW w:w="6224" w:type="dxa"/>
            <w:shd w:val="clear" w:color="auto" w:fill="FFFFFF"/>
            <w:vAlign w:val="center"/>
          </w:tcPr>
          <w:p w14:paraId="2E370368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Todo objeto gera XLSX pela configuração aprovada. No fixo, a base normativa importada é bloqueada; campos e anexos adicionais permitidos também entram na planilha da versão. No variável, a configuração começa pelos requisitos escolhidos.</w:t>
            </w:r>
          </w:p>
        </w:tc>
      </w:tr>
      <w:tr w:rsidR="004E5210" w:rsidRPr="00A94B7C" w14:paraId="19859303" w14:textId="77777777" w:rsidTr="00A94B7C">
        <w:trPr>
          <w:trHeight w:val="237"/>
        </w:trPr>
        <w:tc>
          <w:tcPr>
            <w:tcW w:w="4547" w:type="dxa"/>
            <w:shd w:val="clear" w:color="auto" w:fill="F3F4F6"/>
            <w:vAlign w:val="center"/>
          </w:tcPr>
          <w:p w14:paraId="4CB7FD5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Versões locais por UG</w:t>
            </w:r>
          </w:p>
        </w:tc>
        <w:tc>
          <w:tcPr>
            <w:tcW w:w="6224" w:type="dxa"/>
            <w:shd w:val="clear" w:color="auto" w:fill="F3F4F6"/>
            <w:vAlign w:val="center"/>
          </w:tcPr>
          <w:p w14:paraId="497E9E23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Uma solicitação aprovada altera somente formulário, requisitos e pendências da UG solicitante.</w:t>
            </w:r>
          </w:p>
        </w:tc>
      </w:tr>
      <w:tr w:rsidR="004E5210" w:rsidRPr="00A94B7C" w14:paraId="1C132BBB" w14:textId="77777777" w:rsidTr="00A94B7C">
        <w:trPr>
          <w:trHeight w:val="697"/>
        </w:trPr>
        <w:tc>
          <w:tcPr>
            <w:tcW w:w="4547" w:type="dxa"/>
            <w:shd w:val="clear" w:color="auto" w:fill="FFFFFF"/>
            <w:vAlign w:val="center"/>
          </w:tcPr>
          <w:p w14:paraId="34659BF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Link e acesso</w:t>
            </w:r>
          </w:p>
        </w:tc>
        <w:tc>
          <w:tcPr>
            <w:tcW w:w="6224" w:type="dxa"/>
            <w:shd w:val="clear" w:color="auto" w:fill="FFFFFF"/>
            <w:vAlign w:val="center"/>
          </w:tcPr>
          <w:p w14:paraId="391CAC8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Link único compartilhado; ponto focal entra por painel autenticado e respondente pelo link. A autorização depende de UG, vínculo e estado. CPF está autorizado como direção, mas vínculo CPF–UG segue pendente.</w:t>
            </w:r>
          </w:p>
        </w:tc>
      </w:tr>
      <w:tr w:rsidR="004E5210" w:rsidRPr="00A94B7C" w14:paraId="4996AE47" w14:textId="77777777" w:rsidTr="00A94B7C">
        <w:trPr>
          <w:trHeight w:val="475"/>
        </w:trPr>
        <w:tc>
          <w:tcPr>
            <w:tcW w:w="4547" w:type="dxa"/>
            <w:shd w:val="clear" w:color="auto" w:fill="F3F4F6"/>
            <w:vAlign w:val="center"/>
          </w:tcPr>
          <w:p w14:paraId="26816E5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SEI</w:t>
            </w:r>
          </w:p>
        </w:tc>
        <w:tc>
          <w:tcPr>
            <w:tcW w:w="6224" w:type="dxa"/>
            <w:shd w:val="clear" w:color="auto" w:fill="F3F4F6"/>
            <w:vAlign w:val="center"/>
          </w:tcPr>
          <w:p w14:paraId="4E73BFE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Permanece a via formal, sem integração automática: a STC registra manualmente o processo, a comunicação e o link; nada retorna automaticamente ao SEI.</w:t>
            </w:r>
          </w:p>
        </w:tc>
      </w:tr>
      <w:tr w:rsidR="004E5210" w:rsidRPr="00A94B7C" w14:paraId="1D707DCD" w14:textId="77777777" w:rsidTr="00A94B7C">
        <w:trPr>
          <w:trHeight w:val="475"/>
        </w:trPr>
        <w:tc>
          <w:tcPr>
            <w:tcW w:w="4547" w:type="dxa"/>
            <w:shd w:val="clear" w:color="auto" w:fill="FFFFFF"/>
            <w:vAlign w:val="center"/>
          </w:tcPr>
          <w:p w14:paraId="34A8C91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XLSX e anexos</w:t>
            </w:r>
          </w:p>
        </w:tc>
        <w:tc>
          <w:tcPr>
            <w:tcW w:w="6224" w:type="dxa"/>
            <w:shd w:val="clear" w:color="auto" w:fill="FFFFFF"/>
            <w:vAlign w:val="center"/>
          </w:tcPr>
          <w:p w14:paraId="4A363A89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Checagem estrutural de planilha e caixas obrigatórias; não há leitura automática de conteúdo nem correlação anexo↔linha.</w:t>
            </w:r>
          </w:p>
        </w:tc>
      </w:tr>
      <w:tr w:rsidR="004E5210" w:rsidRPr="00A94B7C" w14:paraId="1DCFF94D" w14:textId="77777777" w:rsidTr="00A94B7C">
        <w:trPr>
          <w:trHeight w:val="460"/>
        </w:trPr>
        <w:tc>
          <w:tcPr>
            <w:tcW w:w="4547" w:type="dxa"/>
            <w:shd w:val="clear" w:color="auto" w:fill="F3F4F6"/>
            <w:vAlign w:val="center"/>
          </w:tcPr>
          <w:p w14:paraId="7F96E7C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Toggle do focal</w:t>
            </w:r>
          </w:p>
        </w:tc>
        <w:tc>
          <w:tcPr>
            <w:tcW w:w="6224" w:type="dxa"/>
            <w:shd w:val="clear" w:color="auto" w:fill="F3F4F6"/>
            <w:vAlign w:val="center"/>
          </w:tcPr>
          <w:p w14:paraId="5B45BF7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Configurável por UG; ligado, focal encaminha/devolve; desligado, submissão segue à STC. Reavaliar na v2.</w:t>
            </w:r>
          </w:p>
        </w:tc>
      </w:tr>
      <w:tr w:rsidR="004E5210" w:rsidRPr="00A94B7C" w14:paraId="301B77B1" w14:textId="77777777" w:rsidTr="00A94B7C">
        <w:trPr>
          <w:trHeight w:val="475"/>
        </w:trPr>
        <w:tc>
          <w:tcPr>
            <w:tcW w:w="4547" w:type="dxa"/>
            <w:shd w:val="clear" w:color="auto" w:fill="FFFFFF"/>
            <w:vAlign w:val="center"/>
          </w:tcPr>
          <w:p w14:paraId="4E9BBF1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Não ocorrência</w:t>
            </w:r>
          </w:p>
        </w:tc>
        <w:tc>
          <w:tcPr>
            <w:tcW w:w="6224" w:type="dxa"/>
            <w:shd w:val="clear" w:color="auto" w:fill="FFFFFF"/>
            <w:vAlign w:val="center"/>
          </w:tcPr>
          <w:p w14:paraId="47FF8198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Respondente sinaliza; focal formaliza; STC dá ciência e não rejeita. Sem UG responsável indicada, registra/cataloga a ocorrência; com indicação, avalia redirecionamento.</w:t>
            </w:r>
          </w:p>
        </w:tc>
      </w:tr>
      <w:tr w:rsidR="004E5210" w:rsidRPr="00A94B7C" w14:paraId="4338C8A8" w14:textId="77777777" w:rsidTr="00A94B7C">
        <w:trPr>
          <w:trHeight w:val="475"/>
        </w:trPr>
        <w:tc>
          <w:tcPr>
            <w:tcW w:w="4547" w:type="dxa"/>
            <w:shd w:val="clear" w:color="auto" w:fill="F3F4F6"/>
            <w:vAlign w:val="center"/>
          </w:tcPr>
          <w:p w14:paraId="28CB821E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Prazos</w:t>
            </w:r>
          </w:p>
        </w:tc>
        <w:tc>
          <w:tcPr>
            <w:tcW w:w="6224" w:type="dxa"/>
            <w:shd w:val="clear" w:color="auto" w:fill="F3F4F6"/>
            <w:vAlign w:val="center"/>
          </w:tcPr>
          <w:p w14:paraId="224B70F2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 xml:space="preserve">Prazo por UG; envio atrasado exige justificativa; reiteração e encerramento são manuais. A duração e a forma de abertura do </w:t>
            </w:r>
            <w:r w:rsidRPr="00A94B7C">
              <w:rPr>
                <w:color w:val="1F2937"/>
                <w:sz w:val="22"/>
              </w:rPr>
              <w:lastRenderedPageBreak/>
              <w:t>envio atrasado ainda precisam de decisão.</w:t>
            </w:r>
          </w:p>
        </w:tc>
      </w:tr>
      <w:tr w:rsidR="004E5210" w:rsidRPr="00A94B7C" w14:paraId="48D5BAA8" w14:textId="77777777" w:rsidTr="00A94B7C">
        <w:trPr>
          <w:trHeight w:val="460"/>
        </w:trPr>
        <w:tc>
          <w:tcPr>
            <w:tcW w:w="4547" w:type="dxa"/>
            <w:shd w:val="clear" w:color="auto" w:fill="FFFFFF"/>
            <w:vAlign w:val="center"/>
          </w:tcPr>
          <w:p w14:paraId="7476BF94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lastRenderedPageBreak/>
              <w:t>Estados e histórico</w:t>
            </w:r>
          </w:p>
        </w:tc>
        <w:tc>
          <w:tcPr>
            <w:tcW w:w="6224" w:type="dxa"/>
            <w:shd w:val="clear" w:color="auto" w:fill="FFFFFF"/>
            <w:vAlign w:val="center"/>
          </w:tcPr>
          <w:p w14:paraId="0AA075D9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Registra criação, análise, ajustes, aprovação, andamento, atraso, encaminhamento/devolução, validação, não ocorrência e fechamento, sempre com autor, data e escopo.</w:t>
            </w:r>
          </w:p>
        </w:tc>
      </w:tr>
      <w:tr w:rsidR="004E5210" w:rsidRPr="00A94B7C" w14:paraId="669A35CA" w14:textId="77777777" w:rsidTr="00A94B7C">
        <w:trPr>
          <w:trHeight w:val="475"/>
        </w:trPr>
        <w:tc>
          <w:tcPr>
            <w:tcW w:w="4547" w:type="dxa"/>
            <w:shd w:val="clear" w:color="auto" w:fill="F3F4F6"/>
            <w:vAlign w:val="center"/>
          </w:tcPr>
          <w:p w14:paraId="4A669B0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Restrição e auditoria</w:t>
            </w:r>
          </w:p>
        </w:tc>
        <w:tc>
          <w:tcPr>
            <w:tcW w:w="6224" w:type="dxa"/>
            <w:shd w:val="clear" w:color="auto" w:fill="F3F4F6"/>
            <w:vAlign w:val="center"/>
          </w:tcPr>
          <w:p w14:paraId="5D56D0E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Marcação de conteúdo restrito; log de autor, data, ciclo, UG, adjunta, versão e ação; comprovantes por evento.</w:t>
            </w:r>
          </w:p>
        </w:tc>
      </w:tr>
      <w:tr w:rsidR="004E5210" w:rsidRPr="00A94B7C" w14:paraId="50C2D3BD" w14:textId="77777777" w:rsidTr="00A94B7C">
        <w:trPr>
          <w:trHeight w:val="222"/>
        </w:trPr>
        <w:tc>
          <w:tcPr>
            <w:tcW w:w="4547" w:type="dxa"/>
            <w:shd w:val="clear" w:color="auto" w:fill="FFFFFF"/>
            <w:vAlign w:val="center"/>
          </w:tcPr>
          <w:p w14:paraId="450E85D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Notificações</w:t>
            </w:r>
          </w:p>
        </w:tc>
        <w:tc>
          <w:tcPr>
            <w:tcW w:w="6224" w:type="dxa"/>
            <w:shd w:val="clear" w:color="auto" w:fill="FFFFFF"/>
            <w:vAlign w:val="center"/>
          </w:tcPr>
          <w:p w14:paraId="59313B75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E-mail para novo ciclo, pendências, devoluções e lembretes. WhatsApp fica fora do MVP.</w:t>
            </w:r>
          </w:p>
        </w:tc>
      </w:tr>
    </w:tbl>
    <w:p w14:paraId="5D41EA80" w14:textId="77777777" w:rsidR="004E5210" w:rsidRDefault="004E5210">
      <w:pPr>
        <w:spacing w:after="40"/>
      </w:pPr>
    </w:p>
    <w:p w14:paraId="44CE1F78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t>6. Catálogo, segurança e escopo futuro</w:t>
      </w:r>
    </w:p>
    <w:tbl>
      <w:tblPr>
        <w:tblW w:w="0" w:type="auto"/>
        <w:tblBorders>
          <w:top w:val="single" w:sz="5" w:space="0" w:color="BA7517"/>
          <w:left w:val="single" w:sz="5" w:space="0" w:color="BA7517"/>
          <w:bottom w:val="single" w:sz="5" w:space="0" w:color="BA7517"/>
          <w:right w:val="single" w:sz="5" w:space="0" w:color="BA7517"/>
          <w:insideH w:val="single" w:sz="5" w:space="0" w:color="BA7517"/>
          <w:insideV w:val="single" w:sz="5" w:space="0" w:color="BA751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E5210" w14:paraId="5CB68B59" w14:textId="77777777">
        <w:tc>
          <w:tcPr>
            <w:tcW w:w="9360" w:type="dxa"/>
            <w:shd w:val="clear" w:color="auto" w:fill="FAEE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A18CF" w14:textId="77777777" w:rsidR="004E5210" w:rsidRDefault="00000000">
            <w:pPr>
              <w:spacing w:after="0"/>
            </w:pPr>
            <w:r>
              <w:rPr>
                <w:b/>
                <w:color w:val="BA7517"/>
                <w:sz w:val="19"/>
              </w:rPr>
              <w:t xml:space="preserve">TESAURO  </w:t>
            </w:r>
            <w:r>
              <w:rPr>
                <w:color w:val="1F2937"/>
                <w:sz w:val="19"/>
              </w:rPr>
              <w:t>O catálogo é externo e versionado. O MVP importa/consome a fonte oficial; não cria nem edita objetos, campos ou anexos. Essa gestão é candidata à v2.</w:t>
            </w:r>
          </w:p>
        </w:tc>
      </w:tr>
    </w:tbl>
    <w:p w14:paraId="620CC07A" w14:textId="77777777" w:rsidR="004E5210" w:rsidRDefault="004E5210">
      <w:pPr>
        <w:spacing w:after="20"/>
      </w:pPr>
    </w:p>
    <w:p w14:paraId="3E7B1F2A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A marcação restrita limita a visualização ao respondente autor, ponto focal da mesma UG e STC. A política completa de LGPD, sigilo e retenção ainda exige detalhamento.</w:t>
      </w:r>
    </w:p>
    <w:p w14:paraId="1467664D" w14:textId="77777777" w:rsidR="004E5210" w:rsidRDefault="00000000">
      <w:pPr>
        <w:pStyle w:val="Commarcadores"/>
        <w:spacing w:after="40" w:line="252" w:lineRule="auto"/>
      </w:pPr>
      <w:r>
        <w:rPr>
          <w:color w:val="1F2937"/>
          <w:sz w:val="19"/>
        </w:rPr>
        <w:t>Ficam fora do MVP: edição administrativa do Tesauro, integração SIMONI, publicação, ranking, chat, IA de conteúdo, unificação de planilhas e WhatsApp automatizado.</w:t>
      </w:r>
    </w:p>
    <w:p w14:paraId="5DCC5BDB" w14:textId="77777777" w:rsidR="004E5210" w:rsidRDefault="00000000">
      <w:pPr>
        <w:pStyle w:val="Ttulo1"/>
      </w:pPr>
      <w:r>
        <w:rPr>
          <w:rFonts w:ascii="Calibri" w:hAnsi="Calibri"/>
          <w:color w:val="0C447C"/>
          <w:sz w:val="30"/>
        </w:rPr>
        <w:t>7. Pendências para a conversa técnica</w:t>
      </w:r>
    </w:p>
    <w:tbl>
      <w:tblPr>
        <w:tblW w:w="10663" w:type="dxa"/>
        <w:tblBorders>
          <w:top w:val="single" w:sz="5" w:space="0" w:color="D9E2F0"/>
          <w:left w:val="single" w:sz="5" w:space="0" w:color="D9E2F0"/>
          <w:bottom w:val="single" w:sz="5" w:space="0" w:color="D9E2F0"/>
          <w:right w:val="single" w:sz="5" w:space="0" w:color="D9E2F0"/>
          <w:insideH w:val="single" w:sz="5" w:space="0" w:color="D9E2F0"/>
          <w:insideV w:val="single" w:sz="5" w:space="0" w:color="D9E2F0"/>
        </w:tblBorders>
        <w:tblLayout w:type="fixed"/>
        <w:tblLook w:val="04A0" w:firstRow="1" w:lastRow="0" w:firstColumn="1" w:lastColumn="0" w:noHBand="0" w:noVBand="1"/>
      </w:tblPr>
      <w:tblGrid>
        <w:gridCol w:w="4343"/>
        <w:gridCol w:w="6320"/>
      </w:tblGrid>
      <w:tr w:rsidR="004E5210" w:rsidRPr="00A94B7C" w14:paraId="2C2E2941" w14:textId="77777777" w:rsidTr="00A94B7C">
        <w:trPr>
          <w:trHeight w:val="243"/>
          <w:tblHeader/>
        </w:trPr>
        <w:tc>
          <w:tcPr>
            <w:tcW w:w="4343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CD02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Tema</w:t>
            </w:r>
          </w:p>
        </w:tc>
        <w:tc>
          <w:tcPr>
            <w:tcW w:w="6320" w:type="dxa"/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94739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b/>
                <w:color w:val="FFFFFF"/>
                <w:sz w:val="22"/>
              </w:rPr>
              <w:t>Decisão ainda necessária</w:t>
            </w:r>
          </w:p>
        </w:tc>
      </w:tr>
      <w:tr w:rsidR="004E5210" w:rsidRPr="00A94B7C" w14:paraId="7393384D" w14:textId="77777777" w:rsidTr="00A94B7C">
        <w:trPr>
          <w:trHeight w:val="227"/>
        </w:trPr>
        <w:tc>
          <w:tcPr>
            <w:tcW w:w="4343" w:type="dxa"/>
            <w:shd w:val="clear" w:color="auto" w:fill="FFFFFF"/>
            <w:vAlign w:val="center"/>
          </w:tcPr>
          <w:p w14:paraId="01F16A6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CPF e UG</w:t>
            </w:r>
          </w:p>
        </w:tc>
        <w:tc>
          <w:tcPr>
            <w:tcW w:w="6320" w:type="dxa"/>
            <w:shd w:val="clear" w:color="auto" w:fill="FFFFFF"/>
            <w:vAlign w:val="center"/>
          </w:tcPr>
          <w:p w14:paraId="258B7EF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Definir fonte de verificação, vínculo CPF–UG, tratamento de terceirizados e fallback com PM/STI.</w:t>
            </w:r>
          </w:p>
        </w:tc>
      </w:tr>
      <w:tr w:rsidR="004E5210" w:rsidRPr="00A94B7C" w14:paraId="225B1C32" w14:textId="77777777" w:rsidTr="00A94B7C">
        <w:trPr>
          <w:trHeight w:val="243"/>
        </w:trPr>
        <w:tc>
          <w:tcPr>
            <w:tcW w:w="4343" w:type="dxa"/>
            <w:shd w:val="clear" w:color="auto" w:fill="F3F4F6"/>
            <w:vAlign w:val="center"/>
          </w:tcPr>
          <w:p w14:paraId="71E3E000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LGPD</w:t>
            </w:r>
          </w:p>
        </w:tc>
        <w:tc>
          <w:tcPr>
            <w:tcW w:w="6320" w:type="dxa"/>
            <w:shd w:val="clear" w:color="auto" w:fill="F3F4F6"/>
            <w:vAlign w:val="center"/>
          </w:tcPr>
          <w:p w14:paraId="4E154DEB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Detalhar classificação, retenção, circulação e controles posteriores à marcação restrita.</w:t>
            </w:r>
          </w:p>
        </w:tc>
      </w:tr>
      <w:tr w:rsidR="004E5210" w:rsidRPr="00A94B7C" w14:paraId="2BFBCF52" w14:textId="77777777" w:rsidTr="00A94B7C">
        <w:trPr>
          <w:trHeight w:val="243"/>
        </w:trPr>
        <w:tc>
          <w:tcPr>
            <w:tcW w:w="4343" w:type="dxa"/>
            <w:shd w:val="clear" w:color="auto" w:fill="FFFFFF"/>
            <w:vAlign w:val="center"/>
          </w:tcPr>
          <w:p w14:paraId="1C556C41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Arquivos</w:t>
            </w:r>
          </w:p>
        </w:tc>
        <w:tc>
          <w:tcPr>
            <w:tcW w:w="6320" w:type="dxa"/>
            <w:shd w:val="clear" w:color="auto" w:fill="FFFFFF"/>
            <w:vAlign w:val="center"/>
          </w:tcPr>
          <w:p w14:paraId="1426B509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Definir tamanho, formatos e quantidade máxima de uploads.</w:t>
            </w:r>
          </w:p>
        </w:tc>
      </w:tr>
      <w:tr w:rsidR="004E5210" w:rsidRPr="00A94B7C" w14:paraId="38850CBD" w14:textId="77777777" w:rsidTr="00A94B7C">
        <w:trPr>
          <w:trHeight w:val="471"/>
        </w:trPr>
        <w:tc>
          <w:tcPr>
            <w:tcW w:w="4343" w:type="dxa"/>
            <w:shd w:val="clear" w:color="auto" w:fill="F3F4F6"/>
            <w:vAlign w:val="center"/>
          </w:tcPr>
          <w:p w14:paraId="764D475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Armazenamento</w:t>
            </w:r>
          </w:p>
        </w:tc>
        <w:tc>
          <w:tcPr>
            <w:tcW w:w="6320" w:type="dxa"/>
            <w:shd w:val="clear" w:color="auto" w:fill="F3F4F6"/>
            <w:vAlign w:val="center"/>
          </w:tcPr>
          <w:p w14:paraId="0DB6CA8C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Definir repositório, backup, retenção, descarte e controles de acesso aos arquivos, inclusive aos restritos.</w:t>
            </w:r>
          </w:p>
        </w:tc>
      </w:tr>
      <w:tr w:rsidR="004E5210" w:rsidRPr="00A94B7C" w14:paraId="461CB38C" w14:textId="77777777" w:rsidTr="00A94B7C">
        <w:trPr>
          <w:trHeight w:val="243"/>
        </w:trPr>
        <w:tc>
          <w:tcPr>
            <w:tcW w:w="4343" w:type="dxa"/>
            <w:shd w:val="clear" w:color="auto" w:fill="FFFFFF"/>
            <w:vAlign w:val="center"/>
          </w:tcPr>
          <w:p w14:paraId="63468B1F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Envio atrasado</w:t>
            </w:r>
          </w:p>
        </w:tc>
        <w:tc>
          <w:tcPr>
            <w:tcW w:w="6320" w:type="dxa"/>
            <w:shd w:val="clear" w:color="auto" w:fill="FFFFFF"/>
            <w:vAlign w:val="center"/>
          </w:tcPr>
          <w:p w14:paraId="245403A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Definir duração e forma de abertura da janela posterior ao vencimento, sem fechamento automático.</w:t>
            </w:r>
          </w:p>
        </w:tc>
      </w:tr>
      <w:tr w:rsidR="004E5210" w:rsidRPr="00A94B7C" w14:paraId="3EE1793B" w14:textId="77777777" w:rsidTr="00A94B7C">
        <w:trPr>
          <w:trHeight w:val="243"/>
        </w:trPr>
        <w:tc>
          <w:tcPr>
            <w:tcW w:w="4343" w:type="dxa"/>
            <w:shd w:val="clear" w:color="auto" w:fill="F3F4F6"/>
            <w:vAlign w:val="center"/>
          </w:tcPr>
          <w:p w14:paraId="5620DD32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Tesauro</w:t>
            </w:r>
          </w:p>
        </w:tc>
        <w:tc>
          <w:tcPr>
            <w:tcW w:w="6320" w:type="dxa"/>
            <w:shd w:val="clear" w:color="auto" w:fill="F3F4F6"/>
            <w:vAlign w:val="center"/>
          </w:tcPr>
          <w:p w14:paraId="45D2B11D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Receber a versão atualizada e validar novos objetos/classificação antes de habilitar criação.</w:t>
            </w:r>
          </w:p>
        </w:tc>
      </w:tr>
      <w:tr w:rsidR="004E5210" w:rsidRPr="00A94B7C" w14:paraId="29C607ED" w14:textId="77777777" w:rsidTr="00A94B7C">
        <w:trPr>
          <w:trHeight w:val="227"/>
        </w:trPr>
        <w:tc>
          <w:tcPr>
            <w:tcW w:w="4343" w:type="dxa"/>
            <w:shd w:val="clear" w:color="auto" w:fill="FFFFFF"/>
            <w:vAlign w:val="center"/>
          </w:tcPr>
          <w:p w14:paraId="6AF4A226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Redirecionamento</w:t>
            </w:r>
          </w:p>
        </w:tc>
        <w:tc>
          <w:tcPr>
            <w:tcW w:w="6320" w:type="dxa"/>
            <w:shd w:val="clear" w:color="auto" w:fill="FFFFFF"/>
            <w:vAlign w:val="center"/>
          </w:tcPr>
          <w:p w14:paraId="45FD8437" w14:textId="77777777" w:rsidR="004E5210" w:rsidRPr="00A94B7C" w:rsidRDefault="00000000">
            <w:pPr>
              <w:spacing w:after="0"/>
              <w:rPr>
                <w:sz w:val="22"/>
              </w:rPr>
            </w:pPr>
            <w:r w:rsidRPr="00A94B7C">
              <w:rPr>
                <w:color w:val="1F2937"/>
                <w:sz w:val="22"/>
              </w:rPr>
              <w:t>Definir como agir se já existirem submissões ou conteúdo restrito.</w:t>
            </w:r>
          </w:p>
        </w:tc>
      </w:tr>
    </w:tbl>
    <w:p w14:paraId="2D2ACFB0" w14:textId="77777777" w:rsidR="004E5210" w:rsidRDefault="004E5210">
      <w:pPr>
        <w:spacing w:after="40"/>
      </w:pPr>
    </w:p>
    <w:tbl>
      <w:tblPr>
        <w:tblW w:w="0" w:type="auto"/>
        <w:tblBorders>
          <w:top w:val="single" w:sz="5" w:space="0" w:color="0C447C"/>
          <w:left w:val="single" w:sz="5" w:space="0" w:color="0C447C"/>
          <w:bottom w:val="single" w:sz="5" w:space="0" w:color="0C447C"/>
          <w:right w:val="single" w:sz="5" w:space="0" w:color="0C447C"/>
          <w:insideH w:val="single" w:sz="5" w:space="0" w:color="0C447C"/>
          <w:insideV w:val="single" w:sz="5" w:space="0" w:color="0C447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E5210" w14:paraId="4ADD3C28" w14:textId="77777777">
        <w:tc>
          <w:tcPr>
            <w:tcW w:w="9360" w:type="dxa"/>
            <w:shd w:val="clear" w:color="auto" w:fill="E6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E5C71" w14:textId="77777777" w:rsidR="004E5210" w:rsidRDefault="00000000">
            <w:pPr>
              <w:spacing w:after="0"/>
            </w:pPr>
            <w:r>
              <w:rPr>
                <w:b/>
                <w:color w:val="0C447C"/>
                <w:sz w:val="19"/>
              </w:rPr>
              <w:t xml:space="preserve">USO DESTE DOCUMENTO  </w:t>
            </w:r>
            <w:r>
              <w:rPr>
                <w:color w:val="1F2937"/>
                <w:sz w:val="19"/>
              </w:rPr>
              <w:t>Este arquivo consolida requisitos funcionais do MVP. O próximo artefato será o plano de trabalho do backend, após validação técnica de autenticação, armazenamento, upload e infraestrutura.</w:t>
            </w:r>
          </w:p>
        </w:tc>
      </w:tr>
    </w:tbl>
    <w:p w14:paraId="2459B3F5" w14:textId="77777777" w:rsidR="004E5210" w:rsidRDefault="004E5210">
      <w:pPr>
        <w:spacing w:after="20"/>
      </w:pPr>
    </w:p>
    <w:sectPr w:rsidR="004E5210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3A92B" w14:textId="77777777" w:rsidR="007B26B1" w:rsidRDefault="007B26B1">
      <w:pPr>
        <w:spacing w:after="0" w:line="240" w:lineRule="auto"/>
      </w:pPr>
      <w:r>
        <w:separator/>
      </w:r>
    </w:p>
  </w:endnote>
  <w:endnote w:type="continuationSeparator" w:id="0">
    <w:p w14:paraId="7003D839" w14:textId="77777777" w:rsidR="007B26B1" w:rsidRDefault="007B2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3414" w14:textId="77777777" w:rsidR="004E5210" w:rsidRDefault="00000000">
    <w:pPr>
      <w:pStyle w:val="Rodap"/>
      <w:spacing w:before="80"/>
      <w:jc w:val="center"/>
    </w:pPr>
    <w:r>
      <w:rPr>
        <w:color w:val="5B6472"/>
        <w:sz w:val="16"/>
      </w:rPr>
      <w:t>Agiliza Transparência • MVP v2 • Documento de referência para a conversa técnica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5339F" w14:textId="77777777" w:rsidR="007B26B1" w:rsidRDefault="007B26B1">
      <w:pPr>
        <w:spacing w:after="0" w:line="240" w:lineRule="auto"/>
      </w:pPr>
      <w:r>
        <w:separator/>
      </w:r>
    </w:p>
  </w:footnote>
  <w:footnote w:type="continuationSeparator" w:id="0">
    <w:p w14:paraId="6A5A0CDD" w14:textId="77777777" w:rsidR="007B26B1" w:rsidRDefault="007B2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548667">
    <w:abstractNumId w:val="8"/>
  </w:num>
  <w:num w:numId="2" w16cid:durableId="900479302">
    <w:abstractNumId w:val="6"/>
  </w:num>
  <w:num w:numId="3" w16cid:durableId="1060832127">
    <w:abstractNumId w:val="5"/>
  </w:num>
  <w:num w:numId="4" w16cid:durableId="357122688">
    <w:abstractNumId w:val="4"/>
  </w:num>
  <w:num w:numId="5" w16cid:durableId="569968567">
    <w:abstractNumId w:val="7"/>
  </w:num>
  <w:num w:numId="6" w16cid:durableId="1457601770">
    <w:abstractNumId w:val="3"/>
  </w:num>
  <w:num w:numId="7" w16cid:durableId="123089152">
    <w:abstractNumId w:val="2"/>
  </w:num>
  <w:num w:numId="8" w16cid:durableId="405684562">
    <w:abstractNumId w:val="1"/>
  </w:num>
  <w:num w:numId="9" w16cid:durableId="143728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210"/>
    <w:rsid w:val="007B26B1"/>
    <w:rsid w:val="0094384C"/>
    <w:rsid w:val="00A94B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827FC"/>
  <w14:defaultImageDpi w14:val="300"/>
  <w15:docId w15:val="{50EC621A-7A32-4473-BCB2-221D4E16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Frazao</cp:lastModifiedBy>
  <cp:revision>2</cp:revision>
  <dcterms:created xsi:type="dcterms:W3CDTF">2013-12-23T23:15:00Z</dcterms:created>
  <dcterms:modified xsi:type="dcterms:W3CDTF">2026-08-01T15:10:00Z</dcterms:modified>
  <cp:category/>
</cp:coreProperties>
</file>