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150"/>
        <w:gridCol w:w="8210"/>
      </w:tblGrid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30352" cy="530352"/>
                  <wp:docPr id="1" name="Picture 1" descr="Símbolo do Agiliza Transparência" title="Agiliza Transparênci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iliza-simbolo-geometric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163B67"/>
                <w:sz w:val="20"/>
              </w:rPr>
              <w:t>AGILIZA TRANSPARÊNCIA</w:t>
            </w:r>
          </w:p>
        </w:tc>
      </w:tr>
    </w:tbl>
    <w:p>
      <w:pPr>
        <w:keepNext w:val="0"/>
        <w:spacing w:before="0" w:after="80" w:line="264" w:lineRule="auto"/>
      </w:pPr>
      <w:r>
        <w:rPr>
          <w:rFonts w:ascii="Calibri" w:hAnsi="Calibri"/>
          <w:b/>
          <w:i w:val="0"/>
          <w:color w:val="2E74B5"/>
          <w:sz w:val="20"/>
        </w:rPr>
        <w:t>DOCUMENTO PARA VALIDAÇÃO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i w:val="0"/>
          <w:color w:val="163B67"/>
          <w:sz w:val="50"/>
        </w:rPr>
        <w:t>Resposta à minuta e roadmap de versões</w:t>
      </w:r>
    </w:p>
    <w:p>
      <w:pPr>
        <w:keepNext w:val="0"/>
        <w:spacing w:before="0" w:after="320" w:line="264" w:lineRule="auto"/>
      </w:pPr>
      <w:r>
        <w:rPr>
          <w:rFonts w:ascii="Calibri" w:hAnsi="Calibri"/>
          <w:b w:val="0"/>
          <w:i w:val="0"/>
          <w:color w:val="5F6B7A"/>
          <w:sz w:val="28"/>
        </w:rPr>
        <w:t>V1, V2, V3 e horizonte posterior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Destinatários</w:t>
            </w:r>
          </w:p>
        </w:tc>
        <w:tc>
          <w:tcPr>
            <w:tcW w:type="dxa" w:w="7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9"/>
              </w:rPr>
              <w:t>Chefia da STC e Alessandra Aguiar</w:t>
            </w:r>
          </w:p>
        </w:tc>
      </w:tr>
      <w:tr>
        <w:trPr>
          <w:cantSplit/>
        </w:trPr>
        <w:tc>
          <w:tcPr>
            <w:tcW w:type="dxa" w:w="1800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Finalidade</w:t>
            </w:r>
          </w:p>
        </w:tc>
        <w:tc>
          <w:tcPr>
            <w:tcW w:type="dxa" w:w="7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9"/>
              </w:rPr>
              <w:t>Responder à minuta, organizar o escopo e preparar a reunião de validação</w:t>
            </w:r>
          </w:p>
        </w:tc>
      </w:tr>
      <w:tr>
        <w:trPr>
          <w:cantSplit/>
        </w:trPr>
        <w:tc>
          <w:tcPr>
            <w:tcW w:type="dxa" w:w="1800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Data</w:t>
            </w:r>
          </w:p>
        </w:tc>
        <w:tc>
          <w:tcPr>
            <w:tcW w:type="dxa" w:w="7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9"/>
              </w:rPr>
              <w:t>24 de agosto de 2026</w:t>
            </w:r>
          </w:p>
        </w:tc>
      </w:tr>
      <w:tr>
        <w:trPr>
          <w:cantSplit/>
        </w:trPr>
        <w:tc>
          <w:tcPr>
            <w:tcW w:type="dxa" w:w="1800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7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9"/>
              </w:rPr>
              <w:t>Proposta de planejamento — sem alteração de telas ou funcionalidades</w:t>
            </w:r>
          </w:p>
        </w:tc>
      </w:tr>
      <w:tr>
        <w:trPr>
          <w:cantSplit/>
        </w:trPr>
        <w:tc>
          <w:tcPr>
            <w:tcW w:type="dxa" w:w="1800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Fonte</w:t>
            </w:r>
          </w:p>
        </w:tc>
        <w:tc>
          <w:tcPr>
            <w:tcW w:type="dxa" w:w="7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9"/>
              </w:rPr>
              <w:t>Minuta da reunião de 10 de agosto de 2026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B"/>
            <w:tcBorders>
              <w:top w:val="single" w:sz="8" w:color="2E74B5"/>
              <w:start w:val="single" w:sz="8" w:color="2E74B5"/>
              <w:bottom w:val="single" w:sz="8" w:color="2E74B5"/>
              <w:end w:val="single" w:sz="8" w:color="2E74B5"/>
              <w:insideH w:val="single" w:sz="8" w:color="2E74B5"/>
              <w:insideV w:val="single" w:sz="8" w:color="2E74B5"/>
            </w:tcBorders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Direção recomendada: </w:t>
            </w:r>
            <w:r>
              <w:rPr>
                <w:rFonts w:ascii="Calibri" w:hAnsi="Calibri"/>
                <w:color w:val="1F2937"/>
                <w:sz w:val="21"/>
              </w:rPr>
              <w:t>Usar o código atual como linha de base da V1, validar possíveis mudanças antes de implementá-las, manter o dashboard operacional na V1, tratar o perfil Gabinete como decisão pendente e planejar o SIMONI para a V2 somente após sua reestruturação.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keepNext w:val="0"/>
        <w:spacing w:before="0" w:after="160" w:line="264" w:lineRule="auto"/>
      </w:pPr>
      <w:r>
        <w:rPr>
          <w:rFonts w:ascii="Calibri" w:hAnsi="Calibri"/>
          <w:b/>
          <w:i w:val="0"/>
          <w:color w:val="9B1C1C"/>
          <w:sz w:val="21"/>
        </w:rPr>
        <w:t>Este documento responde à minuta e organiza o planejamento. Ele não autoriza mudança de interface, funcionalidade, regra de negócio, API ou código.</w:t>
      </w:r>
    </w:p>
    <w:p>
      <w:pPr>
        <w:pStyle w:val="Heading1"/>
        <w:keepNext/>
        <w:pageBreakBefore w:val="0"/>
      </w:pPr>
      <w:r>
        <w:t>1. Como ler esta resposta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minuta recebida registra diretrizes relevantes para a continuidade do Agiliza Transparência. Ao mesmo tempo, reúne no mesmo texto decisões já refletidas no protótipo, questões que ainda precisam de validação, entregas de design e ideias dependentes de outros sistemas. Por isso, a resposta não transforma automaticamente todos os pontos em escopo da primeira versão.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O código atual e os requisitos vigentes representam a linha de base da V1.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A minuta é uma fonte de orientação e de perguntas para a reunião de validação.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Possíveis mudanças de tela ou funcionalidade permanecem propostas até aprovação explícita.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Itens futuros são preservados no roadmap para que não sejam perdidos nem antecipados.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6DD"/>
            <w:tcBorders>
              <w:top w:val="single" w:sz="8" w:color="8A6116"/>
              <w:start w:val="single" w:sz="8" w:color="8A6116"/>
              <w:bottom w:val="single" w:sz="8" w:color="8A6116"/>
              <w:end w:val="single" w:sz="8" w:color="8A6116"/>
              <w:insideH w:val="single" w:sz="8" w:color="8A6116"/>
              <w:insideV w:val="single" w:sz="8" w:color="8A6116"/>
            </w:tcBorders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8A6116"/>
                <w:sz w:val="21"/>
              </w:rPr>
              <w:t xml:space="preserve">Limite desta entrega: </w:t>
            </w:r>
            <w:r>
              <w:rPr>
                <w:rFonts w:ascii="Calibri" w:hAnsi="Calibri"/>
                <w:color w:val="1F2937"/>
                <w:sz w:val="21"/>
              </w:rPr>
              <w:t>Foram produzidos somente a resposta, a classificação por versões, o roteiro da reunião e o briefing futuro do Claude Design. Nenhuma alteração foi feita no frontend, no backend, nas telas, nas funcionalidades ou nas specs técnicas.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Heading1"/>
        <w:keepNext/>
        <w:pageBreakBefore w:val="0"/>
      </w:pPr>
      <w:r>
        <w:t>2. Em que consiste a minuta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minuta possui quatro grupos principais de conteúdo: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Conteúdo da minuta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Modelo e integrações</w:t>
            </w:r>
          </w:p>
        </w:tc>
        <w:tc>
          <w:tcPr>
            <w:tcW w:type="dxa" w:w="69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Integração futura com o SIMONI; relação com Tesauro e mapeamento; definição de objeto, metadado, tipo fixo e tipo variável.</w:t>
            </w:r>
          </w:p>
        </w:tc>
      </w:tr>
      <w:tr>
        <w:trPr>
          <w:cantSplit/>
        </w:trPr>
        <w:tc>
          <w:tcPr>
            <w:tcW w:type="dxa" w:w="24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Experiência e acesso</w:t>
            </w:r>
          </w:p>
        </w:tc>
        <w:tc>
          <w:tcPr>
            <w:tcW w:type="dxa" w:w="69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Revisão de mockups; perfis, permissões e distinção entre administração, Gabinete, ponto focal e respondente técnico.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Operação e controle</w:t>
            </w:r>
          </w:p>
        </w:tc>
        <w:tc>
          <w:tcPr>
            <w:tcW w:type="dxa" w:w="69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Fluxos distintos por perfil; flexibilidade com rastreabilidade; limites entre sistemas; ciclo de coleta e transições.</w:t>
            </w:r>
          </w:p>
        </w:tc>
      </w:tr>
      <w:tr>
        <w:trPr>
          <w:cantSplit/>
        </w:trPr>
        <w:tc>
          <w:tcPr>
            <w:tcW w:type="dxa" w:w="24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Gestão e execução</w:t>
            </w:r>
          </w:p>
        </w:tc>
        <w:tc>
          <w:tcPr>
            <w:tcW w:type="dxa" w:w="69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Dashboard executivo; entregas esperadas; ordem recomendada de trabalho; validação antes da implementação.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orientação central é válida: primeiro esclarecer modelo, papéis, fluxos e conteúdo das telas; depois validar; somente então implementar. A adaptação necessária é que o projeto já possui um frontend extenso. Portanto, a reunião deve começar pelo que existe, identificar ajustes e separar claramente o que ainda pertence à V1 do que deve ficar para versões posteriores.</w:t>
      </w:r>
    </w:p>
    <w:p>
      <w:pPr>
        <w:pStyle w:val="Heading1"/>
        <w:keepNext/>
        <w:pageBreakBefore w:val="0"/>
      </w:pPr>
      <w:r>
        <w:t>3. Situação atual observada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B"/>
            <w:tcBorders>
              <w:top w:val="single" w:sz="8" w:color="2E74B5"/>
              <w:start w:val="single" w:sz="8" w:color="2E74B5"/>
              <w:bottom w:val="single" w:sz="8" w:color="2E74B5"/>
              <w:end w:val="single" w:sz="8" w:color="2E74B5"/>
              <w:insideH w:val="single" w:sz="8" w:color="2E74B5"/>
              <w:insideV w:val="single" w:sz="8" w:color="2E74B5"/>
            </w:tcBorders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Leitura objetiva: </w:t>
            </w:r>
            <w:r>
              <w:rPr>
                <w:rFonts w:ascii="Calibri" w:hAnsi="Calibri"/>
                <w:color w:val="1F2937"/>
                <w:sz w:val="21"/>
              </w:rPr>
              <w:t>O frontend já representa grande parte da jornada do MVP, mas ainda usa sessões, dados e arquivos demonstrativos no cliente. O repositório de backend permanece documental, sem aplicação executável, banco, autenticação real, storage ou APIs implementadas.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Heading2"/>
        <w:keepNext/>
        <w:pageBreakBefore w:val="0"/>
      </w:pPr>
      <w:r>
        <w:t>3.1 Capacidades já representadas no frontend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objetos fixos e variáveis, catálogo importado e configuração de ciclos;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publicação do ciclo, link estável, lista manual de números SEI e prazos 5+5;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uma coleta por UG, contribuições por pessoa e adjunta, XLSX e anexos;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modo direto ou coordenado pelo ponto focal conforme toggle por UG;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painéis para Servidor STC, ponto focal e respondente;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validação, devolução, solicitações, não ocorrência, histórico e auditoria;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dashboard operacional para acompanhamento dos ciclos e das UGs.</w:t>
      </w:r>
    </w:p>
    <w:p>
      <w:pPr>
        <w:pStyle w:val="Heading2"/>
        <w:keepNext/>
        <w:pageBreakBefore w:val="0"/>
      </w:pPr>
      <w:r>
        <w:t>3.2 Inventário de telas para a futura validação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300"/>
        <w:gridCol w:w="481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Tela / rota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 que demonstra hoje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Acesso</w:t>
            </w:r>
          </w:p>
        </w:tc>
        <w:tc>
          <w:tcPr>
            <w:tcW w:type="dxa" w:w="33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Login — /login</w:t>
            </w:r>
          </w:p>
        </w:tc>
        <w:tc>
          <w:tcPr>
            <w:tcW w:type="dxa" w:w="481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Entrada demonstrativa e seleção do perfil disponível.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Acesso</w:t>
            </w:r>
          </w:p>
        </w:tc>
        <w:tc>
          <w:tcPr>
            <w:tcW w:type="dxa" w:w="33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Acesso público — /acesso/[token]</w:t>
            </w:r>
          </w:p>
        </w:tc>
        <w:tc>
          <w:tcPr>
            <w:tcW w:type="dxa" w:w="481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Identificação do participante e vínculo com o ciclo.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STC</w:t>
            </w:r>
          </w:p>
        </w:tc>
        <w:tc>
          <w:tcPr>
            <w:tcW w:type="dxa" w:w="33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Painel — /stc/painel</w:t>
            </w:r>
          </w:p>
        </w:tc>
        <w:tc>
          <w:tcPr>
            <w:tcW w:type="dxa" w:w="481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Visão operacional e atalhos da gestão.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STC</w:t>
            </w:r>
          </w:p>
        </w:tc>
        <w:tc>
          <w:tcPr>
            <w:tcW w:type="dxa" w:w="33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Ciclos — /stc/ciclos</w:t>
            </w:r>
          </w:p>
        </w:tc>
        <w:tc>
          <w:tcPr>
            <w:tcW w:type="dxa" w:w="481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Lista, situação e filtros dos ciclos ativos.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STC</w:t>
            </w:r>
          </w:p>
        </w:tc>
        <w:tc>
          <w:tcPr>
            <w:tcW w:type="dxa" w:w="33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Novo ciclo — /stc/ciclos/novo</w:t>
            </w:r>
          </w:p>
        </w:tc>
        <w:tc>
          <w:tcPr>
            <w:tcW w:type="dxa" w:w="481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Seleção de objeto e configuração fixa ou variável.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STC</w:t>
            </w:r>
          </w:p>
        </w:tc>
        <w:tc>
          <w:tcPr>
            <w:tcW w:type="dxa" w:w="33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Detalhe — /stc/ciclos/[id]</w:t>
            </w:r>
          </w:p>
        </w:tc>
        <w:tc>
          <w:tcPr>
            <w:tcW w:type="dxa" w:w="481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Escopo, UGs, versões, SEI, prazo e movimentações.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STC</w:t>
            </w:r>
          </w:p>
        </w:tc>
        <w:tc>
          <w:tcPr>
            <w:tcW w:type="dxa" w:w="33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Nova versão — /stc/ciclos/[id]/nova-versao</w:t>
            </w:r>
          </w:p>
        </w:tc>
        <w:tc>
          <w:tcPr>
            <w:tcW w:type="dxa" w:w="481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Atualização global do ciclo preservando histórico.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STC</w:t>
            </w:r>
          </w:p>
        </w:tc>
        <w:tc>
          <w:tcPr>
            <w:tcW w:type="dxa" w:w="33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Validação — /stc/ciclos/[id]/validar</w:t>
            </w:r>
          </w:p>
        </w:tc>
        <w:tc>
          <w:tcPr>
            <w:tcW w:type="dxa" w:w="481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Seleção de UG, contribuição e decisão da STC.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STC</w:t>
            </w:r>
          </w:p>
        </w:tc>
        <w:tc>
          <w:tcPr>
            <w:tcW w:type="dxa" w:w="33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UGs — /stc/ugs</w:t>
            </w:r>
          </w:p>
        </w:tc>
        <w:tc>
          <w:tcPr>
            <w:tcW w:type="dxa" w:w="481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Administração de unidades, focais e vínculos demonstrativos.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STC</w:t>
            </w:r>
          </w:p>
        </w:tc>
        <w:tc>
          <w:tcPr>
            <w:tcW w:type="dxa" w:w="33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Registro — /stc/registro</w:t>
            </w:r>
          </w:p>
        </w:tc>
        <w:tc>
          <w:tcPr>
            <w:tcW w:type="dxa" w:w="481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Catálogo oficial, revisões e histórico auditável.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STC</w:t>
            </w:r>
          </w:p>
        </w:tc>
        <w:tc>
          <w:tcPr>
            <w:tcW w:type="dxa" w:w="33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Histórico — /stc/historico</w:t>
            </w:r>
          </w:p>
        </w:tc>
        <w:tc>
          <w:tcPr>
            <w:tcW w:type="dxa" w:w="481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Projeção dos ciclos concluídos e eventos.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Ponto focal</w:t>
            </w:r>
          </w:p>
        </w:tc>
        <w:tc>
          <w:tcPr>
            <w:tcW w:type="dxa" w:w="33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Painel — /focal/painel</w:t>
            </w:r>
          </w:p>
        </w:tc>
        <w:tc>
          <w:tcPr>
            <w:tcW w:type="dxa" w:w="481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Coletas da própria UG e prioridades.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Ponto focal</w:t>
            </w:r>
          </w:p>
        </w:tc>
        <w:tc>
          <w:tcPr>
            <w:tcW w:type="dxa" w:w="33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Coleta — /focal/coletas/[id]</w:t>
            </w:r>
          </w:p>
        </w:tc>
        <w:tc>
          <w:tcPr>
            <w:tcW w:type="dxa" w:w="481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Distribuição, contribuições, solicitações e histórico da UG.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Respondente</w:t>
            </w:r>
          </w:p>
        </w:tc>
        <w:tc>
          <w:tcPr>
            <w:tcW w:type="dxa" w:w="33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Painel — /respondente/painel</w:t>
            </w:r>
          </w:p>
        </w:tc>
        <w:tc>
          <w:tcPr>
            <w:tcW w:type="dxa" w:w="481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Atribuições recentes, urgentes e pendentes.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Respondente</w:t>
            </w:r>
          </w:p>
        </w:tc>
        <w:tc>
          <w:tcPr>
            <w:tcW w:type="dxa" w:w="33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Contribuição — /respondente/contribuicoes/[id]</w:t>
            </w:r>
          </w:p>
        </w:tc>
        <w:tc>
          <w:tcPr>
            <w:tcW w:type="dxa" w:w="481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Instruções, XLSX, anexos, revisão, envio e correção.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/>
          <w:color w:val="5F6B7A"/>
          <w:sz w:val="19"/>
        </w:rPr>
        <w:t>As rotas de redirecionamento não precisam virar telas separadas no Claude Design. Os diferentes estados internos de criação, contribuição e validação devem ser tratados como variações das telas correspondentes.</w:t>
      </w:r>
    </w:p>
    <w:p>
      <w:pPr>
        <w:pStyle w:val="Heading1"/>
        <w:keepNext/>
        <w:pageBreakBefore w:val="0"/>
      </w:pPr>
      <w:r>
        <w:t>4. Resposta executiva às diretrizes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Assunto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Resposta proposta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Modelo de informação</w:t>
            </w:r>
          </w:p>
        </w:tc>
        <w:tc>
          <w:tcPr>
            <w:tcW w:type="dxa" w:w="71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Aceitar a necessidade de clareza entre objeto, metadado, tipo fixo e variável. Levar a terminologia e a organização das telas atuais para validação da V1.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Mockups e validação</w:t>
            </w:r>
          </w:p>
        </w:tc>
        <w:tc>
          <w:tcPr>
            <w:tcW w:type="dxa" w:w="71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Usar as telas existentes como ponto de partida. Quando houver mudança proposta, comparar estado atual e proposta V1 antes de qualquer implementação.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Perfis e permissões</w:t>
            </w:r>
          </w:p>
        </w:tc>
        <w:tc>
          <w:tcPr>
            <w:tcW w:type="dxa" w:w="71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Preservar os atores já representados. Elaborar a matriz para validação; manter o perfil Gabinete explicitamente a definir.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Fluxos por perfil</w:t>
            </w:r>
          </w:p>
        </w:tc>
        <w:tc>
          <w:tcPr>
            <w:tcW w:type="dxa" w:w="71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Validar os caminhos atuais de STC, focal e respondente, incluindo o modo direto e o modo com coordenação focal.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Rastreabilidade</w:t>
            </w:r>
          </w:p>
        </w:tc>
        <w:tc>
          <w:tcPr>
            <w:tcW w:type="dxa" w:w="71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Manter como requisito transversal da V1: ator, data, situação anterior/posterior, responsável e histórico.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Limites entre sistemas</w:t>
            </w:r>
          </w:p>
        </w:tc>
        <w:tc>
          <w:tcPr>
            <w:tcW w:type="dxa" w:w="71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Manter o Agiliza concentrado na operacionalização das coletas. Integrações devem consumir fontes externas sem duplicar responsabilidades.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Ciclo</w:t>
            </w:r>
          </w:p>
        </w:tc>
        <w:tc>
          <w:tcPr>
            <w:tcW w:type="dxa" w:w="71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Manter na V1 e validar a compreensão de criação, publicação, SEI, andamento, correção, validação e encerramento.</w:t>
            </w:r>
          </w:p>
        </w:tc>
      </w:tr>
      <w:tr>
        <w:trPr>
          <w:cantSplit/>
        </w:trPr>
        <w:tc>
          <w:tcPr>
            <w:tcW w:type="dxa" w:w="22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Dashboard</w:t>
            </w:r>
          </w:p>
        </w:tc>
        <w:tc>
          <w:tcPr>
            <w:tcW w:type="dxa" w:w="71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Manter na V1 como painel operacional essencial, sem ranking ou pontuação de engajamento.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SIMONI</w:t>
            </w:r>
          </w:p>
        </w:tc>
        <w:tc>
          <w:tcPr>
            <w:tcW w:type="dxa" w:w="71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Planejar para a V2, condicionado à reestruturação, mapeamento e contrato de integração estarem disponíveis.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Heading1"/>
        <w:keepNext/>
        <w:pageBreakBefore w:val="0"/>
      </w:pPr>
      <w:r>
        <w:t>5. Roadmap de versões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Horizonte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Conteúdo planejado</w:t>
            </w:r>
          </w:p>
        </w:tc>
      </w:tr>
      <w:tr>
        <w:trPr>
          <w:cantSplit/>
        </w:trPr>
        <w:tc>
          <w:tcPr>
            <w:tcW w:type="dxa" w:w="2050"/>
            <w:shd w:fill="EAF2FB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V1 — MVP em prática</w:t>
            </w:r>
          </w:p>
        </w:tc>
        <w:tc>
          <w:tcPr>
            <w:tcW w:type="dxa" w:w="7310"/>
            <w:shd w:fill="EAF2FB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Manter todo o escopo já representado no código. Validar telas e possíveis ajustes; consolidar matriz de permissões e fluxos; manter dashboard operacional; planejar conclusão de backend, persistência, autenticação, arquivos, integração frontend/backend, piloto e homologação.</w:t>
            </w:r>
          </w:p>
        </w:tc>
      </w:tr>
      <w:tr>
        <w:trPr>
          <w:cantSplit/>
        </w:trPr>
        <w:tc>
          <w:tcPr>
            <w:tcW w:type="dxa" w:w="2050"/>
            <w:shd w:fill="E8F5EE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V2</w:t>
            </w:r>
          </w:p>
        </w:tc>
        <w:tc>
          <w:tcPr>
            <w:tcW w:type="dxa" w:w="7310"/>
            <w:shd w:fill="E8F5EE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Integrar com o novo SIMONI, somente após definir mapeamento, identificação e versionamento dos objetos, origem dos dados, interface de integração e responsabilidades entre os sistemas. Incorporar ajustes priorizados depois do piloto.</w:t>
            </w:r>
          </w:p>
        </w:tc>
      </w:tr>
      <w:tr>
        <w:trPr>
          <w:cantSplit/>
        </w:trPr>
        <w:tc>
          <w:tcPr>
            <w:tcW w:type="dxa" w:w="2050"/>
            <w:shd w:fill="F1EDFA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V3</w:t>
            </w:r>
          </w:p>
        </w:tc>
        <w:tc>
          <w:tcPr>
            <w:tcW w:type="dxa" w:w="7310"/>
            <w:shd w:fill="F1EDFA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Avaliar disponibilização espontânea de informações, automações operacionais, integrações adicionais e análises gerenciais ampliadas, com base no uso real da V1 e da V2.</w:t>
            </w:r>
          </w:p>
        </w:tc>
      </w:tr>
      <w:tr>
        <w:trPr>
          <w:cantSplit/>
        </w:trPr>
        <w:tc>
          <w:tcPr>
            <w:tcW w:type="dxa" w:w="2050"/>
            <w:shd w:fill="F2F4F7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Posterior</w:t>
            </w:r>
          </w:p>
        </w:tc>
        <w:tc>
          <w:tcPr>
            <w:tcW w:type="dxa" w:w="7310"/>
            <w:shd w:fill="F2F4F7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Ranking, fórmula e publicidade, IA, análises preditivas e funcionalidades sem regra, fonte de dados, governança ou responsável aprovados.</w:t>
            </w:r>
          </w:p>
        </w:tc>
      </w:tr>
      <w:tr>
        <w:trPr>
          <w:cantSplit/>
        </w:trPr>
        <w:tc>
          <w:tcPr>
            <w:tcW w:type="dxa" w:w="2050"/>
            <w:shd w:fill="FFF6DD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A definir</w:t>
            </w:r>
          </w:p>
        </w:tc>
        <w:tc>
          <w:tcPr>
            <w:tcW w:type="dxa" w:w="7310"/>
            <w:shd w:fill="FFF6DD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Existência e função do perfil Gabinete; permissões correspondentes; objeto, UGs e adjuntas do piloto; e demais questões institucionais ainda abertas.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Heading2"/>
        <w:keepNext/>
        <w:pageBreakBefore w:val="0"/>
      </w:pPr>
      <w:r>
        <w:t>5.1 O que a V1 deve demonstrar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uma jornada ponta a ponta compreensível para STC, ponto focal e respondente;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objetos fixos e variáveis configurados sem ambiguidade;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ciclo, coleta, contribuição, correção, validação e encerramento claramente diferenciados;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responsabilidade e permissão visíveis em cada etapa;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rastreabilidade suficiente para reconstruir decisões e encaminhamentos;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dashboard operacional capaz de indicar onde a gestão precisa agir;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condições técnicas para executar um piloto com dados persistidos e acessos reais.</w:t>
      </w:r>
    </w:p>
    <w:p>
      <w:pPr>
        <w:pStyle w:val="Heading2"/>
        <w:keepNext/>
        <w:pageBreakBefore w:val="0"/>
      </w:pPr>
      <w:r>
        <w:t>5.2 Dashboard operacional essencial da V1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ciclos em andamento e concluídos;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ciclos com e sem número SEI;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UGs completas, pendentes, em correção e prontas para validação;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respostas enviadas, não enviadas e aguardando decisão;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prazos próximos do vencimento e coletas atrasadas;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solicitações e correções pendentes;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principais ações que exigem atenção da STC.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6DD"/>
            <w:tcBorders>
              <w:top w:val="single" w:sz="8" w:color="8A6116"/>
              <w:start w:val="single" w:sz="8" w:color="8A6116"/>
              <w:bottom w:val="single" w:sz="8" w:color="8A6116"/>
              <w:end w:val="single" w:sz="8" w:color="8A6116"/>
              <w:insideH w:val="single" w:sz="8" w:color="8A6116"/>
              <w:insideV w:val="single" w:sz="8" w:color="8A6116"/>
            </w:tcBorders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8A6116"/>
                <w:sz w:val="21"/>
              </w:rPr>
              <w:t xml:space="preserve">Fora do dashboard da V1: </w:t>
            </w:r>
            <w:r>
              <w:rPr>
                <w:rFonts w:ascii="Calibri" w:hAnsi="Calibri"/>
                <w:color w:val="1F2937"/>
                <w:sz w:val="21"/>
              </w:rPr>
              <w:t>Ranking de UGs, pontuação de engajamento, publicidade, séries analíticas sofisticadas ou indicadores sem fonte e regra aprovadas.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Heading1"/>
        <w:keepNext/>
        <w:pageBreakBefore w:val="0"/>
      </w:pPr>
      <w:r>
        <w:t>6. Rastreabilidade da minuta por seção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5570"/>
        <w:gridCol w:w="214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5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Tratamento na resposta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1. Objetivo</w:t>
            </w:r>
          </w:p>
        </w:tc>
        <w:tc>
          <w:tcPr>
            <w:tcW w:type="dxa" w:w="557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Aceito como contexto e finalidade desta resposta.</w:t>
            </w:r>
          </w:p>
        </w:tc>
        <w:tc>
          <w:tcPr>
            <w:tcW w:type="dxa" w:w="214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Transversal</w:t>
            </w:r>
          </w:p>
        </w:tc>
      </w:tr>
      <w:tr>
        <w:trPr>
          <w:cantSplit/>
        </w:trPr>
        <w:tc>
          <w:tcPr>
            <w:tcW w:type="dxa" w:w="16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2. SIMONI</w:t>
            </w:r>
          </w:p>
        </w:tc>
        <w:tc>
          <w:tcPr>
            <w:tcW w:type="dxa" w:w="557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Integração planejada após reestruturação e mapeamento.</w:t>
            </w:r>
          </w:p>
        </w:tc>
        <w:tc>
          <w:tcPr>
            <w:tcW w:type="dxa" w:w="214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V2 — condicionada</w:t>
            </w:r>
          </w:p>
        </w:tc>
      </w:tr>
      <w:tr>
        <w:trPr>
          <w:cantSplit/>
        </w:trPr>
        <w:tc>
          <w:tcPr>
            <w:tcW w:type="dxa" w:w="1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3. Objetos e metadados</w:t>
            </w:r>
          </w:p>
        </w:tc>
        <w:tc>
          <w:tcPr>
            <w:tcW w:type="dxa" w:w="557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Validar terminologia e organização das telas atuais.</w:t>
            </w:r>
          </w:p>
        </w:tc>
        <w:tc>
          <w:tcPr>
            <w:tcW w:type="dxa" w:w="214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V1</w:t>
            </w:r>
          </w:p>
        </w:tc>
      </w:tr>
      <w:tr>
        <w:trPr>
          <w:cantSplit/>
        </w:trPr>
        <w:tc>
          <w:tcPr>
            <w:tcW w:type="dxa" w:w="16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4. Revisão dos mockups</w:t>
            </w:r>
          </w:p>
        </w:tc>
        <w:tc>
          <w:tcPr>
            <w:tcW w:type="dxa" w:w="557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Partir das telas existentes; comparar atual e proposta quando houver mudança.</w:t>
            </w:r>
          </w:p>
        </w:tc>
        <w:tc>
          <w:tcPr>
            <w:tcW w:type="dxa" w:w="214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V1 — planejamento</w:t>
            </w:r>
          </w:p>
        </w:tc>
      </w:tr>
      <w:tr>
        <w:trPr>
          <w:cantSplit/>
        </w:trPr>
        <w:tc>
          <w:tcPr>
            <w:tcW w:type="dxa" w:w="1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5. Perfis e permissões</w:t>
            </w:r>
          </w:p>
        </w:tc>
        <w:tc>
          <w:tcPr>
            <w:tcW w:type="dxa" w:w="557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Formalizar matriz dos atores atuais; Gabinete permanece pendente.</w:t>
            </w:r>
          </w:p>
        </w:tc>
        <w:tc>
          <w:tcPr>
            <w:tcW w:type="dxa" w:w="214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V1 / a definir</w:t>
            </w:r>
          </w:p>
        </w:tc>
      </w:tr>
      <w:tr>
        <w:trPr>
          <w:cantSplit/>
        </w:trPr>
        <w:tc>
          <w:tcPr>
            <w:tcW w:type="dxa" w:w="16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6. Gabinete, focal e respondente</w:t>
            </w:r>
          </w:p>
        </w:tc>
        <w:tc>
          <w:tcPr>
            <w:tcW w:type="dxa" w:w="557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Focal e respondente na V1; Gabinete vai à reunião sem presunção.</w:t>
            </w:r>
          </w:p>
        </w:tc>
        <w:tc>
          <w:tcPr>
            <w:tcW w:type="dxa" w:w="214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V1 / a definir</w:t>
            </w:r>
          </w:p>
        </w:tc>
      </w:tr>
      <w:tr>
        <w:trPr>
          <w:cantSplit/>
        </w:trPr>
        <w:tc>
          <w:tcPr>
            <w:tcW w:type="dxa" w:w="1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7. Fluxos distintos</w:t>
            </w:r>
          </w:p>
        </w:tc>
        <w:tc>
          <w:tcPr>
            <w:tcW w:type="dxa" w:w="557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Validar os fluxos já representados por perfil e toggle.</w:t>
            </w:r>
          </w:p>
        </w:tc>
        <w:tc>
          <w:tcPr>
            <w:tcW w:type="dxa" w:w="214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V1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5570"/>
        <w:gridCol w:w="214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5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Tratamento na resposta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8. Flexibilidade operacional</w:t>
            </w:r>
          </w:p>
        </w:tc>
        <w:tc>
          <w:tcPr>
            <w:tcW w:type="dxa" w:w="557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Preservar flexibilidade com autoria, data, estados e encaminhamento auditáveis.</w:t>
            </w:r>
          </w:p>
        </w:tc>
        <w:tc>
          <w:tcPr>
            <w:tcW w:type="dxa" w:w="214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V1; exceções abertas</w:t>
            </w:r>
          </w:p>
        </w:tc>
      </w:tr>
      <w:tr>
        <w:trPr>
          <w:cantSplit/>
        </w:trPr>
        <w:tc>
          <w:tcPr>
            <w:tcW w:type="dxa" w:w="16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9. Limites dos sistemas</w:t>
            </w:r>
          </w:p>
        </w:tc>
        <w:tc>
          <w:tcPr>
            <w:tcW w:type="dxa" w:w="557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Agiliza opera coletas; fontes externas entram por integração quando aprovadas.</w:t>
            </w:r>
          </w:p>
        </w:tc>
        <w:tc>
          <w:tcPr>
            <w:tcW w:type="dxa" w:w="214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Transversal</w:t>
            </w:r>
          </w:p>
        </w:tc>
      </w:tr>
      <w:tr>
        <w:trPr>
          <w:cantSplit/>
        </w:trPr>
        <w:tc>
          <w:tcPr>
            <w:tcW w:type="dxa" w:w="1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10. Ciclo de coleta</w:t>
            </w:r>
          </w:p>
        </w:tc>
        <w:tc>
          <w:tcPr>
            <w:tcW w:type="dxa" w:w="557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Manter como núcleo operacional e validar seus marcos e transições.</w:t>
            </w:r>
          </w:p>
        </w:tc>
        <w:tc>
          <w:tcPr>
            <w:tcW w:type="dxa" w:w="214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V1</w:t>
            </w:r>
          </w:p>
        </w:tc>
      </w:tr>
      <w:tr>
        <w:trPr>
          <w:cantSplit/>
        </w:trPr>
        <w:tc>
          <w:tcPr>
            <w:tcW w:type="dxa" w:w="16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11. Dashboard</w:t>
            </w:r>
          </w:p>
        </w:tc>
        <w:tc>
          <w:tcPr>
            <w:tcW w:type="dxa" w:w="557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Entregar acompanhamento operacional essencial; sem ranking.</w:t>
            </w:r>
          </w:p>
        </w:tc>
        <w:tc>
          <w:tcPr>
            <w:tcW w:type="dxa" w:w="214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V1</w:t>
            </w:r>
          </w:p>
        </w:tc>
      </w:tr>
      <w:tr>
        <w:trPr>
          <w:cantSplit/>
        </w:trPr>
        <w:tc>
          <w:tcPr>
            <w:tcW w:type="dxa" w:w="1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12. Entregas esperadas</w:t>
            </w:r>
          </w:p>
        </w:tc>
        <w:tc>
          <w:tcPr>
            <w:tcW w:type="dxa" w:w="557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Converter em roteiro de validação, matriz, inventário e roadmap.</w:t>
            </w:r>
          </w:p>
        </w:tc>
        <w:tc>
          <w:tcPr>
            <w:tcW w:type="dxa" w:w="214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Planejamento</w:t>
            </w:r>
          </w:p>
        </w:tc>
      </w:tr>
      <w:tr>
        <w:trPr>
          <w:cantSplit/>
        </w:trPr>
        <w:tc>
          <w:tcPr>
            <w:tcW w:type="dxa" w:w="16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13. Ordem de execução</w:t>
            </w:r>
          </w:p>
        </w:tc>
        <w:tc>
          <w:tcPr>
            <w:tcW w:type="dxa" w:w="557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Adaptar à existência do frontend: mostrar, avaliar lacunas, validar e só depois implementar.</w:t>
            </w:r>
          </w:p>
        </w:tc>
        <w:tc>
          <w:tcPr>
            <w:tcW w:type="dxa" w:w="214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Método</w:t>
            </w:r>
          </w:p>
        </w:tc>
      </w:tr>
      <w:tr>
        <w:trPr>
          <w:cantSplit/>
        </w:trPr>
        <w:tc>
          <w:tcPr>
            <w:tcW w:type="dxa" w:w="1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14. Continuidade</w:t>
            </w:r>
          </w:p>
        </w:tc>
        <w:tc>
          <w:tcPr>
            <w:tcW w:type="dxa" w:w="557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Adotar validação prévia para toda dúvida que mude modelo, papel, fluxo ou responsabilidade.</w:t>
            </w:r>
          </w:p>
        </w:tc>
        <w:tc>
          <w:tcPr>
            <w:tcW w:type="dxa" w:w="214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Governança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Heading1"/>
        <w:keepNext/>
        <w:pageBreakBefore w:val="0"/>
      </w:pPr>
      <w:r>
        <w:t>7. Roteiro proposto para a reunião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050"/>
        <w:gridCol w:w="5650"/>
        <w:gridCol w:w="96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Tempo</w:t>
            </w:r>
          </w:p>
        </w:tc>
      </w:tr>
      <w:tr>
        <w:trPr>
          <w:cantSplit/>
        </w:trPr>
        <w:tc>
          <w:tcPr>
            <w:tcW w:type="dxa" w:w="7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1</w:t>
            </w:r>
          </w:p>
        </w:tc>
        <w:tc>
          <w:tcPr>
            <w:tcW w:type="dxa" w:w="20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Contextualizar a minuta</w:t>
            </w:r>
          </w:p>
        </w:tc>
        <w:tc>
          <w:tcPr>
            <w:tcW w:type="dxa" w:w="5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Explicar objetivo, natureza de proposta e limites da reunião.</w:t>
            </w:r>
          </w:p>
        </w:tc>
        <w:tc>
          <w:tcPr>
            <w:tcW w:type="dxa" w:w="9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5 min</w:t>
            </w:r>
          </w:p>
        </w:tc>
      </w:tr>
      <w:tr>
        <w:trPr>
          <w:cantSplit/>
        </w:trPr>
        <w:tc>
          <w:tcPr>
            <w:tcW w:type="dxa" w:w="7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2</w:t>
            </w:r>
          </w:p>
        </w:tc>
        <w:tc>
          <w:tcPr>
            <w:tcW w:type="dxa" w:w="20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Mostrar o que existe</w:t>
            </w:r>
          </w:p>
        </w:tc>
        <w:tc>
          <w:tcPr>
            <w:tcW w:type="dxa" w:w="56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Apresentar as telas atuais por jornada, sem tratá-las como definitivas.</w:t>
            </w:r>
          </w:p>
        </w:tc>
        <w:tc>
          <w:tcPr>
            <w:tcW w:type="dxa" w:w="9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15 min</w:t>
            </w:r>
          </w:p>
        </w:tc>
      </w:tr>
      <w:tr>
        <w:trPr>
          <w:cantSplit/>
        </w:trPr>
        <w:tc>
          <w:tcPr>
            <w:tcW w:type="dxa" w:w="7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3</w:t>
            </w:r>
          </w:p>
        </w:tc>
        <w:tc>
          <w:tcPr>
            <w:tcW w:type="dxa" w:w="20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Avaliar mudanças da V1</w:t>
            </w:r>
          </w:p>
        </w:tc>
        <w:tc>
          <w:tcPr>
            <w:tcW w:type="dxa" w:w="5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Comparar tela atual e proposta quando houver ajuste de conteúdo, ação ou fluxo.</w:t>
            </w:r>
          </w:p>
        </w:tc>
        <w:tc>
          <w:tcPr>
            <w:tcW w:type="dxa" w:w="9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25 min</w:t>
            </w:r>
          </w:p>
        </w:tc>
      </w:tr>
      <w:tr>
        <w:trPr>
          <w:cantSplit/>
        </w:trPr>
        <w:tc>
          <w:tcPr>
            <w:tcW w:type="dxa" w:w="7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4</w:t>
            </w:r>
          </w:p>
        </w:tc>
        <w:tc>
          <w:tcPr>
            <w:tcW w:type="dxa" w:w="20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Validar o dashboard</w:t>
            </w:r>
          </w:p>
        </w:tc>
        <w:tc>
          <w:tcPr>
            <w:tcW w:type="dxa" w:w="56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Confirmar indicadores operacionais essenciais e excluir ranking.</w:t>
            </w:r>
          </w:p>
        </w:tc>
        <w:tc>
          <w:tcPr>
            <w:tcW w:type="dxa" w:w="9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15 min</w:t>
            </w:r>
          </w:p>
        </w:tc>
      </w:tr>
      <w:tr>
        <w:trPr>
          <w:cantSplit/>
        </w:trPr>
        <w:tc>
          <w:tcPr>
            <w:tcW w:type="dxa" w:w="7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5</w:t>
            </w:r>
          </w:p>
        </w:tc>
        <w:tc>
          <w:tcPr>
            <w:tcW w:type="dxa" w:w="20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Fechar decisões abertas</w:t>
            </w:r>
          </w:p>
        </w:tc>
        <w:tc>
          <w:tcPr>
            <w:tcW w:type="dxa" w:w="5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Gabinete, matriz de permissões, piloto e pontos que bloqueiam a V1.</w:t>
            </w:r>
          </w:p>
        </w:tc>
        <w:tc>
          <w:tcPr>
            <w:tcW w:type="dxa" w:w="9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10 min</w:t>
            </w:r>
          </w:p>
        </w:tc>
      </w:tr>
      <w:tr>
        <w:trPr>
          <w:cantSplit/>
        </w:trPr>
        <w:tc>
          <w:tcPr>
            <w:tcW w:type="dxa" w:w="7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6</w:t>
            </w:r>
          </w:p>
        </w:tc>
        <w:tc>
          <w:tcPr>
            <w:tcW w:type="dxa" w:w="20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Explicar o que falta</w:t>
            </w:r>
          </w:p>
        </w:tc>
        <w:tc>
          <w:tcPr>
            <w:tcW w:type="dxa" w:w="56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Distinguir protótipo visual de produto utilizável: backend, dados, acesso, arquivos e homologação.</w:t>
            </w:r>
          </w:p>
        </w:tc>
        <w:tc>
          <w:tcPr>
            <w:tcW w:type="dxa" w:w="9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10 min</w:t>
            </w:r>
          </w:p>
        </w:tc>
      </w:tr>
      <w:tr>
        <w:trPr>
          <w:cantSplit/>
        </w:trPr>
        <w:tc>
          <w:tcPr>
            <w:tcW w:type="dxa" w:w="7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7</w:t>
            </w:r>
          </w:p>
        </w:tc>
        <w:tc>
          <w:tcPr>
            <w:tcW w:type="dxa" w:w="20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Apresentar o roadmap</w:t>
            </w:r>
          </w:p>
        </w:tc>
        <w:tc>
          <w:tcPr>
            <w:tcW w:type="dxa" w:w="56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V2 com SIMONI condicionado; V3 e posterior sem telas nesta etapa.</w:t>
            </w:r>
          </w:p>
        </w:tc>
        <w:tc>
          <w:tcPr>
            <w:tcW w:type="dxa" w:w="9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5 min</w:t>
            </w:r>
          </w:p>
        </w:tc>
      </w:tr>
      <w:tr>
        <w:trPr>
          <w:cantSplit/>
        </w:trPr>
        <w:tc>
          <w:tcPr>
            <w:tcW w:type="dxa" w:w="7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8</w:t>
            </w:r>
          </w:p>
        </w:tc>
        <w:tc>
          <w:tcPr>
            <w:tcW w:type="dxa" w:w="20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Registrar encaminhamentos</w:t>
            </w:r>
          </w:p>
        </w:tc>
        <w:tc>
          <w:tcPr>
            <w:tcW w:type="dxa" w:w="56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Decisões, responsáveis, prazos e artefatos que deverão ser atualizados.</w:t>
            </w:r>
          </w:p>
        </w:tc>
        <w:tc>
          <w:tcPr>
            <w:tcW w:type="dxa" w:w="9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5 min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Heading2"/>
        <w:keepNext/>
        <w:pageBreakBefore w:val="0"/>
      </w:pPr>
      <w:r>
        <w:t>7.1 Perguntas de validação por tela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A finalidade da tela é compreendida sem explicação adicional?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A hierarquia das informações corresponde à ordem real de trabalho?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Os campos exibidos são necessários, compreensíveis e pertencem ao Agiliza?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As ações disponíveis correspondem ao papel e ao momento do ciclo?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Está claro quem recebe, acompanha, encaminha, responde e valida?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O resultado de cada ação e a próxima etapa ficam evidentes?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A tela atual pode ser aprovada ou precisa de uma proposta V1 comparativa?</w:t>
      </w:r>
    </w:p>
    <w:p>
      <w:pPr>
        <w:pStyle w:val="Heading2"/>
        <w:keepNext/>
        <w:pageBreakBefore w:val="0"/>
      </w:pPr>
      <w:r>
        <w:t>7.2 Decisões que a reunião deve produzir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860"/>
        <w:gridCol w:w="240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Saída esperada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Perfil Gabinete</w:t>
            </w:r>
          </w:p>
        </w:tc>
        <w:tc>
          <w:tcPr>
            <w:tcW w:type="dxa" w:w="48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Existe? Qual finalidade, escopo e permissões?</w:t>
            </w:r>
          </w:p>
        </w:tc>
        <w:tc>
          <w:tcPr>
            <w:tcW w:type="dxa" w:w="24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 definir</w:t>
            </w:r>
          </w:p>
        </w:tc>
      </w:tr>
      <w:tr>
        <w:trPr>
          <w:cantSplit/>
        </w:trPr>
        <w:tc>
          <w:tcPr>
            <w:tcW w:type="dxa" w:w="21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Dashboard V1</w:t>
            </w:r>
          </w:p>
        </w:tc>
        <w:tc>
          <w:tcPr>
            <w:tcW w:type="dxa" w:w="48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Quais indicadores essenciais serão aprovados?</w:t>
            </w:r>
          </w:p>
        </w:tc>
        <w:tc>
          <w:tcPr>
            <w:tcW w:type="dxa" w:w="24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Validar lista proposta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Mudanças nas telas</w:t>
            </w:r>
          </w:p>
        </w:tc>
        <w:tc>
          <w:tcPr>
            <w:tcW w:type="dxa" w:w="48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Quais telas ficam como estão e quais exigem proposta comparativa?</w:t>
            </w:r>
          </w:p>
        </w:tc>
        <w:tc>
          <w:tcPr>
            <w:tcW w:type="dxa" w:w="24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Registrar por tela</w:t>
            </w:r>
          </w:p>
        </w:tc>
      </w:tr>
      <w:tr>
        <w:trPr>
          <w:cantSplit/>
        </w:trPr>
        <w:tc>
          <w:tcPr>
            <w:tcW w:type="dxa" w:w="21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Piloto</w:t>
            </w:r>
          </w:p>
        </w:tc>
        <w:tc>
          <w:tcPr>
            <w:tcW w:type="dxa" w:w="486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Qual objeto, UGs e adjuntas participarão?</w:t>
            </w:r>
          </w:p>
        </w:tc>
        <w:tc>
          <w:tcPr>
            <w:tcW w:type="dxa" w:w="24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 definir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SIMONI V2</w:t>
            </w:r>
          </w:p>
        </w:tc>
        <w:tc>
          <w:tcPr>
            <w:tcW w:type="dxa" w:w="486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Quais insumos precisam existir antes de iniciar a integração?</w:t>
            </w:r>
          </w:p>
        </w:tc>
        <w:tc>
          <w:tcPr>
            <w:tcW w:type="dxa" w:w="24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Confirmar dependências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Heading1"/>
        <w:keepNext/>
        <w:pageBreakBefore w:val="0"/>
      </w:pPr>
      <w:r>
        <w:t>8. Briefing para uso futuro do Claude Design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O Claude Design será utilizado somente em uma etapa posterior. A finalidade será reproduzir e organizar as telas da V1 para validação, sem modificar o repositório e sem transformar propostas visuais em funcionalidades aprovadas.</w:t>
      </w:r>
    </w:p>
    <w:p>
      <w:pPr>
        <w:pStyle w:val="Heading2"/>
        <w:keepNext/>
        <w:pageBreakBefore w:val="0"/>
      </w:pPr>
      <w:r>
        <w:t>8.1 Fontes e ordem de autoridade visual</w:t>
      </w:r>
    </w:p>
    <w:p>
      <w:pPr>
        <w:numPr>
          <w:ilvl w:val="0"/>
          <w:numId w:val="10"/>
        </w:numPr>
        <w:spacing w:before="0" w:after="100" w:line="264" w:lineRule="auto"/>
      </w:pPr>
      <w:r>
        <w:rPr>
          <w:rFonts w:ascii="Calibri" w:hAnsi="Calibri"/>
          <w:color w:val="1F2937"/>
          <w:sz w:val="21"/>
        </w:rPr>
        <w:t>captura da tela executada no estado e viewport definidos;</w:t>
      </w:r>
    </w:p>
    <w:p>
      <w:pPr>
        <w:numPr>
          <w:ilvl w:val="0"/>
          <w:numId w:val="10"/>
        </w:numPr>
        <w:spacing w:before="0" w:after="100" w:line="264" w:lineRule="auto"/>
      </w:pPr>
      <w:r>
        <w:rPr>
          <w:rFonts w:ascii="Calibri" w:hAnsi="Calibri"/>
          <w:color w:val="1F2937"/>
          <w:sz w:val="21"/>
        </w:rPr>
        <w:t>estilos, identidade e componentes do frontend;</w:t>
      </w:r>
    </w:p>
    <w:p>
      <w:pPr>
        <w:numPr>
          <w:ilvl w:val="0"/>
          <w:numId w:val="10"/>
        </w:numPr>
        <w:spacing w:before="0" w:after="100" w:line="264" w:lineRule="auto"/>
      </w:pPr>
      <w:r>
        <w:rPr>
          <w:rFonts w:ascii="Calibri" w:hAnsi="Calibri"/>
          <w:color w:val="1F2937"/>
          <w:sz w:val="21"/>
        </w:rPr>
        <w:t>rota e feature correspondentes;</w:t>
      </w:r>
    </w:p>
    <w:p>
      <w:pPr>
        <w:numPr>
          <w:ilvl w:val="0"/>
          <w:numId w:val="10"/>
        </w:numPr>
        <w:spacing w:before="0" w:after="100" w:line="264" w:lineRule="auto"/>
      </w:pPr>
      <w:r>
        <w:rPr>
          <w:rFonts w:ascii="Calibri" w:hAnsi="Calibri"/>
          <w:color w:val="1F2937"/>
          <w:sz w:val="21"/>
        </w:rPr>
        <w:t>este documento para limites de escopo e classificação por versão.</w:t>
      </w:r>
    </w:p>
    <w:p>
      <w:pPr>
        <w:pStyle w:val="Heading2"/>
        <w:keepNext/>
        <w:pageBreakBefore w:val="0"/>
      </w:pPr>
      <w:r>
        <w:t>8.2 Arquivos a fornecer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frontend/src/styles.css e frontend/public/brand/;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frontend/src/components/ui/ e frontend/src/components/shell/;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frontend/src/features/auth/LoginScreen.tsx;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frontend/src/features/institutional-collections/, excluindo testes;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frontend/src/app/, selecionando pages e layouts da V1;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frontend/src/application/navigation.ts e labels.ts;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capturas das telas atuais nos estados necessários.</w:t>
      </w:r>
    </w:p>
    <w:p>
      <w:pPr>
        <w:pStyle w:val="Heading2"/>
        <w:keepNext/>
        <w:pageBreakBefore w:val="0"/>
      </w:pPr>
      <w:r>
        <w:t>8.3 Regras do trabalho no Claude Design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reproduzir primeiro a tela atual com fidelidade de conteúdo, composição e identidade;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quando houver mudança em estudo, duplicar em 'Tela atual' e 'Proposta V1';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permitir revisão de qualquer tela atual, sem presumir que já foi aprovada;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não inventar textos, campos, papéis, ações, estados, indicadores ou integrações;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não criar telas de V2, V3 ou posterior;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não alterar o código nem gerar implementação;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color w:val="1F2937"/>
          <w:sz w:val="21"/>
        </w:rPr>
        <w:t>marcar dúvidas como comentários para decisão da equipe.</w:t>
      </w:r>
    </w:p>
    <w:p>
      <w:pPr>
        <w:pStyle w:val="Heading2"/>
        <w:keepNext/>
        <w:pageBreakBefore w:val="0"/>
      </w:pPr>
      <w:r>
        <w:t>8.4 Prompt inicial sugerido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7F9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6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Você está preparando material de validação da V1 do Agiliza Transparência.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after="6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Leia somente os arquivos selecionados do frontend e use as capturas fornecidas como autoridade visual. Não altere o repositório, não escreva código e não redesenhe livremente o produto.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after="6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Primeiro, reproduza fielmente cada tela existente, preservando textos, componentes, hierarquia, estados visíveis, cores e espaçamento. Organize as telas por Servidor STC, ponto focal e respondente.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after="6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Quando a equipe indicar uma possível mudança da V1, duplique a tela e apresente lado a lado: 'Tela atual' e 'Proposta V1'. Não trate nenhuma proposta como aprovada. Qualquer tela atual pode ser revisada.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after="6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Não crie telas ou funcionalidades de V2, V3 ou posterior. Não invente o perfil Gabinete, integração SIMONI, ranking, indicadores, permissões, campos ou fluxos. Registre dúvidas como comentários para decisão na reunião.</w:t>
            </w:r>
          </w:p>
          <w:p>
            <w:pPr>
              <w:spacing w:after="20" w:line="252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after="6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O resultado deve permitir à chefia aprovar a tela atual, solicitar uma proposta V1, adiar a decisão ou registrar uma pendência.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keepNext w:val="0"/>
        <w:spacing w:before="0" w:after="160" w:line="264" w:lineRule="auto"/>
      </w:pPr>
      <w:r>
        <w:rPr>
          <w:rFonts w:ascii="Calibri" w:hAnsi="Calibri"/>
          <w:b/>
          <w:i w:val="0"/>
          <w:color w:val="5F6B7A"/>
          <w:sz w:val="19"/>
        </w:rPr>
        <w:t xml:space="preserve">Referências oficiais: </w:t>
      </w:r>
      <w:hyperlink r:id="rId12">
        <w:r>
          <w:rPr>
            <w:color w:val="2E74B5"/>
            <w:u w:val="single"/>
          </w:rPr>
          <w:t>Claude Design</w:t>
        </w:r>
      </w:hyperlink>
      <w:r>
        <w:rPr>
          <w:rFonts w:ascii="Calibri" w:hAnsi="Calibri"/>
          <w:color w:val="5F6B7A"/>
          <w:sz w:val="19"/>
        </w:rPr>
        <w:t xml:space="preserve"> e </w:t>
      </w:r>
      <w:hyperlink r:id="rId13">
        <w:r>
          <w:rPr>
            <w:color w:val="2E74B5"/>
            <w:u w:val="single"/>
          </w:rPr>
          <w:t>integração GitHub do Claude</w:t>
        </w:r>
      </w:hyperlink>
      <w:r>
        <w:rPr>
          <w:rFonts w:ascii="Calibri" w:hAnsi="Calibri"/>
          <w:color w:val="5F6B7A"/>
          <w:sz w:val="19"/>
        </w:rPr>
        <w:t>.</w:t>
      </w:r>
    </w:p>
    <w:p>
      <w:pPr>
        <w:pStyle w:val="Heading1"/>
        <w:keepNext/>
        <w:pageBreakBefore w:val="0"/>
      </w:pPr>
      <w:r>
        <w:t>9. Próximos passos</w:t>
      </w:r>
    </w:p>
    <w:p>
      <w:pPr>
        <w:numPr>
          <w:ilvl w:val="0"/>
          <w:numId w:val="11"/>
        </w:numPr>
        <w:spacing w:before="0" w:after="100" w:line="264" w:lineRule="auto"/>
      </w:pPr>
      <w:r>
        <w:rPr>
          <w:rFonts w:ascii="Calibri" w:hAnsi="Calibri"/>
          <w:color w:val="1F2937"/>
          <w:sz w:val="21"/>
        </w:rPr>
        <w:t>Encaminhar esta resposta e a minuta para leitura prévia da chefia e de Alessandra.</w:t>
      </w:r>
    </w:p>
    <w:p>
      <w:pPr>
        <w:numPr>
          <w:ilvl w:val="0"/>
          <w:numId w:val="11"/>
        </w:numPr>
        <w:spacing w:before="0" w:after="100" w:line="264" w:lineRule="auto"/>
      </w:pPr>
      <w:r>
        <w:rPr>
          <w:rFonts w:ascii="Calibri" w:hAnsi="Calibri"/>
          <w:color w:val="1F2937"/>
          <w:sz w:val="21"/>
        </w:rPr>
        <w:t>Preparar a demonstração do frontend atual, sem alteração de código.</w:t>
      </w:r>
    </w:p>
    <w:p>
      <w:pPr>
        <w:numPr>
          <w:ilvl w:val="0"/>
          <w:numId w:val="11"/>
        </w:numPr>
        <w:spacing w:before="0" w:after="100" w:line="264" w:lineRule="auto"/>
      </w:pPr>
      <w:r>
        <w:rPr>
          <w:rFonts w:ascii="Calibri" w:hAnsi="Calibri"/>
          <w:color w:val="1F2937"/>
          <w:sz w:val="21"/>
        </w:rPr>
        <w:t>Realizar a reunião seguindo a sequência proposta e registrar cada decisão.</w:t>
      </w:r>
    </w:p>
    <w:p>
      <w:pPr>
        <w:numPr>
          <w:ilvl w:val="0"/>
          <w:numId w:val="11"/>
        </w:numPr>
        <w:spacing w:before="0" w:after="100" w:line="264" w:lineRule="auto"/>
      </w:pPr>
      <w:r>
        <w:rPr>
          <w:rFonts w:ascii="Calibri" w:hAnsi="Calibri"/>
          <w:color w:val="1F2937"/>
          <w:sz w:val="21"/>
        </w:rPr>
        <w:t>Somente depois da reunião, atualizar o roadmap e as fontes canônicas afetadas.</w:t>
      </w:r>
    </w:p>
    <w:p>
      <w:pPr>
        <w:numPr>
          <w:ilvl w:val="0"/>
          <w:numId w:val="11"/>
        </w:numPr>
        <w:spacing w:before="0" w:after="100" w:line="264" w:lineRule="auto"/>
      </w:pPr>
      <w:r>
        <w:rPr>
          <w:rFonts w:ascii="Calibri" w:hAnsi="Calibri"/>
          <w:color w:val="1F2937"/>
          <w:sz w:val="21"/>
        </w:rPr>
        <w:t>Autorizar separadamente qualquer trabalho de interface, funcionalidade, backend ou integração.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F5EE"/>
            <w:tcBorders>
              <w:top w:val="single" w:sz="8" w:color="1F6F55"/>
              <w:start w:val="single" w:sz="8" w:color="1F6F55"/>
              <w:bottom w:val="single" w:sz="8" w:color="1F6F55"/>
              <w:end w:val="single" w:sz="8" w:color="1F6F55"/>
              <w:insideH w:val="single" w:sz="8" w:color="1F6F55"/>
              <w:insideV w:val="single" w:sz="8" w:color="1F6F55"/>
            </w:tcBorders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F6F55"/>
                <w:sz w:val="21"/>
              </w:rPr>
              <w:t xml:space="preserve">Encaminhamento final: </w:t>
            </w:r>
            <w:r>
              <w:rPr>
                <w:rFonts w:ascii="Calibri" w:hAnsi="Calibri"/>
                <w:color w:val="1F2937"/>
                <w:sz w:val="21"/>
              </w:rPr>
              <w:t>A resposta recomendada à minuta é concordar com a necessidade de clareza e validação, preservar o que já foi desenvolvido, decidir ajustes da V1 antes de implementá-los e impedir que SIMONI, ranking ou papéis ainda indefinidos ampliem prematuramente o primeiro MVP.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Heading1"/>
        <w:keepNext/>
        <w:pageBreakBefore w:val="0"/>
      </w:pPr>
      <w:r>
        <w:t>Anexo A — Registro de decisões da reunião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/>
          <w:color w:val="5F6B7A"/>
          <w:sz w:val="19"/>
        </w:rPr>
        <w:t>Preencher somente durante ou após a reunião. A ausência de decisão deve permanecer explícita, sem solução presumida.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710"/>
        <w:gridCol w:w="1900"/>
        <w:gridCol w:w="1400"/>
      </w:tblGrid>
      <w:tr>
        <w:trPr>
          <w:tblHeader w:val="true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B67"/>
            <w:tcBorders>
              <w:top w:val="single" w:sz="6" w:color="163B67"/>
              <w:start w:val="single" w:sz="6" w:color="163B67"/>
              <w:bottom w:val="single" w:sz="6" w:color="163B67"/>
              <w:end w:val="single" w:sz="6" w:color="163B67"/>
              <w:insideH w:val="single" w:sz="6" w:color="163B67"/>
              <w:insideV w:val="single" w:sz="6" w:color="163B6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Prazo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Perfil Gabinete</w:t>
            </w:r>
          </w:p>
        </w:tc>
        <w:tc>
          <w:tcPr>
            <w:tcW w:type="dxa" w:w="371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23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Dashboard V1</w:t>
            </w:r>
          </w:p>
        </w:tc>
        <w:tc>
          <w:tcPr>
            <w:tcW w:type="dxa" w:w="371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Mudanças de telas</w:t>
            </w:r>
          </w:p>
        </w:tc>
        <w:tc>
          <w:tcPr>
            <w:tcW w:type="dxa" w:w="371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23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Objeto e UGs do piloto</w:t>
            </w:r>
          </w:p>
        </w:tc>
        <w:tc>
          <w:tcPr>
            <w:tcW w:type="dxa" w:w="371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Condições para SIMONI V2</w:t>
            </w:r>
          </w:p>
        </w:tc>
        <w:tc>
          <w:tcPr>
            <w:tcW w:type="dxa" w:w="371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235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Outras decisões</w:t>
            </w:r>
          </w:p>
        </w:tc>
        <w:tc>
          <w:tcPr>
            <w:tcW w:type="dxa" w:w="371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shd w:fill="F8FA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keepNext w:val="0"/>
        <w:spacing w:before="160" w:after="0" w:line="264" w:lineRule="auto"/>
      </w:pPr>
      <w:r>
        <w:rPr>
          <w:rFonts w:ascii="Calibri" w:hAnsi="Calibri"/>
          <w:b w:val="0"/>
          <w:i/>
          <w:color w:val="5F6B7A"/>
          <w:sz w:val="17"/>
        </w:rPr>
        <w:t>Fonte principal: Minuta de Reunião e Diretrizes de Desenvolvimento — Agiliza Transparência, reunião de 10 de agosto de 2026. Esta resposta também considera, apenas para descrever o estado atual, o código e a memória técnica existentes em 24 de agosto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start w:val="nil"/>
        <w:bottom w:val="nil"/>
        <w:end w:val="nil"/>
        <w:insideH w:val="nil"/>
        <w:insideV w:val="nil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Calibri" w:hAnsi="Calibri"/>
              <w:color w:val="5F6B7A"/>
              <w:sz w:val="17"/>
            </w:rPr>
            <w:t>Documento para validação da chefia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F6B7A"/>
              <w:sz w:val="17"/>
            </w:rPr>
            <w:t xml:space="preserve">Página </w:t>
          </w:r>
          <w:r>
            <w:rPr>
              <w:rFonts w:ascii="Calibri" w:hAnsi="Calibri"/>
              <w:color w:val="5F6B7A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F6B7A"/>
              <w:sz w:val="17"/>
            </w:rPr>
            <w:t xml:space="preserve"> de </w:t>
          </w:r>
          <w:r>
            <w:rPr>
              <w:rFonts w:ascii="Calibri" w:hAnsi="Calibri"/>
              <w:color w:val="5F6B7A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F6B7A"/>
        <w:sz w:val="17"/>
      </w:rPr>
      <w:t>AGILIZA TRANSPARÊNCIA  |  RESPOSTA À MINUTA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anthropic.com/news/claude-design-anthropic-labs" TargetMode="External"/><Relationship Id="rId13" Type="http://schemas.openxmlformats.org/officeDocument/2006/relationships/hyperlink" Target="https://support.anthropic.com/en/articles/10167454-using-the-github-integ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Resposta à minuta e roadmap de versões do Agiliza Transparência</dc:title>
  <dc:subject>Planejamento V1, V2, V3 e posterior</dc:subject>
  <dc:creator>Equipe Agiliza Transparência</dc:creator>
  <cp:keywords>Agiliza Transparência, V1, V2, V3, SIMONI, dashboard, Claude Design</cp:keywords>
  <dc:description>Documento de planejamento; não altera contrato ou implementação.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