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 xml:space="preserve">logro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que </w:t>
            </w:r>
            <w:r w:rsidR="4D451EB0" w:rsidRPr="3BD34F3F">
              <w:rPr>
                <w:rFonts w:asciiTheme="minorHAnsi" w:eastAsiaTheme="minorEastAsia" w:hAnsiTheme="minorHAnsi" w:cstheme="minorBidi"/>
                <w:color w:val="000000" w:themeColor="text1"/>
              </w:rPr>
              <w:t xml:space="preserve"> realicé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ni </w:t>
            </w:r>
            <w:r w:rsidR="4D451EB0" w:rsidRPr="3BD34F3F">
              <w:rPr>
                <w:rFonts w:asciiTheme="minorHAnsi" w:eastAsiaTheme="minorEastAsia" w:hAnsiTheme="minorHAnsi" w:cstheme="minorBidi"/>
                <w:color w:val="000000" w:themeColor="text1"/>
              </w:rPr>
              <w:t xml:space="preserve"> justifiqué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p w14:paraId="62F1B1CC" w14:textId="77777777" w:rsidR="0059530D" w:rsidRDefault="0059530D" w:rsidP="759784BE">
      <w:pPr>
        <w:rPr>
          <w:rFonts w:asciiTheme="minorHAnsi" w:eastAsiaTheme="minorEastAsia" w:hAnsiTheme="minorHAnsi" w:cstheme="minorBidi"/>
          <w:color w:val="000000"/>
          <w:sz w:val="22"/>
          <w:szCs w:val="22"/>
          <w:u w:val="single"/>
        </w:rPr>
      </w:pPr>
    </w:p>
    <w:p w14:paraId="1A3BB499" w14:textId="77777777" w:rsidR="0059530D" w:rsidRDefault="0059530D" w:rsidP="759784BE">
      <w:pPr>
        <w:rPr>
          <w:rFonts w:asciiTheme="minorHAnsi" w:eastAsiaTheme="minorEastAsia" w:hAnsiTheme="minorHAnsi" w:cstheme="minorBidi"/>
          <w:color w:val="000000"/>
          <w:sz w:val="22"/>
          <w:szCs w:val="22"/>
          <w:u w:val="single"/>
        </w:rPr>
      </w:pPr>
    </w:p>
    <w:p w14:paraId="3CB2FF34" w14:textId="77777777" w:rsidR="0059530D" w:rsidRDefault="0059530D" w:rsidP="759784BE">
      <w:pPr>
        <w:rPr>
          <w:rFonts w:asciiTheme="minorHAnsi" w:eastAsiaTheme="minorEastAsia" w:hAnsiTheme="minorHAnsi" w:cstheme="minorBidi"/>
          <w:color w:val="000000"/>
          <w:sz w:val="22"/>
          <w:szCs w:val="22"/>
          <w:u w:val="single"/>
        </w:rPr>
      </w:pPr>
    </w:p>
    <w:p w14:paraId="11B6A3A5" w14:textId="77777777" w:rsidR="0059530D" w:rsidRDefault="0059530D" w:rsidP="759784BE">
      <w:pPr>
        <w:rPr>
          <w:rFonts w:asciiTheme="minorHAnsi" w:eastAsiaTheme="minorEastAsia" w:hAnsiTheme="minorHAnsi" w:cstheme="minorBidi"/>
          <w:color w:val="000000"/>
          <w:sz w:val="22"/>
          <w:szCs w:val="22"/>
          <w:u w:val="single"/>
        </w:rPr>
      </w:pPr>
    </w:p>
    <w:p w14:paraId="60C038A1" w14:textId="77777777" w:rsidR="0059530D" w:rsidRDefault="0059530D" w:rsidP="759784BE">
      <w:pPr>
        <w:rPr>
          <w:rFonts w:asciiTheme="minorHAnsi" w:eastAsiaTheme="minorEastAsia" w:hAnsiTheme="minorHAnsi" w:cstheme="minorBidi"/>
          <w:color w:val="000000"/>
          <w:sz w:val="22"/>
          <w:szCs w:val="22"/>
          <w:u w:val="single"/>
        </w:rPr>
      </w:pPr>
    </w:p>
    <w:p w14:paraId="1F0499E0" w14:textId="77777777" w:rsidR="0059530D" w:rsidRDefault="0059530D" w:rsidP="759784BE">
      <w:pPr>
        <w:rPr>
          <w:rFonts w:asciiTheme="minorHAnsi" w:eastAsiaTheme="minorEastAsia" w:hAnsiTheme="minorHAnsi" w:cstheme="minorBidi"/>
          <w:color w:val="000000"/>
          <w:sz w:val="22"/>
          <w:szCs w:val="22"/>
          <w:u w:val="single"/>
        </w:rPr>
      </w:pPr>
    </w:p>
    <w:p w14:paraId="44345D5C" w14:textId="77777777" w:rsidR="0059530D" w:rsidRDefault="0059530D" w:rsidP="759784BE">
      <w:pPr>
        <w:rPr>
          <w:rFonts w:asciiTheme="minorHAnsi" w:eastAsiaTheme="minorEastAsia" w:hAnsiTheme="minorHAnsi" w:cstheme="minorBidi"/>
          <w:color w:val="000000"/>
          <w:sz w:val="22"/>
          <w:szCs w:val="22"/>
          <w:u w:val="single"/>
        </w:rPr>
      </w:pPr>
    </w:p>
    <w:p w14:paraId="02E3FF2F" w14:textId="77777777" w:rsidR="0059530D" w:rsidRDefault="0059530D" w:rsidP="759784BE">
      <w:pPr>
        <w:rPr>
          <w:rFonts w:asciiTheme="minorHAnsi" w:eastAsiaTheme="minorEastAsia" w:hAnsiTheme="minorHAnsi" w:cstheme="minorBidi"/>
          <w:color w:val="000000"/>
          <w:sz w:val="22"/>
          <w:szCs w:val="22"/>
          <w:u w:val="single"/>
        </w:rPr>
      </w:pPr>
    </w:p>
    <w:p w14:paraId="3ADED7D8" w14:textId="77777777" w:rsidR="0059530D" w:rsidRDefault="0059530D" w:rsidP="759784BE">
      <w:pPr>
        <w:rPr>
          <w:rFonts w:asciiTheme="minorHAnsi" w:eastAsiaTheme="minorEastAsia" w:hAnsiTheme="minorHAnsi" w:cstheme="minorBidi"/>
          <w:color w:val="000000"/>
          <w:sz w:val="22"/>
          <w:szCs w:val="22"/>
          <w:u w:val="single"/>
        </w:rPr>
      </w:pPr>
    </w:p>
    <w:p w14:paraId="5548E93C" w14:textId="77777777" w:rsidR="0059530D" w:rsidRDefault="0059530D" w:rsidP="759784BE">
      <w:pPr>
        <w:rPr>
          <w:rFonts w:asciiTheme="minorHAnsi" w:eastAsiaTheme="minorEastAsia" w:hAnsiTheme="minorHAnsi" w:cstheme="minorBidi"/>
          <w:color w:val="000000"/>
          <w:sz w:val="22"/>
          <w:szCs w:val="22"/>
          <w:u w:val="single"/>
        </w:rPr>
      </w:pPr>
    </w:p>
    <w:p w14:paraId="53F9EB97" w14:textId="77777777" w:rsidR="0059530D" w:rsidRDefault="0059530D" w:rsidP="759784BE">
      <w:pPr>
        <w:rPr>
          <w:rFonts w:asciiTheme="minorHAnsi" w:eastAsiaTheme="minorEastAsia" w:hAnsiTheme="minorHAnsi" w:cstheme="minorBidi"/>
          <w:color w:val="000000"/>
          <w:sz w:val="22"/>
          <w:szCs w:val="22"/>
          <w:u w:val="single"/>
        </w:rPr>
      </w:pPr>
    </w:p>
    <w:p w14:paraId="01D3D3DB" w14:textId="77777777" w:rsidR="0059530D" w:rsidRDefault="0059530D" w:rsidP="759784BE">
      <w:pPr>
        <w:rPr>
          <w:rFonts w:asciiTheme="minorHAnsi" w:eastAsiaTheme="minorEastAsia" w:hAnsiTheme="minorHAnsi" w:cstheme="minorBidi"/>
          <w:color w:val="000000"/>
          <w:sz w:val="22"/>
          <w:szCs w:val="22"/>
          <w:u w:val="single"/>
        </w:rPr>
      </w:pPr>
    </w:p>
    <w:p w14:paraId="7DD44B44" w14:textId="77777777" w:rsidR="0059530D" w:rsidRDefault="0059530D" w:rsidP="759784BE">
      <w:pPr>
        <w:rPr>
          <w:rFonts w:asciiTheme="minorHAnsi" w:eastAsiaTheme="minorEastAsia" w:hAnsiTheme="minorHAnsi" w:cstheme="minorBidi"/>
          <w:color w:val="000000"/>
          <w:sz w:val="22"/>
          <w:szCs w:val="22"/>
          <w:u w:val="single"/>
        </w:rPr>
      </w:pPr>
    </w:p>
    <w:p w14:paraId="5D7CA39D" w14:textId="77777777" w:rsidR="0059530D" w:rsidRDefault="0059530D" w:rsidP="759784BE">
      <w:pPr>
        <w:rPr>
          <w:rFonts w:asciiTheme="minorHAnsi" w:eastAsiaTheme="minorEastAsia" w:hAnsiTheme="minorHAnsi" w:cstheme="minorBidi"/>
          <w:color w:val="000000"/>
          <w:sz w:val="22"/>
          <w:szCs w:val="22"/>
          <w:u w:val="single"/>
        </w:rPr>
      </w:pPr>
    </w:p>
    <w:p w14:paraId="67FD4558" w14:textId="77777777" w:rsidR="0059530D" w:rsidRDefault="0059530D" w:rsidP="759784BE">
      <w:pPr>
        <w:rPr>
          <w:rFonts w:asciiTheme="minorHAnsi" w:eastAsiaTheme="minorEastAsia" w:hAnsiTheme="minorHAnsi" w:cstheme="minorBidi"/>
          <w:color w:val="000000"/>
          <w:sz w:val="22"/>
          <w:szCs w:val="22"/>
          <w:u w:val="single"/>
        </w:rPr>
      </w:pPr>
    </w:p>
    <w:p w14:paraId="707809B3" w14:textId="77777777" w:rsidR="0059530D" w:rsidRDefault="0059530D" w:rsidP="759784BE">
      <w:pPr>
        <w:rPr>
          <w:rFonts w:asciiTheme="minorHAnsi" w:eastAsiaTheme="minorEastAsia" w:hAnsiTheme="minorHAnsi" w:cstheme="minorBidi"/>
          <w:color w:val="000000"/>
          <w:sz w:val="22"/>
          <w:szCs w:val="22"/>
          <w:u w:val="single"/>
        </w:rPr>
      </w:pPr>
    </w:p>
    <w:p w14:paraId="0658DA76" w14:textId="77777777" w:rsidR="0059530D" w:rsidRDefault="0059530D" w:rsidP="759784BE">
      <w:pPr>
        <w:rPr>
          <w:rFonts w:asciiTheme="minorHAnsi" w:eastAsiaTheme="minorEastAsia" w:hAnsiTheme="minorHAnsi" w:cstheme="minorBidi"/>
          <w:color w:val="000000"/>
          <w:sz w:val="22"/>
          <w:szCs w:val="22"/>
          <w:u w:val="single"/>
        </w:rPr>
      </w:pPr>
    </w:p>
    <w:p w14:paraId="30008130" w14:textId="77777777" w:rsidR="0059530D" w:rsidRDefault="0059530D" w:rsidP="759784BE">
      <w:pPr>
        <w:rPr>
          <w:rFonts w:asciiTheme="minorHAnsi" w:eastAsiaTheme="minorEastAsia" w:hAnsiTheme="minorHAnsi" w:cstheme="minorBidi"/>
          <w:color w:val="000000"/>
          <w:sz w:val="22"/>
          <w:szCs w:val="22"/>
          <w:u w:val="single"/>
        </w:rPr>
      </w:pPr>
    </w:p>
    <w:p w14:paraId="38E32621" w14:textId="77777777" w:rsidR="0059530D" w:rsidRDefault="0059530D" w:rsidP="759784BE">
      <w:pPr>
        <w:rPr>
          <w:rFonts w:asciiTheme="minorHAnsi" w:eastAsiaTheme="minorEastAsia" w:hAnsiTheme="minorHAnsi" w:cstheme="minorBidi"/>
          <w:color w:val="000000"/>
          <w:sz w:val="22"/>
          <w:szCs w:val="22"/>
          <w:u w:val="single"/>
        </w:rPr>
      </w:pPr>
    </w:p>
    <w:p w14:paraId="4D3D3F67" w14:textId="77777777" w:rsidR="0059530D" w:rsidRDefault="0059530D" w:rsidP="759784BE">
      <w:pPr>
        <w:rPr>
          <w:rFonts w:asciiTheme="minorHAnsi" w:eastAsiaTheme="minorEastAsia" w:hAnsiTheme="minorHAnsi" w:cstheme="minorBidi"/>
          <w:color w:val="000000"/>
          <w:sz w:val="22"/>
          <w:szCs w:val="22"/>
          <w:u w:val="single"/>
        </w:rPr>
      </w:pPr>
    </w:p>
    <w:p w14:paraId="03907FE1" w14:textId="77777777" w:rsidR="0059530D" w:rsidRDefault="0059530D" w:rsidP="759784BE">
      <w:pPr>
        <w:rPr>
          <w:rFonts w:asciiTheme="minorHAnsi" w:eastAsiaTheme="minorEastAsia" w:hAnsiTheme="minorHAnsi" w:cstheme="minorBidi"/>
          <w:color w:val="000000"/>
          <w:sz w:val="22"/>
          <w:szCs w:val="22"/>
          <w:u w:val="single"/>
        </w:rPr>
      </w:pPr>
    </w:p>
    <w:p w14:paraId="18EB3296" w14:textId="77777777" w:rsidR="0059530D" w:rsidRDefault="0059530D" w:rsidP="759784BE">
      <w:pPr>
        <w:rPr>
          <w:rFonts w:asciiTheme="minorHAnsi" w:eastAsiaTheme="minorEastAsia" w:hAnsiTheme="minorHAnsi" w:cstheme="minorBidi"/>
          <w:color w:val="000000"/>
          <w:sz w:val="22"/>
          <w:szCs w:val="22"/>
          <w:u w:val="single"/>
        </w:rPr>
      </w:pPr>
    </w:p>
    <w:p w14:paraId="366EA666" w14:textId="77777777" w:rsidR="0059530D" w:rsidRDefault="0059530D" w:rsidP="759784BE">
      <w:pPr>
        <w:rPr>
          <w:rFonts w:asciiTheme="minorHAnsi" w:eastAsiaTheme="minorEastAsia" w:hAnsiTheme="minorHAnsi" w:cstheme="minorBidi"/>
          <w:color w:val="000000"/>
          <w:sz w:val="22"/>
          <w:szCs w:val="22"/>
          <w:u w:val="single"/>
        </w:rPr>
      </w:pPr>
    </w:p>
    <w:p w14:paraId="67CDDF47" w14:textId="77777777" w:rsidR="0059530D" w:rsidRDefault="0059530D" w:rsidP="759784BE">
      <w:pPr>
        <w:rPr>
          <w:rFonts w:asciiTheme="minorHAnsi" w:eastAsiaTheme="minorEastAsia" w:hAnsiTheme="minorHAnsi" w:cstheme="minorBidi"/>
          <w:color w:val="000000"/>
          <w:sz w:val="22"/>
          <w:szCs w:val="22"/>
          <w:u w:val="single"/>
        </w:rPr>
      </w:pPr>
    </w:p>
    <w:p w14:paraId="503D449B" w14:textId="77777777" w:rsidR="0059530D" w:rsidRDefault="0059530D" w:rsidP="759784BE">
      <w:pPr>
        <w:rPr>
          <w:rFonts w:asciiTheme="minorHAnsi" w:eastAsiaTheme="minorEastAsia" w:hAnsiTheme="minorHAnsi" w:cstheme="minorBidi"/>
          <w:color w:val="000000"/>
          <w:sz w:val="22"/>
          <w:szCs w:val="22"/>
          <w:u w:val="single"/>
        </w:rPr>
      </w:pPr>
    </w:p>
    <w:p w14:paraId="4C038DFD" w14:textId="77777777" w:rsidR="0059530D" w:rsidRDefault="0059530D" w:rsidP="759784BE">
      <w:pPr>
        <w:rPr>
          <w:rFonts w:asciiTheme="minorHAnsi" w:eastAsiaTheme="minorEastAsia" w:hAnsiTheme="minorHAnsi" w:cstheme="minorBidi"/>
          <w:color w:val="000000"/>
          <w:sz w:val="22"/>
          <w:szCs w:val="22"/>
          <w:u w:val="single"/>
        </w:rPr>
      </w:pPr>
    </w:p>
    <w:p w14:paraId="09494294" w14:textId="77777777" w:rsidR="0059530D" w:rsidRDefault="0059530D" w:rsidP="759784BE">
      <w:pPr>
        <w:rPr>
          <w:rFonts w:asciiTheme="minorHAnsi" w:eastAsiaTheme="minorEastAsia" w:hAnsiTheme="minorHAnsi" w:cstheme="minorBidi"/>
          <w:color w:val="000000"/>
          <w:sz w:val="22"/>
          <w:szCs w:val="22"/>
          <w:u w:val="single"/>
        </w:rPr>
      </w:pPr>
    </w:p>
    <w:p w14:paraId="40B1BEDA" w14:textId="77777777" w:rsidR="0059530D" w:rsidRDefault="0059530D" w:rsidP="759784BE">
      <w:pPr>
        <w:rPr>
          <w:rFonts w:asciiTheme="minorHAnsi" w:eastAsiaTheme="minorEastAsia" w:hAnsiTheme="minorHAnsi" w:cstheme="minorBidi"/>
          <w:color w:val="000000"/>
          <w:sz w:val="22"/>
          <w:szCs w:val="22"/>
          <w:u w:val="single"/>
        </w:rPr>
      </w:pPr>
    </w:p>
    <w:p w14:paraId="04FB54FF" w14:textId="77777777" w:rsidR="0059530D" w:rsidRDefault="0059530D" w:rsidP="759784BE">
      <w:pPr>
        <w:rPr>
          <w:rFonts w:asciiTheme="minorHAnsi" w:eastAsiaTheme="minorEastAsia" w:hAnsiTheme="minorHAnsi" w:cstheme="minorBidi"/>
          <w:color w:val="000000"/>
          <w:sz w:val="22"/>
          <w:szCs w:val="22"/>
          <w:u w:val="single"/>
        </w:rPr>
      </w:pPr>
    </w:p>
    <w:p w14:paraId="4C3DC9C3" w14:textId="77777777" w:rsidR="0059530D" w:rsidRDefault="0059530D" w:rsidP="759784BE">
      <w:pPr>
        <w:rPr>
          <w:rFonts w:asciiTheme="minorHAnsi" w:eastAsiaTheme="minorEastAsia" w:hAnsiTheme="minorHAnsi" w:cstheme="minorBidi"/>
          <w:color w:val="000000"/>
          <w:sz w:val="22"/>
          <w:szCs w:val="22"/>
          <w:u w:val="single"/>
        </w:rPr>
      </w:pPr>
    </w:p>
    <w:p w14:paraId="29175EFB" w14:textId="555F4C61" w:rsidR="0059530D" w:rsidRDefault="008D0E73" w:rsidP="759784BE">
      <w:pPr>
        <w:rPr>
          <w:rFonts w:asciiTheme="minorHAnsi" w:eastAsiaTheme="minorEastAsia" w:hAnsiTheme="minorHAnsi" w:cstheme="minorBidi"/>
          <w:color w:val="000000"/>
          <w:sz w:val="22"/>
          <w:szCs w:val="22"/>
          <w:u w:val="single"/>
        </w:rPr>
      </w:pPr>
      <w:r w:rsidRPr="008D0E73">
        <w:rPr>
          <w:rFonts w:asciiTheme="minorHAnsi" w:eastAsiaTheme="minorEastAsia" w:hAnsiTheme="minorHAnsi" w:cstheme="minorBidi"/>
          <w:color w:val="000000"/>
          <w:sz w:val="22"/>
          <w:szCs w:val="22"/>
          <w:u w:val="single"/>
        </w:rPr>
        <w:lastRenderedPageBreak/>
        <w:t xml:space="preserve">Autoevaluación: Proyecto </w:t>
      </w:r>
      <w:proofErr w:type="spellStart"/>
      <w:r w:rsidRPr="008D0E73">
        <w:rPr>
          <w:rFonts w:asciiTheme="minorHAnsi" w:eastAsiaTheme="minorEastAsia" w:hAnsiTheme="minorHAnsi" w:cstheme="minorBidi"/>
          <w:color w:val="000000"/>
          <w:sz w:val="22"/>
          <w:szCs w:val="22"/>
          <w:u w:val="single"/>
        </w:rPr>
        <w:t>OncoLungNet</w:t>
      </w:r>
      <w:proofErr w:type="spellEnd"/>
    </w:p>
    <w:p w14:paraId="21C83D25" w14:textId="77777777" w:rsidR="008D0E73" w:rsidRDefault="008D0E73" w:rsidP="759784BE">
      <w:pPr>
        <w:rPr>
          <w:rFonts w:asciiTheme="minorHAnsi" w:eastAsiaTheme="minorEastAsia" w:hAnsiTheme="minorHAnsi" w:cstheme="minorBidi"/>
          <w:color w:val="000000"/>
          <w:sz w:val="22"/>
          <w:szCs w:val="22"/>
          <w:u w:val="single"/>
        </w:rPr>
      </w:pPr>
    </w:p>
    <w:p w14:paraId="1AC90789" w14:textId="77777777" w:rsidR="008D0E73" w:rsidRDefault="008D0E73" w:rsidP="008D0E73">
      <w:pPr>
        <w:jc w:val="both"/>
        <w:rPr>
          <w:rFonts w:asciiTheme="minorHAnsi" w:eastAsiaTheme="minorEastAsia" w:hAnsiTheme="minorHAnsi" w:cstheme="minorBidi"/>
          <w:b/>
          <w:bCs/>
          <w:color w:val="000000"/>
          <w:sz w:val="22"/>
          <w:szCs w:val="22"/>
          <w:lang w:val="en-US"/>
        </w:rPr>
      </w:pPr>
      <w:r w:rsidRPr="008D0E73">
        <w:rPr>
          <w:rFonts w:asciiTheme="minorHAnsi" w:eastAsiaTheme="minorEastAsia" w:hAnsiTheme="minorHAnsi" w:cstheme="minorBidi"/>
          <w:b/>
          <w:bCs/>
          <w:color w:val="000000"/>
          <w:sz w:val="22"/>
          <w:szCs w:val="22"/>
          <w:lang w:val="en-US"/>
        </w:rPr>
        <w:t>Abstract (English)</w:t>
      </w:r>
    </w:p>
    <w:p w14:paraId="047931B8" w14:textId="77777777" w:rsidR="008D0E73" w:rsidRPr="008D0E73" w:rsidRDefault="008D0E73" w:rsidP="008D0E73">
      <w:pPr>
        <w:jc w:val="both"/>
        <w:rPr>
          <w:rFonts w:asciiTheme="minorHAnsi" w:eastAsiaTheme="minorEastAsia" w:hAnsiTheme="minorHAnsi" w:cstheme="minorBidi"/>
          <w:b/>
          <w:bCs/>
          <w:color w:val="000000"/>
          <w:sz w:val="22"/>
          <w:szCs w:val="22"/>
          <w:lang w:val="en-US"/>
        </w:rPr>
      </w:pPr>
    </w:p>
    <w:p w14:paraId="2D32D828" w14:textId="77777777" w:rsidR="008D0E73" w:rsidRPr="008D0E73" w:rsidRDefault="008D0E73" w:rsidP="008D0E73">
      <w:pPr>
        <w:jc w:val="both"/>
        <w:rPr>
          <w:rFonts w:asciiTheme="minorHAnsi" w:eastAsiaTheme="minorEastAsia" w:hAnsiTheme="minorHAnsi" w:cstheme="minorBidi"/>
          <w:color w:val="000000"/>
          <w:sz w:val="22"/>
          <w:szCs w:val="22"/>
          <w:lang w:val="en-US"/>
        </w:rPr>
      </w:pPr>
      <w:proofErr w:type="spellStart"/>
      <w:r w:rsidRPr="008D0E73">
        <w:rPr>
          <w:rFonts w:asciiTheme="minorHAnsi" w:eastAsiaTheme="minorEastAsia" w:hAnsiTheme="minorHAnsi" w:cstheme="minorBidi"/>
          <w:color w:val="000000"/>
          <w:sz w:val="22"/>
          <w:szCs w:val="22"/>
          <w:lang w:val="en-US"/>
        </w:rPr>
        <w:t>OncoLungNet</w:t>
      </w:r>
      <w:proofErr w:type="spellEnd"/>
      <w:r w:rsidRPr="008D0E73">
        <w:rPr>
          <w:rFonts w:asciiTheme="minorHAnsi" w:eastAsiaTheme="minorEastAsia" w:hAnsiTheme="minorHAnsi" w:cstheme="minorBidi"/>
          <w:color w:val="000000"/>
          <w:sz w:val="22"/>
          <w:szCs w:val="22"/>
          <w:lang w:val="en-US"/>
        </w:rPr>
        <w:t xml:space="preserve"> aims to create a machine learning-based predictive model for the early detection of lung cancer. Adjustments to the initial proposal included addressing challenges such as inconsistent data and limited labeled datasets. These were resolved through synthetic data generation and collaboration with healthcare professionals. The methodology focused on disciplined data preprocessing, model training, and result visualization to achieve project objectives. Evidence of progress includes prototypes, performance metrics, and graphical outputs. The project underscores the potential of machine learning in advancing oncology diagnostics through innovation and interdisciplinary efforts.</w:t>
      </w:r>
    </w:p>
    <w:p w14:paraId="2019E62E" w14:textId="77777777" w:rsidR="008D0E73" w:rsidRDefault="008D0E73" w:rsidP="008D0E73">
      <w:pPr>
        <w:jc w:val="both"/>
        <w:rPr>
          <w:rFonts w:asciiTheme="minorHAnsi" w:eastAsiaTheme="minorEastAsia" w:hAnsiTheme="minorHAnsi" w:cstheme="minorBidi"/>
          <w:b/>
          <w:bCs/>
          <w:color w:val="000000"/>
          <w:sz w:val="22"/>
          <w:szCs w:val="22"/>
          <w:lang w:val="es-419"/>
        </w:rPr>
      </w:pPr>
    </w:p>
    <w:p w14:paraId="129B31A7" w14:textId="063E539A" w:rsidR="008D0E73" w:rsidRDefault="008D0E73" w:rsidP="008D0E73">
      <w:pPr>
        <w:jc w:val="both"/>
        <w:rPr>
          <w:rFonts w:asciiTheme="minorHAnsi" w:eastAsiaTheme="minorEastAsia" w:hAnsiTheme="minorHAnsi" w:cstheme="minorBidi"/>
          <w:b/>
          <w:bCs/>
          <w:color w:val="000000"/>
          <w:sz w:val="22"/>
          <w:szCs w:val="22"/>
          <w:lang w:val="es-419"/>
        </w:rPr>
      </w:pPr>
      <w:proofErr w:type="spellStart"/>
      <w:r w:rsidRPr="008D0E73">
        <w:rPr>
          <w:rFonts w:asciiTheme="minorHAnsi" w:eastAsiaTheme="minorEastAsia" w:hAnsiTheme="minorHAnsi" w:cstheme="minorBidi"/>
          <w:b/>
          <w:bCs/>
          <w:color w:val="000000"/>
          <w:sz w:val="22"/>
          <w:szCs w:val="22"/>
          <w:lang w:val="es-419"/>
        </w:rPr>
        <w:t>Abstract</w:t>
      </w:r>
      <w:proofErr w:type="spellEnd"/>
      <w:r w:rsidRPr="008D0E73">
        <w:rPr>
          <w:rFonts w:asciiTheme="minorHAnsi" w:eastAsiaTheme="minorEastAsia" w:hAnsiTheme="minorHAnsi" w:cstheme="minorBidi"/>
          <w:b/>
          <w:bCs/>
          <w:color w:val="000000"/>
          <w:sz w:val="22"/>
          <w:szCs w:val="22"/>
          <w:lang w:val="es-419"/>
        </w:rPr>
        <w:t xml:space="preserve"> (Español)</w:t>
      </w:r>
    </w:p>
    <w:p w14:paraId="4ADB990B" w14:textId="77777777" w:rsidR="008D0E73" w:rsidRPr="008D0E73" w:rsidRDefault="008D0E73" w:rsidP="008D0E73">
      <w:pPr>
        <w:jc w:val="both"/>
        <w:rPr>
          <w:rFonts w:asciiTheme="minorHAnsi" w:eastAsiaTheme="minorEastAsia" w:hAnsiTheme="minorHAnsi" w:cstheme="minorBidi"/>
          <w:b/>
          <w:bCs/>
          <w:color w:val="000000"/>
          <w:sz w:val="22"/>
          <w:szCs w:val="22"/>
          <w:lang w:val="es-419"/>
        </w:rPr>
      </w:pPr>
    </w:p>
    <w:p w14:paraId="66CC9335" w14:textId="77777777" w:rsidR="008D0E73" w:rsidRPr="008D0E73" w:rsidRDefault="008D0E73" w:rsidP="008D0E73">
      <w:pPr>
        <w:jc w:val="both"/>
        <w:rPr>
          <w:rFonts w:asciiTheme="minorHAnsi" w:eastAsiaTheme="minorEastAsia" w:hAnsiTheme="minorHAnsi" w:cstheme="minorBidi"/>
          <w:color w:val="000000"/>
          <w:sz w:val="22"/>
          <w:szCs w:val="22"/>
          <w:lang w:val="es-419"/>
        </w:rPr>
      </w:pPr>
      <w:proofErr w:type="spellStart"/>
      <w:r w:rsidRPr="008D0E73">
        <w:rPr>
          <w:rFonts w:asciiTheme="minorHAnsi" w:eastAsiaTheme="minorEastAsia" w:hAnsiTheme="minorHAnsi" w:cstheme="minorBidi"/>
          <w:color w:val="000000"/>
          <w:sz w:val="22"/>
          <w:szCs w:val="22"/>
          <w:lang w:val="es-419"/>
        </w:rPr>
        <w:t>OncoLungNet</w:t>
      </w:r>
      <w:proofErr w:type="spellEnd"/>
      <w:r w:rsidRPr="008D0E73">
        <w:rPr>
          <w:rFonts w:asciiTheme="minorHAnsi" w:eastAsiaTheme="minorEastAsia" w:hAnsiTheme="minorHAnsi" w:cstheme="minorBidi"/>
          <w:color w:val="000000"/>
          <w:sz w:val="22"/>
          <w:szCs w:val="22"/>
          <w:lang w:val="es-419"/>
        </w:rPr>
        <w:t xml:space="preserve"> busca desarrollar un modelo predictivo basado en machine </w:t>
      </w:r>
      <w:proofErr w:type="spellStart"/>
      <w:r w:rsidRPr="008D0E73">
        <w:rPr>
          <w:rFonts w:asciiTheme="minorHAnsi" w:eastAsiaTheme="minorEastAsia" w:hAnsiTheme="minorHAnsi" w:cstheme="minorBidi"/>
          <w:color w:val="000000"/>
          <w:sz w:val="22"/>
          <w:szCs w:val="22"/>
          <w:lang w:val="es-419"/>
        </w:rPr>
        <w:t>learning</w:t>
      </w:r>
      <w:proofErr w:type="spellEnd"/>
      <w:r w:rsidRPr="008D0E73">
        <w:rPr>
          <w:rFonts w:asciiTheme="minorHAnsi" w:eastAsiaTheme="minorEastAsia" w:hAnsiTheme="minorHAnsi" w:cstheme="minorBidi"/>
          <w:color w:val="000000"/>
          <w:sz w:val="22"/>
          <w:szCs w:val="22"/>
          <w:lang w:val="es-419"/>
        </w:rPr>
        <w:t xml:space="preserve"> para la detección temprana de cáncer de pulmón. Se realizaron ajustes a la propuesta inicial, abordando desafíos como datos inconsistentes y conjuntos de datos limitados. Estos desafíos se resolvieron mediante la generación de datos sintéticos y la colaboración con profesionales de la salud. La metodología se centró en un preprocesamiento riguroso de datos, entrenamiento del modelo y visualización de resultados para cumplir los objetivos del proyecto. Las evidencias de avance incluyen prototipos, métricas de desempeño y salidas gráficas. El proyecto destaca el potencial del machine </w:t>
      </w:r>
      <w:proofErr w:type="spellStart"/>
      <w:r w:rsidRPr="008D0E73">
        <w:rPr>
          <w:rFonts w:asciiTheme="minorHAnsi" w:eastAsiaTheme="minorEastAsia" w:hAnsiTheme="minorHAnsi" w:cstheme="minorBidi"/>
          <w:color w:val="000000"/>
          <w:sz w:val="22"/>
          <w:szCs w:val="22"/>
          <w:lang w:val="es-419"/>
        </w:rPr>
        <w:t>learning</w:t>
      </w:r>
      <w:proofErr w:type="spellEnd"/>
      <w:r w:rsidRPr="008D0E73">
        <w:rPr>
          <w:rFonts w:asciiTheme="minorHAnsi" w:eastAsiaTheme="minorEastAsia" w:hAnsiTheme="minorHAnsi" w:cstheme="minorBidi"/>
          <w:color w:val="000000"/>
          <w:sz w:val="22"/>
          <w:szCs w:val="22"/>
          <w:lang w:val="es-419"/>
        </w:rPr>
        <w:t xml:space="preserve"> para avanzar en los diagnósticos oncológicos a través de la innovación y la colaboración interdisciplinaria.</w:t>
      </w:r>
    </w:p>
    <w:p w14:paraId="5AF8D637" w14:textId="77777777" w:rsidR="008D0E73" w:rsidRDefault="008D0E73" w:rsidP="008D0E73">
      <w:pPr>
        <w:jc w:val="both"/>
        <w:rPr>
          <w:rFonts w:asciiTheme="minorHAnsi" w:eastAsiaTheme="minorEastAsia" w:hAnsiTheme="minorHAnsi" w:cstheme="minorBidi"/>
          <w:color w:val="000000"/>
          <w:sz w:val="22"/>
          <w:szCs w:val="22"/>
          <w:u w:val="single"/>
          <w:lang w:val="es-419"/>
        </w:rPr>
      </w:pPr>
    </w:p>
    <w:p w14:paraId="7EC37ED6" w14:textId="77777777" w:rsidR="008D0E73" w:rsidRDefault="008D0E73" w:rsidP="008D0E73">
      <w:pPr>
        <w:jc w:val="both"/>
        <w:rPr>
          <w:rFonts w:asciiTheme="minorHAnsi" w:eastAsiaTheme="minorEastAsia" w:hAnsiTheme="minorHAnsi" w:cstheme="minorBidi"/>
          <w:color w:val="000000"/>
          <w:sz w:val="22"/>
          <w:szCs w:val="22"/>
          <w:u w:val="single"/>
          <w:lang w:val="es-419"/>
        </w:rPr>
      </w:pPr>
    </w:p>
    <w:p w14:paraId="61410FDF" w14:textId="77777777" w:rsidR="008D0E73" w:rsidRPr="008D0E73" w:rsidRDefault="008D0E73" w:rsidP="008D0E73">
      <w:pPr>
        <w:jc w:val="both"/>
        <w:rPr>
          <w:rFonts w:asciiTheme="minorHAnsi" w:eastAsiaTheme="minorEastAsia" w:hAnsiTheme="minorHAnsi" w:cstheme="minorBidi"/>
          <w:b/>
          <w:bCs/>
          <w:color w:val="000000"/>
          <w:sz w:val="22"/>
          <w:szCs w:val="22"/>
          <w:lang w:val="en-US"/>
        </w:rPr>
      </w:pPr>
      <w:proofErr w:type="spellStart"/>
      <w:r w:rsidRPr="008D0E73">
        <w:rPr>
          <w:rFonts w:asciiTheme="minorHAnsi" w:eastAsiaTheme="minorEastAsia" w:hAnsiTheme="minorHAnsi" w:cstheme="minorBidi"/>
          <w:b/>
          <w:bCs/>
          <w:color w:val="000000"/>
          <w:sz w:val="22"/>
          <w:szCs w:val="22"/>
          <w:lang w:val="en-US"/>
        </w:rPr>
        <w:t>Conclusión</w:t>
      </w:r>
      <w:proofErr w:type="spellEnd"/>
      <w:r w:rsidRPr="008D0E73">
        <w:rPr>
          <w:rFonts w:asciiTheme="minorHAnsi" w:eastAsiaTheme="minorEastAsia" w:hAnsiTheme="minorHAnsi" w:cstheme="minorBidi"/>
          <w:b/>
          <w:bCs/>
          <w:color w:val="000000"/>
          <w:sz w:val="22"/>
          <w:szCs w:val="22"/>
          <w:lang w:val="en-US"/>
        </w:rPr>
        <w:t xml:space="preserve"> Individual (Inglés)</w:t>
      </w:r>
    </w:p>
    <w:p w14:paraId="6FA41ECB" w14:textId="77777777" w:rsidR="008D0E73" w:rsidRPr="008D0E73" w:rsidRDefault="008D0E73" w:rsidP="008D0E73">
      <w:pPr>
        <w:jc w:val="both"/>
        <w:rPr>
          <w:rFonts w:asciiTheme="minorHAnsi" w:eastAsiaTheme="minorEastAsia" w:hAnsiTheme="minorHAnsi" w:cstheme="minorBidi"/>
          <w:color w:val="000000"/>
          <w:sz w:val="22"/>
          <w:szCs w:val="22"/>
          <w:lang w:val="en-US"/>
        </w:rPr>
      </w:pPr>
    </w:p>
    <w:p w14:paraId="087D71F5" w14:textId="180AC9D6" w:rsidR="008D0E73" w:rsidRDefault="008D0E73" w:rsidP="008D0E73">
      <w:pPr>
        <w:jc w:val="both"/>
        <w:rPr>
          <w:rFonts w:asciiTheme="minorHAnsi" w:eastAsiaTheme="minorEastAsia" w:hAnsiTheme="minorHAnsi" w:cstheme="minorBidi"/>
          <w:color w:val="000000"/>
          <w:sz w:val="22"/>
          <w:szCs w:val="22"/>
          <w:lang w:val="en-US"/>
        </w:rPr>
      </w:pPr>
      <w:r w:rsidRPr="008D0E73">
        <w:rPr>
          <w:rFonts w:asciiTheme="minorHAnsi" w:eastAsiaTheme="minorEastAsia" w:hAnsiTheme="minorHAnsi" w:cstheme="minorBidi"/>
          <w:color w:val="000000"/>
          <w:sz w:val="22"/>
          <w:szCs w:val="22"/>
          <w:lang w:val="en-US"/>
        </w:rPr>
        <w:t xml:space="preserve">This project has been a remarkable opportunity to lead and implement agile methodologies within an interdisciplinary team. As Scrum Master, I learned the significance of maintaining clear communication and fostering collaboration to overcome challenges such as technical setbacks and tight deadlines. The iterative approach ensured that the team remained focused on the objectives, delivering measurable progress at every stage. </w:t>
      </w:r>
      <w:proofErr w:type="spellStart"/>
      <w:r w:rsidRPr="008D0E73">
        <w:rPr>
          <w:rFonts w:asciiTheme="minorHAnsi" w:eastAsiaTheme="minorEastAsia" w:hAnsiTheme="minorHAnsi" w:cstheme="minorBidi"/>
          <w:color w:val="000000"/>
          <w:sz w:val="22"/>
          <w:szCs w:val="22"/>
          <w:lang w:val="en-US"/>
        </w:rPr>
        <w:t>OncoLungNet</w:t>
      </w:r>
      <w:proofErr w:type="spellEnd"/>
      <w:r w:rsidRPr="008D0E73">
        <w:rPr>
          <w:rFonts w:asciiTheme="minorHAnsi" w:eastAsiaTheme="minorEastAsia" w:hAnsiTheme="minorHAnsi" w:cstheme="minorBidi"/>
          <w:color w:val="000000"/>
          <w:sz w:val="22"/>
          <w:szCs w:val="22"/>
          <w:lang w:val="en-US"/>
        </w:rPr>
        <w:t xml:space="preserve"> reinforced my understanding of how leadership and a well-structured workflow can drive meaningful contributions to healthcare innovation.</w:t>
      </w:r>
    </w:p>
    <w:p w14:paraId="4B88FBB3" w14:textId="77777777" w:rsidR="008D0E73" w:rsidRDefault="008D0E73" w:rsidP="008D0E73">
      <w:pPr>
        <w:jc w:val="both"/>
        <w:rPr>
          <w:rFonts w:asciiTheme="minorHAnsi" w:eastAsiaTheme="minorEastAsia" w:hAnsiTheme="minorHAnsi" w:cstheme="minorBidi"/>
          <w:color w:val="000000"/>
          <w:sz w:val="22"/>
          <w:szCs w:val="22"/>
          <w:lang w:val="en-US"/>
        </w:rPr>
      </w:pPr>
    </w:p>
    <w:p w14:paraId="145D4BC2" w14:textId="77777777" w:rsidR="008D0E73" w:rsidRPr="008D0E73" w:rsidRDefault="008D0E73" w:rsidP="008D0E73">
      <w:pPr>
        <w:jc w:val="both"/>
        <w:rPr>
          <w:rFonts w:asciiTheme="minorHAnsi" w:eastAsiaTheme="minorEastAsia" w:hAnsiTheme="minorHAnsi" w:cstheme="minorBidi"/>
          <w:b/>
          <w:bCs/>
          <w:color w:val="000000"/>
          <w:sz w:val="22"/>
          <w:szCs w:val="22"/>
          <w:lang w:val="en-US"/>
        </w:rPr>
      </w:pPr>
      <w:proofErr w:type="spellStart"/>
      <w:r w:rsidRPr="008D0E73">
        <w:rPr>
          <w:rFonts w:asciiTheme="minorHAnsi" w:eastAsiaTheme="minorEastAsia" w:hAnsiTheme="minorHAnsi" w:cstheme="minorBidi"/>
          <w:b/>
          <w:bCs/>
          <w:color w:val="000000"/>
          <w:sz w:val="22"/>
          <w:szCs w:val="22"/>
          <w:lang w:val="en-US"/>
        </w:rPr>
        <w:t>Reflexión</w:t>
      </w:r>
      <w:proofErr w:type="spellEnd"/>
      <w:r w:rsidRPr="008D0E73">
        <w:rPr>
          <w:rFonts w:asciiTheme="minorHAnsi" w:eastAsiaTheme="minorEastAsia" w:hAnsiTheme="minorHAnsi" w:cstheme="minorBidi"/>
          <w:b/>
          <w:bCs/>
          <w:color w:val="000000"/>
          <w:sz w:val="22"/>
          <w:szCs w:val="22"/>
          <w:lang w:val="en-US"/>
        </w:rPr>
        <w:t xml:space="preserve"> (Inglés)</w:t>
      </w:r>
    </w:p>
    <w:p w14:paraId="538C53F7" w14:textId="77777777" w:rsidR="008D0E73" w:rsidRPr="008D0E73" w:rsidRDefault="008D0E73" w:rsidP="008D0E73">
      <w:pPr>
        <w:jc w:val="both"/>
        <w:rPr>
          <w:rFonts w:asciiTheme="minorHAnsi" w:eastAsiaTheme="minorEastAsia" w:hAnsiTheme="minorHAnsi" w:cstheme="minorBidi"/>
          <w:b/>
          <w:bCs/>
          <w:color w:val="000000"/>
          <w:sz w:val="22"/>
          <w:szCs w:val="22"/>
          <w:lang w:val="en-US"/>
        </w:rPr>
      </w:pPr>
    </w:p>
    <w:p w14:paraId="5A301FA0" w14:textId="77777777" w:rsidR="008D0E73" w:rsidRPr="008D0E73" w:rsidRDefault="008D0E73" w:rsidP="008D0E73">
      <w:pPr>
        <w:jc w:val="both"/>
        <w:rPr>
          <w:rFonts w:asciiTheme="minorHAnsi" w:eastAsiaTheme="minorEastAsia" w:hAnsiTheme="minorHAnsi" w:cstheme="minorBidi"/>
          <w:color w:val="000000"/>
          <w:sz w:val="22"/>
          <w:szCs w:val="22"/>
          <w:lang w:val="en-US"/>
        </w:rPr>
      </w:pPr>
      <w:r w:rsidRPr="008D0E73">
        <w:rPr>
          <w:rFonts w:asciiTheme="minorHAnsi" w:eastAsiaTheme="minorEastAsia" w:hAnsiTheme="minorHAnsi" w:cstheme="minorBidi"/>
          <w:color w:val="000000"/>
          <w:sz w:val="22"/>
          <w:szCs w:val="22"/>
          <w:lang w:val="en-US"/>
        </w:rPr>
        <w:t xml:space="preserve">Working as Scrum Master on the </w:t>
      </w:r>
      <w:proofErr w:type="spellStart"/>
      <w:r w:rsidRPr="008D0E73">
        <w:rPr>
          <w:rFonts w:asciiTheme="minorHAnsi" w:eastAsiaTheme="minorEastAsia" w:hAnsiTheme="minorHAnsi" w:cstheme="minorBidi"/>
          <w:color w:val="000000"/>
          <w:sz w:val="22"/>
          <w:szCs w:val="22"/>
          <w:lang w:val="en-US"/>
        </w:rPr>
        <w:t>OncoLungNet</w:t>
      </w:r>
      <w:proofErr w:type="spellEnd"/>
      <w:r w:rsidRPr="008D0E73">
        <w:rPr>
          <w:rFonts w:asciiTheme="minorHAnsi" w:eastAsiaTheme="minorEastAsia" w:hAnsiTheme="minorHAnsi" w:cstheme="minorBidi"/>
          <w:color w:val="000000"/>
          <w:sz w:val="22"/>
          <w:szCs w:val="22"/>
          <w:lang w:val="en-US"/>
        </w:rPr>
        <w:t xml:space="preserve"> project has been a rewarding experience that highlighted the synergy between technology and healthcare. Managing the team dynamics and ensuring alignment with project goals taught me the importance of adaptability and structured planning. The process also deepened my appreciation for the ethical implications of technology in medicine, particularly in developing solutions that can significantly impact patients' lives. This project reinforced my passion for leveraging machine learning to tackle real-world problems and demonstrated the power of teamwork in achieving ambitious goals.</w:t>
      </w:r>
    </w:p>
    <w:p w14:paraId="0ED0DE49" w14:textId="77777777" w:rsidR="008D0E73" w:rsidRPr="008D0E73" w:rsidRDefault="008D0E73" w:rsidP="008D0E73">
      <w:pPr>
        <w:jc w:val="both"/>
        <w:rPr>
          <w:rFonts w:asciiTheme="minorHAnsi" w:eastAsiaTheme="minorEastAsia" w:hAnsiTheme="minorHAnsi" w:cstheme="minorBidi"/>
          <w:color w:val="000000"/>
          <w:sz w:val="22"/>
          <w:szCs w:val="22"/>
          <w:lang w:val="en-US"/>
        </w:rPr>
      </w:pPr>
    </w:p>
    <w:sectPr w:rsidR="008D0E73" w:rsidRPr="008D0E73"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7B8A9" w14:textId="77777777" w:rsidR="007F7FB9" w:rsidRDefault="007F7FB9" w:rsidP="00B2162E">
      <w:r>
        <w:separator/>
      </w:r>
    </w:p>
  </w:endnote>
  <w:endnote w:type="continuationSeparator" w:id="0">
    <w:p w14:paraId="6642251F" w14:textId="77777777" w:rsidR="007F7FB9" w:rsidRDefault="007F7FB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B9537" w14:textId="77777777" w:rsidR="007F7FB9" w:rsidRDefault="007F7FB9" w:rsidP="00B2162E">
      <w:r>
        <w:separator/>
      </w:r>
    </w:p>
  </w:footnote>
  <w:footnote w:type="continuationSeparator" w:id="0">
    <w:p w14:paraId="1F5DBFF8" w14:textId="77777777" w:rsidR="007F7FB9" w:rsidRDefault="007F7FB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00801"/>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627C"/>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530D"/>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7F7FB9"/>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0E73"/>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8534">
      <w:bodyDiv w:val="1"/>
      <w:marLeft w:val="0"/>
      <w:marRight w:val="0"/>
      <w:marTop w:val="0"/>
      <w:marBottom w:val="0"/>
      <w:divBdr>
        <w:top w:val="none" w:sz="0" w:space="0" w:color="auto"/>
        <w:left w:val="none" w:sz="0" w:space="0" w:color="auto"/>
        <w:bottom w:val="none" w:sz="0" w:space="0" w:color="auto"/>
        <w:right w:val="none" w:sz="0" w:space="0" w:color="auto"/>
      </w:divBdr>
    </w:div>
    <w:div w:id="248199812">
      <w:bodyDiv w:val="1"/>
      <w:marLeft w:val="0"/>
      <w:marRight w:val="0"/>
      <w:marTop w:val="0"/>
      <w:marBottom w:val="0"/>
      <w:divBdr>
        <w:top w:val="none" w:sz="0" w:space="0" w:color="auto"/>
        <w:left w:val="none" w:sz="0" w:space="0" w:color="auto"/>
        <w:bottom w:val="none" w:sz="0" w:space="0" w:color="auto"/>
        <w:right w:val="none" w:sz="0" w:space="0" w:color="auto"/>
      </w:divBdr>
    </w:div>
    <w:div w:id="604000651">
      <w:bodyDiv w:val="1"/>
      <w:marLeft w:val="0"/>
      <w:marRight w:val="0"/>
      <w:marTop w:val="0"/>
      <w:marBottom w:val="0"/>
      <w:divBdr>
        <w:top w:val="none" w:sz="0" w:space="0" w:color="auto"/>
        <w:left w:val="none" w:sz="0" w:space="0" w:color="auto"/>
        <w:bottom w:val="none" w:sz="0" w:space="0" w:color="auto"/>
        <w:right w:val="none" w:sz="0" w:space="0" w:color="auto"/>
      </w:divBdr>
    </w:div>
    <w:div w:id="798188449">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38581544">
      <w:bodyDiv w:val="1"/>
      <w:marLeft w:val="0"/>
      <w:marRight w:val="0"/>
      <w:marTop w:val="0"/>
      <w:marBottom w:val="0"/>
      <w:divBdr>
        <w:top w:val="none" w:sz="0" w:space="0" w:color="auto"/>
        <w:left w:val="none" w:sz="0" w:space="0" w:color="auto"/>
        <w:bottom w:val="none" w:sz="0" w:space="0" w:color="auto"/>
        <w:right w:val="none" w:sz="0" w:space="0" w:color="auto"/>
      </w:divBdr>
    </w:div>
    <w:div w:id="1196502087">
      <w:bodyDiv w:val="1"/>
      <w:marLeft w:val="0"/>
      <w:marRight w:val="0"/>
      <w:marTop w:val="0"/>
      <w:marBottom w:val="0"/>
      <w:divBdr>
        <w:top w:val="none" w:sz="0" w:space="0" w:color="auto"/>
        <w:left w:val="none" w:sz="0" w:space="0" w:color="auto"/>
        <w:bottom w:val="none" w:sz="0" w:space="0" w:color="auto"/>
        <w:right w:val="none" w:sz="0" w:space="0" w:color="auto"/>
      </w:divBdr>
    </w:div>
    <w:div w:id="1349722613">
      <w:bodyDiv w:val="1"/>
      <w:marLeft w:val="0"/>
      <w:marRight w:val="0"/>
      <w:marTop w:val="0"/>
      <w:marBottom w:val="0"/>
      <w:divBdr>
        <w:top w:val="none" w:sz="0" w:space="0" w:color="auto"/>
        <w:left w:val="none" w:sz="0" w:space="0" w:color="auto"/>
        <w:bottom w:val="none" w:sz="0" w:space="0" w:color="auto"/>
        <w:right w:val="none" w:sz="0" w:space="0" w:color="auto"/>
      </w:divBdr>
    </w:div>
    <w:div w:id="1422330791">
      <w:bodyDiv w:val="1"/>
      <w:marLeft w:val="0"/>
      <w:marRight w:val="0"/>
      <w:marTop w:val="0"/>
      <w:marBottom w:val="0"/>
      <w:divBdr>
        <w:top w:val="none" w:sz="0" w:space="0" w:color="auto"/>
        <w:left w:val="none" w:sz="0" w:space="0" w:color="auto"/>
        <w:bottom w:val="none" w:sz="0" w:space="0" w:color="auto"/>
        <w:right w:val="none" w:sz="0" w:space="0" w:color="auto"/>
      </w:divBdr>
    </w:div>
    <w:div w:id="1455633316">
      <w:bodyDiv w:val="1"/>
      <w:marLeft w:val="0"/>
      <w:marRight w:val="0"/>
      <w:marTop w:val="0"/>
      <w:marBottom w:val="0"/>
      <w:divBdr>
        <w:top w:val="none" w:sz="0" w:space="0" w:color="auto"/>
        <w:left w:val="none" w:sz="0" w:space="0" w:color="auto"/>
        <w:bottom w:val="none" w:sz="0" w:space="0" w:color="auto"/>
        <w:right w:val="none" w:sz="0" w:space="0" w:color="auto"/>
      </w:divBdr>
    </w:div>
    <w:div w:id="1585795272">
      <w:bodyDiv w:val="1"/>
      <w:marLeft w:val="0"/>
      <w:marRight w:val="0"/>
      <w:marTop w:val="0"/>
      <w:marBottom w:val="0"/>
      <w:divBdr>
        <w:top w:val="none" w:sz="0" w:space="0" w:color="auto"/>
        <w:left w:val="none" w:sz="0" w:space="0" w:color="auto"/>
        <w:bottom w:val="none" w:sz="0" w:space="0" w:color="auto"/>
        <w:right w:val="none" w:sz="0" w:space="0" w:color="auto"/>
      </w:divBdr>
    </w:div>
    <w:div w:id="1988825197">
      <w:bodyDiv w:val="1"/>
      <w:marLeft w:val="0"/>
      <w:marRight w:val="0"/>
      <w:marTop w:val="0"/>
      <w:marBottom w:val="0"/>
      <w:divBdr>
        <w:top w:val="none" w:sz="0" w:space="0" w:color="auto"/>
        <w:left w:val="none" w:sz="0" w:space="0" w:color="auto"/>
        <w:bottom w:val="none" w:sz="0" w:space="0" w:color="auto"/>
        <w:right w:val="none" w:sz="0" w:space="0" w:color="auto"/>
      </w:divBdr>
      <w:divsChild>
        <w:div w:id="510067001">
          <w:marLeft w:val="0"/>
          <w:marRight w:val="0"/>
          <w:marTop w:val="0"/>
          <w:marBottom w:val="0"/>
          <w:divBdr>
            <w:top w:val="none" w:sz="0" w:space="0" w:color="auto"/>
            <w:left w:val="none" w:sz="0" w:space="0" w:color="auto"/>
            <w:bottom w:val="none" w:sz="0" w:space="0" w:color="auto"/>
            <w:right w:val="none" w:sz="0" w:space="0" w:color="auto"/>
          </w:divBdr>
          <w:divsChild>
            <w:div w:id="2055735414">
              <w:marLeft w:val="0"/>
              <w:marRight w:val="0"/>
              <w:marTop w:val="0"/>
              <w:marBottom w:val="0"/>
              <w:divBdr>
                <w:top w:val="none" w:sz="0" w:space="0" w:color="auto"/>
                <w:left w:val="none" w:sz="0" w:space="0" w:color="auto"/>
                <w:bottom w:val="none" w:sz="0" w:space="0" w:color="auto"/>
                <w:right w:val="none" w:sz="0" w:space="0" w:color="auto"/>
              </w:divBdr>
              <w:divsChild>
                <w:div w:id="1148012298">
                  <w:marLeft w:val="0"/>
                  <w:marRight w:val="0"/>
                  <w:marTop w:val="0"/>
                  <w:marBottom w:val="0"/>
                  <w:divBdr>
                    <w:top w:val="none" w:sz="0" w:space="0" w:color="auto"/>
                    <w:left w:val="none" w:sz="0" w:space="0" w:color="auto"/>
                    <w:bottom w:val="none" w:sz="0" w:space="0" w:color="auto"/>
                    <w:right w:val="none" w:sz="0" w:space="0" w:color="auto"/>
                  </w:divBdr>
                  <w:divsChild>
                    <w:div w:id="1364943677">
                      <w:marLeft w:val="0"/>
                      <w:marRight w:val="0"/>
                      <w:marTop w:val="0"/>
                      <w:marBottom w:val="0"/>
                      <w:divBdr>
                        <w:top w:val="none" w:sz="0" w:space="0" w:color="auto"/>
                        <w:left w:val="none" w:sz="0" w:space="0" w:color="auto"/>
                        <w:bottom w:val="none" w:sz="0" w:space="0" w:color="auto"/>
                        <w:right w:val="none" w:sz="0" w:space="0" w:color="auto"/>
                      </w:divBdr>
                      <w:divsChild>
                        <w:div w:id="1342782951">
                          <w:marLeft w:val="0"/>
                          <w:marRight w:val="0"/>
                          <w:marTop w:val="0"/>
                          <w:marBottom w:val="0"/>
                          <w:divBdr>
                            <w:top w:val="none" w:sz="0" w:space="0" w:color="auto"/>
                            <w:left w:val="none" w:sz="0" w:space="0" w:color="auto"/>
                            <w:bottom w:val="none" w:sz="0" w:space="0" w:color="auto"/>
                            <w:right w:val="none" w:sz="0" w:space="0" w:color="auto"/>
                          </w:divBdr>
                          <w:divsChild>
                            <w:div w:id="7066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838273">
      <w:bodyDiv w:val="1"/>
      <w:marLeft w:val="0"/>
      <w:marRight w:val="0"/>
      <w:marTop w:val="0"/>
      <w:marBottom w:val="0"/>
      <w:divBdr>
        <w:top w:val="none" w:sz="0" w:space="0" w:color="auto"/>
        <w:left w:val="none" w:sz="0" w:space="0" w:color="auto"/>
        <w:bottom w:val="none" w:sz="0" w:space="0" w:color="auto"/>
        <w:right w:val="none" w:sz="0" w:space="0" w:color="auto"/>
      </w:divBdr>
      <w:divsChild>
        <w:div w:id="1688436307">
          <w:marLeft w:val="0"/>
          <w:marRight w:val="0"/>
          <w:marTop w:val="0"/>
          <w:marBottom w:val="0"/>
          <w:divBdr>
            <w:top w:val="none" w:sz="0" w:space="0" w:color="auto"/>
            <w:left w:val="none" w:sz="0" w:space="0" w:color="auto"/>
            <w:bottom w:val="none" w:sz="0" w:space="0" w:color="auto"/>
            <w:right w:val="none" w:sz="0" w:space="0" w:color="auto"/>
          </w:divBdr>
          <w:divsChild>
            <w:div w:id="2065642973">
              <w:marLeft w:val="0"/>
              <w:marRight w:val="0"/>
              <w:marTop w:val="0"/>
              <w:marBottom w:val="0"/>
              <w:divBdr>
                <w:top w:val="none" w:sz="0" w:space="0" w:color="auto"/>
                <w:left w:val="none" w:sz="0" w:space="0" w:color="auto"/>
                <w:bottom w:val="none" w:sz="0" w:space="0" w:color="auto"/>
                <w:right w:val="none" w:sz="0" w:space="0" w:color="auto"/>
              </w:divBdr>
              <w:divsChild>
                <w:div w:id="1180509036">
                  <w:marLeft w:val="0"/>
                  <w:marRight w:val="0"/>
                  <w:marTop w:val="0"/>
                  <w:marBottom w:val="0"/>
                  <w:divBdr>
                    <w:top w:val="none" w:sz="0" w:space="0" w:color="auto"/>
                    <w:left w:val="none" w:sz="0" w:space="0" w:color="auto"/>
                    <w:bottom w:val="none" w:sz="0" w:space="0" w:color="auto"/>
                    <w:right w:val="none" w:sz="0" w:space="0" w:color="auto"/>
                  </w:divBdr>
                  <w:divsChild>
                    <w:div w:id="1728870213">
                      <w:marLeft w:val="0"/>
                      <w:marRight w:val="0"/>
                      <w:marTop w:val="0"/>
                      <w:marBottom w:val="0"/>
                      <w:divBdr>
                        <w:top w:val="none" w:sz="0" w:space="0" w:color="auto"/>
                        <w:left w:val="none" w:sz="0" w:space="0" w:color="auto"/>
                        <w:bottom w:val="none" w:sz="0" w:space="0" w:color="auto"/>
                        <w:right w:val="none" w:sz="0" w:space="0" w:color="auto"/>
                      </w:divBdr>
                      <w:divsChild>
                        <w:div w:id="1876431846">
                          <w:marLeft w:val="0"/>
                          <w:marRight w:val="0"/>
                          <w:marTop w:val="0"/>
                          <w:marBottom w:val="0"/>
                          <w:divBdr>
                            <w:top w:val="none" w:sz="0" w:space="0" w:color="auto"/>
                            <w:left w:val="none" w:sz="0" w:space="0" w:color="auto"/>
                            <w:bottom w:val="none" w:sz="0" w:space="0" w:color="auto"/>
                            <w:right w:val="none" w:sz="0" w:space="0" w:color="auto"/>
                          </w:divBdr>
                          <w:divsChild>
                            <w:div w:id="15082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2468</Words>
  <Characters>13575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Sebastian Palma</cp:lastModifiedBy>
  <cp:revision>72</cp:revision>
  <cp:lastPrinted>2021-11-25T12:30:00Z</cp:lastPrinted>
  <dcterms:created xsi:type="dcterms:W3CDTF">2022-08-25T15:56:00Z</dcterms:created>
  <dcterms:modified xsi:type="dcterms:W3CDTF">2024-11-24T00:47:00Z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