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Squad de Scrum para el Proyecto APT OncoLungNet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9.5275590551184"/>
        <w:gridCol w:w="3582.992125984252"/>
        <w:gridCol w:w="3582.992125984252"/>
        <w:tblGridChange w:id="0">
          <w:tblGrid>
            <w:gridCol w:w="1859.5275590551184"/>
            <w:gridCol w:w="3582.992125984252"/>
            <w:gridCol w:w="3582.99212598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Scrum Master (Sebastián Palma)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Facilitar las reuniones Scrum (Daily Scrum, Sprint Planning, Sprint Review, Sprint Retrospective).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impedimentos que puedan afectar el progreso del equipo.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Asegurar que el equipo siga los principios y prácticas de Scrum.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Servir de enlace entre el equipo de desarrollo y los stakeholders.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Coordinar y programar las reuniones.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Supervisar el avance del proyecto y mantener a todos alineados con el Sprint Backlog.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Ayudar al equipo a gestionar el Product Backlog y priorizar las tareas.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un ambiente de trabajo productivo y motivante.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 Owner (David Merino)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la visión del producto y asegurar que cumpla con las necesidades del usuario final.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Priorizar el Product Backlog y decidir qué funcionalidades se implementan en cada sprint.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Asegurar que el equipo esté enfocado en entregar valor al cliente en cada sprint.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Recopilar y gestionar los requisitos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y mantener el Product Backlog.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los objetivos de cada sprint y trabajar con el equipo para planificar los sprints.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el incremento del producto al final de cada sprint y ajustar el Product Backlog según los feedbacks.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Interactuar con los stakeholders y comunicar la visión del producto al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Equipo de desarrollo (Enzo Mayo, David Merino, Sebastián Palma)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el sistema de predicción de cáncer conforme a las especificaciones del Product Backlog.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Colaborar en el diseño, desarrollo, pruebas y documentación del sistema.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Participar activamente en las reuniones diarias y de planificación.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Entregar incrementos funcionales del producto al final de cada sprint.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los modelos de machine learning para la predicción del cáncer.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la aplicación web, incluyendo el backend y frontend.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Integrar el sistema con Power BI para la visualización de resultados.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de calidad y asegurarse de que el producto cumple con los requisitos de funcionalidad, usabilidad y confiabilidad.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spacing w:after="160" w:line="259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-723899</wp:posOffset>
          </wp:positionH>
          <wp:positionV relativeFrom="paragraph">
            <wp:posOffset>-266699</wp:posOffset>
          </wp:positionV>
          <wp:extent cx="1996440" cy="428625"/>
          <wp:effectExtent b="0" l="0" r="0" t="0"/>
          <wp:wrapNone/>
          <wp:docPr descr="http://www.duoc.cl/normasgraficas/normasgraficas/marca-duoc/6logo-fondo-transparente/fondo-transparente.png" id="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