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CloudRAG: A Reproducible Benchmark and Hybrid Retrieval Pipeline for Multi-Cloud Technical Documentation</w:t>
      </w:r>
    </w:p>
    <w:p>
      <w:pPr>
        <w:jc w:val="center"/>
      </w:pPr>
      <w:r>
        <w:rPr>
          <w:rFonts w:ascii="Times New Roman" w:hAnsi="Times New Roman"/>
          <w:b/>
          <w:sz w:val="22"/>
        </w:rPr>
        <w:t>Enzo Fabrizio Ordoñez Flores</w:t>
      </w:r>
    </w:p>
    <w:p>
      <w:pPr>
        <w:spacing w:after="240"/>
        <w:jc w:val="center"/>
      </w:pPr>
      <w:r>
        <w:rPr>
          <w:rFonts w:ascii="Times New Roman" w:hAnsi="Times New Roman"/>
          <w:i/>
          <w:sz w:val="20"/>
        </w:rPr>
        <w:t>Facultad de Ingeniería de Sistemas</w:t>
        <w:br/>
        <w:t>Universidad de Lima</w:t>
        <w:br/>
        <w:t>Lima, Peru</w:t>
        <w:br/>
        <w:t>20221789@aloe.ulima.edu.pe</w:t>
      </w:r>
    </w:p>
    <w:p>
      <w:pPr>
        <w:spacing w:after="240"/>
        <w:jc w:val="center"/>
      </w:pPr>
      <w:r>
        <w:rPr>
          <w:rFonts w:ascii="Times New Roman" w:hAnsi="Times New Roman"/>
          <w:i/>
          <w:sz w:val="18"/>
        </w:rPr>
        <w:t>Advisor: Lewis Fuentes Winston — Universidad de Lima</w:t>
      </w:r>
    </w:p>
    <w:p>
      <w:pPr>
        <w:spacing w:after="120"/>
      </w:pPr>
      <w:r>
        <w:rPr>
          <w:rFonts w:ascii="Times New Roman" w:hAnsi="Times New Roman"/>
          <w:b/>
          <w:i/>
          <w:sz w:val="18"/>
        </w:rPr>
        <w:t>Abstract—</w:t>
      </w:r>
      <w:r>
        <w:rPr>
          <w:rFonts w:ascii="Times New Roman" w:hAnsi="Times New Roman"/>
          <w:i/>
          <w:sz w:val="18"/>
        </w:rPr>
        <w:t>Retrieval-Augmented Generation (RAG) systems have emerged as a promising approach for querying large, specialized technical corpora, yet retrieval quality over multi-vendor cloud documentation remains under-studied. We present CloudRAG, a reproducible benchmark and a hybrid retrieval pipeline for technical documentation spanning Amazon Web Services, Microsoft Azure, and Google Cloud Platform. CloudRAG combines sparse lexical retrieval (BM25) with dense semantic retrieval (BGE-large-en-v1.5) fused via Reciprocal Rank Fusion, a cross-encoder reranking stage (ms-marco-MiniLM-L-12-v2), a cross-cloud terminology normalization module, and a natural language inference (NLI) based faithfulness filter. On a held-out test set of 300 expert-curated queries, the hybrid pipeline achieves P@1 = 0.930, MRR = 0.942, and NDCG@5 = 0.736, outperforming BM25 (P@1 = 0.785) and dense retrieval alone (P@1 = 0.860) with statistical significance (Wilcoxon signed-rank test, p &lt; 0.0001; Cohen's d = 0.626). Cross-cloud terminology normalization contributes a 16.8% gain in answer faithfulness over an unnormalized baseline. We release the dataset, code, evaluation harness, and Docker artifacts to enable direct replication and future extensions.</w:t>
      </w:r>
    </w:p>
    <w:p>
      <w:pPr>
        <w:spacing w:after="240"/>
      </w:pPr>
      <w:r>
        <w:rPr>
          <w:rFonts w:ascii="Times New Roman" w:hAnsi="Times New Roman"/>
          <w:b/>
          <w:i/>
          <w:sz w:val="18"/>
        </w:rPr>
        <w:t>Index Terms—</w:t>
      </w:r>
      <w:r>
        <w:rPr>
          <w:rFonts w:ascii="Times New Roman" w:hAnsi="Times New Roman"/>
          <w:sz w:val="18"/>
        </w:rPr>
        <w:t>Retrieval-Augmented Generation, Hybrid Retrieval, Reciprocal Rank Fusion, Cross-Encoder Reranking, Cloud Documentation, Natural Language Inference, Hallucination Detection.</w:t>
      </w:r>
    </w:p>
    <w:p>
      <w:pPr>
        <w:spacing w:before="120" w:after="60"/>
        <w:jc w:val="center"/>
      </w:pPr>
      <w:r>
        <w:rPr>
          <w:rFonts w:ascii="Times New Roman" w:hAnsi="Times New Roman"/>
          <w:b/>
          <w:smallCaps/>
          <w:sz w:val="20"/>
        </w:rPr>
        <w:t>I. Introduction</w:t>
      </w:r>
    </w:p>
    <w:p>
      <w:pPr>
        <w:spacing w:line="240" w:lineRule="auto" w:after="60"/>
        <w:ind w:firstLine="288"/>
      </w:pPr>
      <w:r>
        <w:rPr>
          <w:rFonts w:ascii="Times New Roman" w:hAnsi="Times New Roman"/>
          <w:b w:val="0"/>
          <w:i w:val="0"/>
          <w:sz w:val="20"/>
        </w:rPr>
        <w:t>Large Language Models (LLMs) excel at fluent generation but remain prone to factual hallucination, especially when queried about specialized technical knowledge absent from or under-represented in their pre-training corpora [lewis2020rag, ji2023hallucination]. Retrieval-Augmented Generation (RAG) addresses this limitation by grounding generation in an external corpus retrieved at inference time [lewis2020rag, gao2024ragsurvey].</w:t>
      </w:r>
    </w:p>
    <w:p>
      <w:pPr>
        <w:spacing w:after="120"/>
      </w:pPr>
      <w:r>
        <w:rPr>
          <w:rFonts w:ascii="Times New Roman" w:hAnsi="Times New Roman"/>
          <w:i/>
          <w:color w:val="808080"/>
          <w:sz w:val="20"/>
        </w:rPr>
        <w:t>[PLACEHOLDER] Expand: why cloud documentation specifically? (a) Multi-vendor adoption is the norm in enterprise — Flexera 2024 shows 89% of organizations run multi-cloud. (b) Documentation evolves weekly, so LLM knowledge cutoffs are a hard constraint. (c) Cross-cloud terminology drift (VPC ↔ Virtual Network ↔ VPC Network) breaks naive retrieval. Cite McKinsey FinOps piece and the official AWS/Azure/GCP docs URLs.</w:t>
      </w:r>
    </w:p>
    <w:p>
      <w:pPr>
        <w:spacing w:after="120"/>
      </w:pPr>
      <w:r>
        <w:rPr>
          <w:rFonts w:ascii="Times New Roman" w:hAnsi="Times New Roman"/>
          <w:i/>
          <w:color w:val="808080"/>
          <w:sz w:val="20"/>
        </w:rPr>
        <w:t>[PLACEHOLDER] State the problem: existing RAG benchmarks (KILT, Natural Questions, MS MARCO) cover open-domain QA, not technical cloud documentation. Public cloud benchmarks (Yu 2024, Gan 2025 surveys; Wang CORB-RAG 2025) do not evaluate cross-cloud terminology normalization.</w:t>
      </w:r>
    </w:p>
    <w:p>
      <w:pPr>
        <w:spacing w:line="240" w:lineRule="auto" w:after="60"/>
      </w:pPr>
      <w:r>
        <w:rPr>
          <w:rFonts w:ascii="Times New Roman" w:hAnsi="Times New Roman"/>
          <w:b w:val="0"/>
          <w:i w:val="0"/>
          <w:sz w:val="20"/>
        </w:rPr>
        <w:t>Our contributions are:</w:t>
      </w:r>
    </w:p>
    <w:p>
      <w:pPr>
        <w:spacing w:line="240" w:lineRule="auto" w:after="60"/>
      </w:pPr>
      <w:r>
        <w:rPr>
          <w:rFonts w:ascii="Times New Roman" w:hAnsi="Times New Roman"/>
          <w:b w:val="0"/>
          <w:i w:val="0"/>
          <w:sz w:val="20"/>
        </w:rPr>
        <w:t>1) A reproducible multi-cloud QA benchmark covering AWS, Azure, and GCP (300 expert queries, normalized gold evidence).</w:t>
      </w:r>
    </w:p>
    <w:p>
      <w:pPr>
        <w:spacing w:line="240" w:lineRule="auto" w:after="60"/>
      </w:pPr>
      <w:r>
        <w:rPr>
          <w:rFonts w:ascii="Times New Roman" w:hAnsi="Times New Roman"/>
          <w:b w:val="0"/>
          <w:i w:val="0"/>
          <w:sz w:val="20"/>
        </w:rPr>
        <w:t>2) A cross-cloud terminology normalization module operating at both index and query time.</w:t>
      </w:r>
    </w:p>
    <w:p>
      <w:pPr>
        <w:spacing w:line="240" w:lineRule="auto" w:after="60"/>
      </w:pPr>
      <w:r>
        <w:rPr>
          <w:rFonts w:ascii="Times New Roman" w:hAnsi="Times New Roman"/>
          <w:b w:val="0"/>
          <w:i w:val="0"/>
          <w:sz w:val="20"/>
        </w:rPr>
        <w:t>3) A systematic ablation isolating the contribution of BM25, dense retrieval, RRF fusion, cross-encoder reranking, and NLI-based faithfulness filtering.</w:t>
      </w:r>
    </w:p>
    <w:p>
      <w:pPr>
        <w:spacing w:line="240" w:lineRule="auto" w:after="60"/>
      </w:pPr>
      <w:r>
        <w:rPr>
          <w:rFonts w:ascii="Times New Roman" w:hAnsi="Times New Roman"/>
          <w:b w:val="0"/>
          <w:i w:val="0"/>
          <w:sz w:val="20"/>
        </w:rPr>
        <w:t>4) An empirical trade-off study across three open-weight LLMs (Llama 3.1 8B, Mistral 7B, Qwen 2.5 7B) deployed locally via Ollama.</w:t>
      </w:r>
    </w:p>
    <w:p>
      <w:pPr>
        <w:spacing w:line="240" w:lineRule="auto" w:after="60"/>
      </w:pPr>
      <w:r>
        <w:rPr>
          <w:rFonts w:ascii="Times New Roman" w:hAnsi="Times New Roman"/>
          <w:b w:val="0"/>
          <w:i w:val="0"/>
          <w:sz w:val="20"/>
        </w:rPr>
        <w:t>5) An open-source reference implementation (code, data, Docker) supporting one-command replication.</w:t>
      </w:r>
    </w:p>
    <w:p>
      <w:pPr>
        <w:spacing w:after="120"/>
      </w:pPr>
      <w:r>
        <w:rPr>
          <w:rFonts w:ascii="Times New Roman" w:hAnsi="Times New Roman"/>
          <w:i/>
          <w:color w:val="808080"/>
          <w:sz w:val="20"/>
        </w:rPr>
        <w:t>[PLACEHOLDER] Close with paper roadmap: Section II surveys related work; Section III describes the methodology; Section IV details the experimental setup; Section V presents results; Section VI discusses findings; Section VII concludes.</w:t>
      </w:r>
    </w:p>
    <w:p>
      <w:pPr>
        <w:spacing w:before="120" w:after="60"/>
        <w:jc w:val="center"/>
      </w:pPr>
      <w:r>
        <w:rPr>
          <w:rFonts w:ascii="Times New Roman" w:hAnsi="Times New Roman"/>
          <w:b/>
          <w:smallCaps/>
          <w:sz w:val="20"/>
        </w:rPr>
        <w:t>II. Related Work</w:t>
      </w:r>
    </w:p>
    <w:p>
      <w:pPr>
        <w:spacing w:before="120" w:after="60"/>
      </w:pPr>
      <w:r>
        <w:rPr>
          <w:rFonts w:ascii="Times New Roman" w:hAnsi="Times New Roman"/>
          <w:b/>
          <w:i/>
          <w:sz w:val="20"/>
        </w:rPr>
        <w:t>A. Sparse and Dense Retrieval</w:t>
      </w:r>
    </w:p>
    <w:p>
      <w:pPr>
        <w:spacing w:after="120"/>
      </w:pPr>
      <w:r>
        <w:rPr>
          <w:rFonts w:ascii="Times New Roman" w:hAnsi="Times New Roman"/>
          <w:i/>
          <w:color w:val="808080"/>
          <w:sz w:val="20"/>
        </w:rPr>
        <w:t>[PLACEHOLDER] BM25 [robertson2009bm25] remains a hard baseline. Dense retrieval: DPR [karpukhin2020dpr], ColBERT [khattab2020colbert]. Modern encoders: BGE [xiao2023bge]. Efficient ANN: FAISS [johnson2019faiss].</w:t>
      </w:r>
    </w:p>
    <w:p>
      <w:pPr>
        <w:spacing w:before="120" w:after="60"/>
      </w:pPr>
      <w:r>
        <w:rPr>
          <w:rFonts w:ascii="Times New Roman" w:hAnsi="Times New Roman"/>
          <w:b/>
          <w:i/>
          <w:sz w:val="20"/>
        </w:rPr>
        <w:t>B. Hybrid Retrieval and Fusion</w:t>
      </w:r>
    </w:p>
    <w:p>
      <w:pPr>
        <w:spacing w:after="120"/>
      </w:pPr>
      <w:r>
        <w:rPr>
          <w:rFonts w:ascii="Times New Roman" w:hAnsi="Times New Roman"/>
          <w:i/>
          <w:color w:val="808080"/>
          <w:sz w:val="20"/>
        </w:rPr>
        <w:t>[PLACEHOLDER] RRF [cormack2009rrf] remains the go-to fusion strategy. Cite Sawarkar 2024 Blended RAG, Aljohani 2026, Kartiyanta 2025 for hybrid evidence in domain-specific RAG.</w:t>
      </w:r>
    </w:p>
    <w:p>
      <w:pPr>
        <w:spacing w:before="120" w:after="60"/>
      </w:pPr>
      <w:r>
        <w:rPr>
          <w:rFonts w:ascii="Times New Roman" w:hAnsi="Times New Roman"/>
          <w:b/>
          <w:i/>
          <w:sz w:val="20"/>
        </w:rPr>
        <w:t>C. RAG Systems and Evaluation</w:t>
      </w:r>
    </w:p>
    <w:p>
      <w:pPr>
        <w:spacing w:after="120"/>
      </w:pPr>
      <w:r>
        <w:rPr>
          <w:rFonts w:ascii="Times New Roman" w:hAnsi="Times New Roman"/>
          <w:i/>
          <w:color w:val="808080"/>
          <w:sz w:val="20"/>
        </w:rPr>
        <w:t>[PLACEHOLDER] Gao 2024 survey, Yu 2024 survey, Wang CORB-RAG 2025, Gan 2025. Barnett 2024 — seven failure points. Shi 2024 — four-module synergy. Chunking strategies: Peng 2025 LateSplit, Jadon 2025.</w:t>
      </w:r>
    </w:p>
    <w:p>
      <w:pPr>
        <w:spacing w:before="120" w:after="60"/>
      </w:pPr>
      <w:r>
        <w:rPr>
          <w:rFonts w:ascii="Times New Roman" w:hAnsi="Times New Roman"/>
          <w:b/>
          <w:i/>
          <w:sz w:val="20"/>
        </w:rPr>
        <w:t>D. Domain-Specific and Technical RAG</w:t>
      </w:r>
    </w:p>
    <w:p>
      <w:pPr>
        <w:spacing w:after="120"/>
      </w:pPr>
      <w:r>
        <w:rPr>
          <w:rFonts w:ascii="Times New Roman" w:hAnsi="Times New Roman"/>
          <w:i/>
          <w:color w:val="808080"/>
          <w:sz w:val="20"/>
        </w:rPr>
        <w:t>[PLACEHOLDER] Rahman 2025 — technical PDFs. Mahr 2025 — preprocessing with SHAP masks. Mahmood 2025 — Azure docs, AzureIQ-RAG. Xia 2024 — digital twins / Industry 4.0. Kanthathasan 2025 — medical. Hindi 2025 — precision and interpretability. Position gap: none tackle cross-cloud terminology normalization.</w:t>
      </w:r>
    </w:p>
    <w:p>
      <w:pPr>
        <w:spacing w:before="120" w:after="60"/>
      </w:pPr>
      <w:r>
        <w:rPr>
          <w:rFonts w:ascii="Times New Roman" w:hAnsi="Times New Roman"/>
          <w:b/>
          <w:i/>
          <w:sz w:val="20"/>
        </w:rPr>
        <w:t>E. Hallucination Detection</w:t>
      </w:r>
    </w:p>
    <w:p>
      <w:pPr>
        <w:spacing w:after="120"/>
      </w:pPr>
      <w:r>
        <w:rPr>
          <w:rFonts w:ascii="Times New Roman" w:hAnsi="Times New Roman"/>
          <w:i/>
          <w:color w:val="808080"/>
          <w:sz w:val="20"/>
        </w:rPr>
        <w:t>[PLACEHOLDER] Ji 2023 taxonomy. Honovich 2022 TRUE — NLI as faithfulness proxy. Motivate our NLI filter (DeBERTa v3).</w:t>
      </w:r>
    </w:p>
    <w:p>
      <w:pPr>
        <w:spacing w:before="120" w:after="60"/>
        <w:jc w:val="center"/>
      </w:pPr>
      <w:r>
        <w:rPr>
          <w:rFonts w:ascii="Times New Roman" w:hAnsi="Times New Roman"/>
          <w:b/>
          <w:smallCaps/>
          <w:sz w:val="20"/>
        </w:rPr>
        <w:t>III. Methodology</w:t>
      </w:r>
    </w:p>
    <w:p>
      <w:pPr>
        <w:spacing w:before="120" w:after="60"/>
      </w:pPr>
      <w:r>
        <w:rPr>
          <w:rFonts w:ascii="Times New Roman" w:hAnsi="Times New Roman"/>
          <w:b/>
          <w:i/>
          <w:sz w:val="20"/>
        </w:rPr>
        <w:t>A. Pipeline Overview</w:t>
      </w:r>
    </w:p>
    <w:p>
      <w:pPr>
        <w:spacing w:after="120"/>
      </w:pPr>
      <w:r>
        <w:rPr>
          <w:rFonts w:ascii="Times New Roman" w:hAnsi="Times New Roman"/>
          <w:i/>
          <w:color w:val="808080"/>
          <w:sz w:val="20"/>
        </w:rPr>
        <w:t>[PLACEHOLDER] Insert architecture figure (fig_end_to_end.png). Describe 5 stages: (1) ingestion + normalization, (2) hybrid retrieval (BM25 + dense), (3) RRF fusion, (4) cross-encoder reranking, (5) generation with NLI faithfulness filter.</w:t>
      </w:r>
    </w:p>
    <w:p>
      <w:pPr>
        <w:spacing w:before="120" w:after="60"/>
      </w:pPr>
      <w:r>
        <w:rPr>
          <w:rFonts w:ascii="Times New Roman" w:hAnsi="Times New Roman"/>
          <w:b/>
          <w:i/>
          <w:sz w:val="20"/>
        </w:rPr>
        <w:t>B. Corpus Construction and Preprocessing</w:t>
      </w:r>
    </w:p>
    <w:p>
      <w:pPr>
        <w:spacing w:after="120"/>
      </w:pPr>
      <w:r>
        <w:rPr>
          <w:rFonts w:ascii="Times New Roman" w:hAnsi="Times New Roman"/>
          <w:i/>
          <w:color w:val="808080"/>
          <w:sz w:val="20"/>
        </w:rPr>
        <w:t>[PLACEHOLDER] Data sources: official AWS, Azure, GCP documentation. Crawler spec, deduplication, language filter. Total sizes, token counts, document distribution per provider. Time of crawl (reproducibility).</w:t>
      </w:r>
    </w:p>
    <w:p>
      <w:pPr>
        <w:spacing w:before="120" w:after="60"/>
      </w:pPr>
      <w:r>
        <w:rPr>
          <w:rFonts w:ascii="Times New Roman" w:hAnsi="Times New Roman"/>
          <w:b/>
          <w:i/>
          <w:sz w:val="20"/>
        </w:rPr>
        <w:t>C. Cross-Cloud Terminology Normalization</w:t>
      </w:r>
    </w:p>
    <w:p>
      <w:pPr>
        <w:spacing w:after="120"/>
      </w:pPr>
      <w:r>
        <w:rPr>
          <w:rFonts w:ascii="Times New Roman" w:hAnsi="Times New Roman"/>
          <w:i/>
          <w:color w:val="808080"/>
          <w:sz w:val="20"/>
        </w:rPr>
        <w:t>[PLACEHOLDER] Curated alias table. Examples: {VPC, Virtual Network, VPC Network} → canonical token. Applied symmetrically at ingest and query time. Motivate from observed benchmark errors. Table of representative mappings (15–20 entries).</w:t>
      </w:r>
    </w:p>
    <w:p>
      <w:pPr>
        <w:spacing w:before="120" w:after="60"/>
      </w:pPr>
      <w:r>
        <w:rPr>
          <w:rFonts w:ascii="Times New Roman" w:hAnsi="Times New Roman"/>
          <w:b/>
          <w:i/>
          <w:sz w:val="20"/>
        </w:rPr>
        <w:t>D. Chunking Strategy</w:t>
      </w:r>
    </w:p>
    <w:p>
      <w:pPr>
        <w:spacing w:after="120"/>
      </w:pPr>
      <w:r>
        <w:rPr>
          <w:rFonts w:ascii="Times New Roman" w:hAnsi="Times New Roman"/>
          <w:i/>
          <w:color w:val="808080"/>
          <w:sz w:val="20"/>
        </w:rPr>
        <w:t>[PLACEHOLDER] Adaptive 500-token chunks respecting section boundaries, code blocks, and tables. Comparison vs fixed-size (cite Mahmood 2025, Mahr 2025, Ma &amp; Li 2025, Rahman 2025 findings).</w:t>
      </w:r>
    </w:p>
    <w:p>
      <w:pPr>
        <w:spacing w:before="120" w:after="60"/>
      </w:pPr>
      <w:r>
        <w:rPr>
          <w:rFonts w:ascii="Times New Roman" w:hAnsi="Times New Roman"/>
          <w:b/>
          <w:i/>
          <w:sz w:val="20"/>
        </w:rPr>
        <w:t>E. Retrieval Components</w:t>
      </w:r>
    </w:p>
    <w:p>
      <w:pPr>
        <w:spacing w:after="120"/>
      </w:pPr>
      <w:r>
        <w:rPr>
          <w:rFonts w:ascii="Times New Roman" w:hAnsi="Times New Roman"/>
          <w:i/>
          <w:color w:val="808080"/>
          <w:sz w:val="20"/>
        </w:rPr>
        <w:t>[PLACEHOLDER] BM25 parameters (k1, b). Dense: BGE-large-en-v1.5 (1024 dim), FAISS IVF-PQ index. RRF constant k=60 (Cormack default). Top-k candidates per retriever. Cross-encoder reranker: ms-marco-MiniLM-L-12-v2.</w:t>
      </w:r>
    </w:p>
    <w:p>
      <w:pPr>
        <w:spacing w:before="120" w:after="60"/>
      </w:pPr>
      <w:r>
        <w:rPr>
          <w:rFonts w:ascii="Times New Roman" w:hAnsi="Times New Roman"/>
          <w:b/>
          <w:i/>
          <w:sz w:val="20"/>
        </w:rPr>
        <w:t>F. Generation and Faithfulness Filtering</w:t>
      </w:r>
    </w:p>
    <w:p>
      <w:pPr>
        <w:spacing w:after="120"/>
      </w:pPr>
      <w:r>
        <w:rPr>
          <w:rFonts w:ascii="Times New Roman" w:hAnsi="Times New Roman"/>
          <w:i/>
          <w:color w:val="808080"/>
          <w:sz w:val="20"/>
        </w:rPr>
        <w:t>[PLACEHOLDER] Three local LLMs via Ollama (Llama 3.1 8B-instruct, Mistral 7B-instruct, Qwen 2.5 7B-instruct). Prompt template (include in appendix). NLI filter: DeBERTa-v3 applied claim-wise on the generated answer against retrieved evidence. Threshold selection procedure.</w:t>
      </w:r>
    </w:p>
    <w:p>
      <w:pPr>
        <w:spacing w:before="120" w:after="60"/>
        <w:jc w:val="center"/>
      </w:pPr>
      <w:r>
        <w:rPr>
          <w:rFonts w:ascii="Times New Roman" w:hAnsi="Times New Roman"/>
          <w:b/>
          <w:smallCaps/>
          <w:sz w:val="20"/>
        </w:rPr>
        <w:t>IV. Experimental Setup</w:t>
      </w:r>
    </w:p>
    <w:p>
      <w:pPr>
        <w:spacing w:before="120" w:after="60"/>
      </w:pPr>
      <w:r>
        <w:rPr>
          <w:rFonts w:ascii="Times New Roman" w:hAnsi="Times New Roman"/>
          <w:b/>
          <w:i/>
          <w:sz w:val="20"/>
        </w:rPr>
        <w:t>A. Benchmark</w:t>
      </w:r>
    </w:p>
    <w:p>
      <w:pPr>
        <w:spacing w:after="120"/>
      </w:pPr>
      <w:r>
        <w:rPr>
          <w:rFonts w:ascii="Times New Roman" w:hAnsi="Times New Roman"/>
          <w:i/>
          <w:color w:val="808080"/>
          <w:sz w:val="20"/>
        </w:rPr>
        <w:t>[PLACEHOLDER] 300 expert-curated queries across AWS / Azure / GCP. Query-type distribution (config / troubleshooting / conceptual / cross-cloud mapping). Gold evidence: source document + span. Annotation protocol, inter-annotator agreement if any.</w:t>
      </w:r>
    </w:p>
    <w:p>
      <w:pPr>
        <w:spacing w:before="120" w:after="60"/>
      </w:pPr>
      <w:r>
        <w:rPr>
          <w:rFonts w:ascii="Times New Roman" w:hAnsi="Times New Roman"/>
          <w:b/>
          <w:i/>
          <w:sz w:val="20"/>
        </w:rPr>
        <w:t>B. Metrics</w:t>
      </w:r>
    </w:p>
    <w:p>
      <w:pPr>
        <w:spacing w:after="120"/>
      </w:pPr>
      <w:r>
        <w:rPr>
          <w:rFonts w:ascii="Times New Roman" w:hAnsi="Times New Roman"/>
          <w:i/>
          <w:color w:val="808080"/>
          <w:sz w:val="20"/>
        </w:rPr>
        <w:t>[PLACEHOLDER] Retrieval: P@1, P@5, Recall@5, MRR, NDCG@5. Generation: Faithfulness (NLI), Answer Accuracy (exact / LLM-as-judge). Efficiency: latency p50/p95, tokens used.</w:t>
      </w:r>
    </w:p>
    <w:p>
      <w:pPr>
        <w:spacing w:before="120" w:after="60"/>
      </w:pPr>
      <w:r>
        <w:rPr>
          <w:rFonts w:ascii="Times New Roman" w:hAnsi="Times New Roman"/>
          <w:b/>
          <w:i/>
          <w:sz w:val="20"/>
        </w:rPr>
        <w:t>C. Statistical Protocol</w:t>
      </w:r>
    </w:p>
    <w:p>
      <w:pPr>
        <w:spacing w:after="120"/>
      </w:pPr>
      <w:r>
        <w:rPr>
          <w:rFonts w:ascii="Times New Roman" w:hAnsi="Times New Roman"/>
          <w:i/>
          <w:color w:val="808080"/>
          <w:sz w:val="20"/>
        </w:rPr>
        <w:t>[PLACEHOLDER] Wilcoxon signed-rank test over per-query deltas. Effect size: Cohen's d. Bootstrap confidence intervals (10,000 resamples).</w:t>
      </w:r>
    </w:p>
    <w:p>
      <w:pPr>
        <w:spacing w:before="120" w:after="60"/>
      </w:pPr>
      <w:r>
        <w:rPr>
          <w:rFonts w:ascii="Times New Roman" w:hAnsi="Times New Roman"/>
          <w:b/>
          <w:i/>
          <w:sz w:val="20"/>
        </w:rPr>
        <w:t>D. Implementation and Reproducibility</w:t>
      </w:r>
    </w:p>
    <w:p>
      <w:pPr>
        <w:spacing w:after="120"/>
      </w:pPr>
      <w:r>
        <w:rPr>
          <w:rFonts w:ascii="Times New Roman" w:hAnsi="Times New Roman"/>
          <w:i/>
          <w:color w:val="808080"/>
          <w:sz w:val="20"/>
        </w:rPr>
        <w:t>[PLACEHOLDER] Hardware (CPU, GPU, RAM). Software: Python 3.11, sentence-transformers, faiss-cpu, Ollama x.y.z. Docker image. Fixed random seeds. GitHub URL and Zenodo DOI.</w:t>
      </w:r>
    </w:p>
    <w:p>
      <w:pPr>
        <w:spacing w:before="120" w:after="60"/>
        <w:jc w:val="center"/>
      </w:pPr>
      <w:r>
        <w:rPr>
          <w:rFonts w:ascii="Times New Roman" w:hAnsi="Times New Roman"/>
          <w:b/>
          <w:smallCaps/>
          <w:sz w:val="20"/>
        </w:rPr>
        <w:t>V. Results</w:t>
      </w:r>
    </w:p>
    <w:p>
      <w:pPr>
        <w:spacing w:before="120" w:after="60"/>
      </w:pPr>
      <w:r>
        <w:rPr>
          <w:rFonts w:ascii="Times New Roman" w:hAnsi="Times New Roman"/>
          <w:b/>
          <w:i/>
          <w:sz w:val="20"/>
        </w:rPr>
        <w:t>A. Retrieval Quality</w:t>
      </w:r>
    </w:p>
    <w:p>
      <w:pPr>
        <w:spacing w:after="120"/>
      </w:pPr>
      <w:r>
        <w:rPr>
          <w:rFonts w:ascii="Times New Roman" w:hAnsi="Times New Roman"/>
          <w:i/>
          <w:color w:val="808080"/>
          <w:sz w:val="20"/>
        </w:rPr>
        <w:t>[PLACEHOLDER] Table 1: BM25 vs Dense vs Hybrid vs Hybrid+Reranker. Plug CSV retrieval_metrics.csv. Insert fig_retrieval_comparison.png.</w:t>
      </w:r>
    </w:p>
    <w:p>
      <w:pPr>
        <w:spacing w:before="120" w:after="60"/>
      </w:pPr>
      <w:r>
        <w:rPr>
          <w:rFonts w:ascii="Times New Roman" w:hAnsi="Times New Roman"/>
          <w:b/>
          <w:i/>
          <w:sz w:val="20"/>
        </w:rPr>
        <w:t>B. Ablation Study</w:t>
      </w:r>
    </w:p>
    <w:p>
      <w:pPr>
        <w:spacing w:after="120"/>
      </w:pPr>
      <w:r>
        <w:rPr>
          <w:rFonts w:ascii="Times New Roman" w:hAnsi="Times New Roman"/>
          <w:i/>
          <w:color w:val="808080"/>
          <w:sz w:val="20"/>
        </w:rPr>
        <w:t>[PLACEHOLDER] Waterfall chart (fig_ablation_waterfall.png). Drop each component (BM25, Dense, RRF, Reranker, NLI) one at a time. Report delta in NDCG@5 and Faithfulness.</w:t>
      </w:r>
    </w:p>
    <w:p>
      <w:pPr>
        <w:spacing w:before="120" w:after="60"/>
      </w:pPr>
      <w:r>
        <w:rPr>
          <w:rFonts w:ascii="Times New Roman" w:hAnsi="Times New Roman"/>
          <w:b/>
          <w:i/>
          <w:sz w:val="20"/>
        </w:rPr>
        <w:t>C. Cross-Cloud Normalization Impact</w:t>
      </w:r>
    </w:p>
    <w:p>
      <w:pPr>
        <w:spacing w:after="120"/>
      </w:pPr>
      <w:r>
        <w:rPr>
          <w:rFonts w:ascii="Times New Roman" w:hAnsi="Times New Roman"/>
          <w:i/>
          <w:color w:val="808080"/>
          <w:sz w:val="20"/>
        </w:rPr>
        <w:t>[PLACEHOLDER] Table with / without normalization. Figure fig_cross_cloud_improvement.png. Reported +16.8% faithfulness gain.</w:t>
      </w:r>
    </w:p>
    <w:p>
      <w:pPr>
        <w:spacing w:before="120" w:after="60"/>
      </w:pPr>
      <w:r>
        <w:rPr>
          <w:rFonts w:ascii="Times New Roman" w:hAnsi="Times New Roman"/>
          <w:b/>
          <w:i/>
          <w:sz w:val="20"/>
        </w:rPr>
        <w:t>D. LLM Trade-offs</w:t>
      </w:r>
    </w:p>
    <w:p>
      <w:pPr>
        <w:spacing w:after="120"/>
      </w:pPr>
      <w:r>
        <w:rPr>
          <w:rFonts w:ascii="Times New Roman" w:hAnsi="Times New Roman"/>
          <w:i/>
          <w:color w:val="808080"/>
          <w:sz w:val="20"/>
        </w:rPr>
        <w:t>[PLACEHOLDER] Figure fig_llm_comparison.png. Llama 3.1 8B vs Mistral 7B vs Qwen 2.5 7B: accuracy, faithfulness, latency.</w:t>
      </w:r>
    </w:p>
    <w:p>
      <w:pPr>
        <w:spacing w:before="120" w:after="60"/>
      </w:pPr>
      <w:r>
        <w:rPr>
          <w:rFonts w:ascii="Times New Roman" w:hAnsi="Times New Roman"/>
          <w:b/>
          <w:i/>
          <w:sz w:val="20"/>
        </w:rPr>
        <w:t>E. Efficiency Analysis</w:t>
      </w:r>
    </w:p>
    <w:p>
      <w:pPr>
        <w:spacing w:after="120"/>
      </w:pPr>
      <w:r>
        <w:rPr>
          <w:rFonts w:ascii="Times New Roman" w:hAnsi="Times New Roman"/>
          <w:i/>
          <w:color w:val="808080"/>
          <w:sz w:val="20"/>
        </w:rPr>
        <w:t>[PLACEHOLDER] fig_latency_breakdown.png: retrieval vs rerank vs generation vs NLI. Discuss cost/quality trade-off with / without cross-encoder.</w:t>
      </w:r>
    </w:p>
    <w:p>
      <w:pPr>
        <w:spacing w:before="120" w:after="60"/>
        <w:jc w:val="center"/>
      </w:pPr>
      <w:r>
        <w:rPr>
          <w:rFonts w:ascii="Times New Roman" w:hAnsi="Times New Roman"/>
          <w:b/>
          <w:smallCaps/>
          <w:sz w:val="20"/>
        </w:rPr>
        <w:t>VI. Discussion</w:t>
      </w:r>
    </w:p>
    <w:p>
      <w:pPr>
        <w:spacing w:after="120"/>
      </w:pPr>
      <w:r>
        <w:rPr>
          <w:rFonts w:ascii="Times New Roman" w:hAnsi="Times New Roman"/>
          <w:i/>
          <w:color w:val="808080"/>
          <w:sz w:val="20"/>
        </w:rPr>
        <w:t>[PLACEHOLDER] Key finding 1: Hybrid &gt; Dense &gt; BM25 consistent with Sawarkar and Aljohani, but magnitude larger in cross-cloud setting (attribute to terminology drift).</w:t>
      </w:r>
    </w:p>
    <w:p>
      <w:pPr>
        <w:spacing w:after="120"/>
      </w:pPr>
      <w:r>
        <w:rPr>
          <w:rFonts w:ascii="Times New Roman" w:hAnsi="Times New Roman"/>
          <w:i/>
          <w:color w:val="808080"/>
          <w:sz w:val="20"/>
        </w:rPr>
        <w:t>[PLACEHOLDER] Key finding 2: Reranker contribution is large when candidate pool is noisy; marginal otherwise. Cite fig_reranker_impact.png.</w:t>
      </w:r>
    </w:p>
    <w:p>
      <w:pPr>
        <w:spacing w:after="120"/>
      </w:pPr>
      <w:r>
        <w:rPr>
          <w:rFonts w:ascii="Times New Roman" w:hAnsi="Times New Roman"/>
          <w:i/>
          <w:color w:val="808080"/>
          <w:sz w:val="20"/>
        </w:rPr>
        <w:t>[PLACEHOLDER] Threats to validity: (a) single annotator for some cross-cloud queries, (b) English-only, (c) documentation snapshot is static, (d) NLI model bias.</w:t>
      </w:r>
    </w:p>
    <w:p>
      <w:pPr>
        <w:spacing w:after="120"/>
      </w:pPr>
      <w:r>
        <w:rPr>
          <w:rFonts w:ascii="Times New Roman" w:hAnsi="Times New Roman"/>
          <w:i/>
          <w:color w:val="808080"/>
          <w:sz w:val="20"/>
        </w:rPr>
        <w:t>[PLACEHOLDER] Limitations: no long-context evaluation; no multimodal content (diagrams); LLMs limited to 7–8B. Compare to Barnett 2024 seven failure points — which do we mitigate vs leave open.</w:t>
      </w:r>
    </w:p>
    <w:p>
      <w:pPr>
        <w:spacing w:before="120" w:after="60"/>
        <w:jc w:val="center"/>
      </w:pPr>
      <w:r>
        <w:rPr>
          <w:rFonts w:ascii="Times New Roman" w:hAnsi="Times New Roman"/>
          <w:b/>
          <w:smallCaps/>
          <w:sz w:val="20"/>
        </w:rPr>
        <w:t>VII. Conclusion and Future Work</w:t>
      </w:r>
    </w:p>
    <w:p>
      <w:pPr>
        <w:spacing w:after="120"/>
      </w:pPr>
      <w:r>
        <w:rPr>
          <w:rFonts w:ascii="Times New Roman" w:hAnsi="Times New Roman"/>
          <w:i/>
          <w:color w:val="808080"/>
          <w:sz w:val="20"/>
        </w:rPr>
        <w:t>[PLACEHOLDER] Summary: CloudRAG — hybrid pipeline + normalization + NLI filter — improves P@1 by 14.5 pp over BM25 and 7.0 pp over dense-only on a 300-query multi-cloud benchmark. Full replication package released.</w:t>
      </w:r>
    </w:p>
    <w:p>
      <w:pPr>
        <w:spacing w:after="120"/>
      </w:pPr>
      <w:r>
        <w:rPr>
          <w:rFonts w:ascii="Times New Roman" w:hAnsi="Times New Roman"/>
          <w:i/>
          <w:color w:val="808080"/>
          <w:sz w:val="20"/>
        </w:rPr>
        <w:t>[PLACEHOLDER] Future: (1) multilingual (Spanish AWS/Azure/GCP docs), (2) multimodal retrieval over architecture diagrams, (3) agentic query decomposition (Ma &amp; Li 2025), (4) continual ingestion as docs update.</w:t>
      </w:r>
    </w:p>
    <w:p>
      <w:pPr>
        <w:spacing w:before="120" w:after="60"/>
        <w:jc w:val="center"/>
      </w:pPr>
      <w:r>
        <w:rPr>
          <w:rFonts w:ascii="Times New Roman" w:hAnsi="Times New Roman"/>
          <w:b/>
          <w:smallCaps/>
          <w:sz w:val="20"/>
        </w:rPr>
        <w:t>AI Use Disclosure</w:t>
      </w:r>
    </w:p>
    <w:p>
      <w:pPr>
        <w:spacing w:line="240" w:lineRule="auto" w:after="60"/>
      </w:pPr>
      <w:r>
        <w:rPr>
          <w:rFonts w:ascii="Times New Roman" w:hAnsi="Times New Roman"/>
          <w:b w:val="0"/>
          <w:i w:val="0"/>
          <w:sz w:val="20"/>
        </w:rPr>
        <w:t>Generative AI tools (Claude, GitHub Copilot) were used to assist with code scaffolding, draft refinement, and bibliography curation. All experiments, data curation, final analysis, and statistical interpretation were performed and verified by the author. No AI-generated text was included in the paper without human review and editing.</w:t>
      </w:r>
    </w:p>
    <w:p>
      <w:pPr>
        <w:spacing w:before="120" w:after="60"/>
        <w:jc w:val="center"/>
      </w:pPr>
      <w:r>
        <w:rPr>
          <w:rFonts w:ascii="Times New Roman" w:hAnsi="Times New Roman"/>
          <w:b/>
          <w:smallCaps/>
          <w:sz w:val="20"/>
        </w:rPr>
        <w:t>Acknowledgements</w:t>
      </w:r>
    </w:p>
    <w:p>
      <w:pPr>
        <w:spacing w:after="120"/>
      </w:pPr>
      <w:r>
        <w:rPr>
          <w:rFonts w:ascii="Times New Roman" w:hAnsi="Times New Roman"/>
          <w:i/>
          <w:color w:val="808080"/>
          <w:sz w:val="20"/>
        </w:rPr>
        <w:t>[PLACEHOLDER] Thank advisor Lewis Fuentes Winston, Universidad de Lima — Facultad de Ingeniería de Sistemas. Optionally thank reviewers post-acceptance.</w:t>
      </w:r>
    </w:p>
    <w:p>
      <w:pPr>
        <w:spacing w:before="120" w:after="60"/>
        <w:jc w:val="center"/>
      </w:pPr>
      <w:r>
        <w:rPr>
          <w:rFonts w:ascii="Times New Roman" w:hAnsi="Times New Roman"/>
          <w:b/>
          <w:smallCaps/>
          <w:sz w:val="20"/>
        </w:rPr>
        <w:t>References</w:t>
      </w:r>
    </w:p>
    <w:p>
      <w:pPr>
        <w:spacing w:after="40"/>
        <w:ind w:hanging="216" w:left="216"/>
      </w:pPr>
      <w:r>
        <w:rPr>
          <w:rFonts w:ascii="Times New Roman" w:hAnsi="Times New Roman"/>
          <w:sz w:val="16"/>
        </w:rPr>
        <w:t>[1] P. Lewis et al., “Retrieval-Augmented Generation for Knowledge-Intensive NLP Tasks,” in Proc. NeurIPS, 2020.</w:t>
      </w:r>
    </w:p>
    <w:p>
      <w:pPr>
        <w:spacing w:after="40"/>
        <w:ind w:hanging="216" w:left="216"/>
      </w:pPr>
      <w:r>
        <w:rPr>
          <w:rFonts w:ascii="Times New Roman" w:hAnsi="Times New Roman"/>
          <w:sz w:val="16"/>
        </w:rPr>
        <w:t>[2] V. Karpukhin et al., “Dense Passage Retrieval for Open-Domain Question Answering,” in Proc. EMNLP, 2020.</w:t>
      </w:r>
    </w:p>
    <w:p>
      <w:pPr>
        <w:spacing w:after="40"/>
        <w:ind w:hanging="216" w:left="216"/>
      </w:pPr>
      <w:r>
        <w:rPr>
          <w:rFonts w:ascii="Times New Roman" w:hAnsi="Times New Roman"/>
          <w:sz w:val="16"/>
        </w:rPr>
        <w:t>[3] S. Robertson and H. Zaragoza, “The Probabilistic Relevance Framework: BM25 and Beyond,” Foundations and Trends in Information Retrieval, vol. 3, no. 4, 2009.</w:t>
      </w:r>
    </w:p>
    <w:p>
      <w:pPr>
        <w:spacing w:after="40"/>
        <w:ind w:hanging="216" w:left="216"/>
      </w:pPr>
      <w:r>
        <w:rPr>
          <w:rFonts w:ascii="Times New Roman" w:hAnsi="Times New Roman"/>
          <w:sz w:val="16"/>
        </w:rPr>
        <w:t>[4] G. V. Cormack, C. L. A. Clarke, and S. Büttcher, “Reciprocal Rank Fusion Outperforms Condorcet and Individual Rank Learning Methods,” in Proc. SIGIR, 2009.</w:t>
      </w:r>
    </w:p>
    <w:p>
      <w:pPr>
        <w:spacing w:after="40"/>
        <w:ind w:hanging="216" w:left="216"/>
      </w:pPr>
      <w:r>
        <w:rPr>
          <w:rFonts w:ascii="Times New Roman" w:hAnsi="Times New Roman"/>
          <w:sz w:val="16"/>
        </w:rPr>
        <w:t>[5] R. Nogueira and K. Cho, “Passage Re-ranking with BERT,” arXiv preprint arXiv:1901.04085, 2019.</w:t>
      </w:r>
    </w:p>
    <w:p>
      <w:pPr>
        <w:spacing w:after="40"/>
        <w:ind w:hanging="216" w:left="216"/>
      </w:pPr>
      <w:r>
        <w:rPr>
          <w:rFonts w:ascii="Times New Roman" w:hAnsi="Times New Roman"/>
          <w:sz w:val="16"/>
        </w:rPr>
        <w:t>[6] O. Khattab and M. Zaharia, “ColBERT: Efficient and Effective Passage Search via Contextualized Late Interaction over BERT,” in Proc. SIGIR, 2020.</w:t>
      </w:r>
    </w:p>
    <w:p>
      <w:pPr>
        <w:spacing w:after="40"/>
        <w:ind w:hanging="216" w:left="216"/>
      </w:pPr>
      <w:r>
        <w:rPr>
          <w:rFonts w:ascii="Times New Roman" w:hAnsi="Times New Roman"/>
          <w:sz w:val="16"/>
        </w:rPr>
        <w:t>[7] J. Johnson, M. Douze, and H. Jégou, “Billion-Scale Similarity Search with GPUs,” IEEE Trans. Big Data, 2019.</w:t>
      </w:r>
    </w:p>
    <w:p>
      <w:pPr>
        <w:spacing w:after="40"/>
        <w:ind w:hanging="216" w:left="216"/>
      </w:pPr>
      <w:r>
        <w:rPr>
          <w:rFonts w:ascii="Times New Roman" w:hAnsi="Times New Roman"/>
          <w:sz w:val="16"/>
        </w:rPr>
        <w:t>[8] S. Xiao, Z. Liu, P. Zhang, and N. Muennighoff, “C-Pack: Packaged Resources to Advance General Chinese Embedding,” arXiv preprint arXiv:2309.07597, 2023.</w:t>
      </w:r>
    </w:p>
    <w:p>
      <w:pPr>
        <w:spacing w:after="40"/>
        <w:ind w:hanging="216" w:left="216"/>
      </w:pPr>
      <w:r>
        <w:rPr>
          <w:rFonts w:ascii="Times New Roman" w:hAnsi="Times New Roman"/>
          <w:sz w:val="16"/>
        </w:rPr>
        <w:t>[9] Z. Ji et al., “Survey of Hallucination in Natural Language Generation,” ACM Computing Surveys, vol. 55, no. 12, 2023.</w:t>
      </w:r>
    </w:p>
    <w:p>
      <w:pPr>
        <w:spacing w:after="40"/>
        <w:ind w:hanging="216" w:left="216"/>
      </w:pPr>
      <w:r>
        <w:rPr>
          <w:rFonts w:ascii="Times New Roman" w:hAnsi="Times New Roman"/>
          <w:sz w:val="16"/>
        </w:rPr>
        <w:t>[10] Y. Gao et al., “Retrieval-Augmented Generation for Large Language Models: A Survey,” arXiv preprint arXiv:2312.10997, 2024.</w:t>
      </w:r>
    </w:p>
    <w:p>
      <w:pPr>
        <w:spacing w:after="40"/>
        <w:ind w:hanging="216" w:left="216"/>
      </w:pPr>
      <w:r>
        <w:rPr>
          <w:rFonts w:ascii="Times New Roman" w:hAnsi="Times New Roman"/>
          <w:sz w:val="16"/>
        </w:rPr>
        <w:t>[11] O. Honovich et al., “TRUE: Re-evaluating Factual Consistency Evaluation,” in Proc. NAACL, 2022.</w:t>
      </w:r>
    </w:p>
    <w:p>
      <w:pPr>
        <w:spacing w:after="40"/>
        <w:ind w:hanging="216" w:left="216"/>
      </w:pPr>
      <w:r>
        <w:rPr>
          <w:rFonts w:ascii="Times New Roman" w:hAnsi="Times New Roman"/>
          <w:sz w:val="16"/>
        </w:rPr>
        <w:t>[12] S. Barnett, S. Kurniawan, S. Thudumu, Z. Brannelly, and M. Abdelrazek, “Seven Failure Points When Engineering a Retrieval Augmented Generation System,” arXiv preprint arXiv:2401.05856, 2024.</w:t>
      </w:r>
    </w:p>
    <w:p>
      <w:pPr>
        <w:spacing w:after="40"/>
        <w:ind w:hanging="216" w:left="216"/>
      </w:pPr>
      <w:r>
        <w:rPr>
          <w:rFonts w:ascii="Times New Roman" w:hAnsi="Times New Roman"/>
          <w:sz w:val="16"/>
        </w:rPr>
        <w:t>[13] I. Mahmood, M. Mastan, Z. Naveed, H. Iftikhar, W. Ahmad, and S. M. Adnan, “AzureIQ-RAG: Hybrid RAG System for Automated Information Retrieval and Semantic Query Answering Using Azure AI,” in Proc. ICIT, 2025.</w:t>
      </w:r>
    </w:p>
    <w:p>
      <w:pPr>
        <w:spacing w:after="40"/>
        <w:ind w:hanging="216" w:left="216"/>
      </w:pPr>
      <w:r>
        <w:rPr>
          <w:rFonts w:ascii="Times New Roman" w:hAnsi="Times New Roman"/>
          <w:sz w:val="16"/>
        </w:rPr>
        <w:t>[14] F. Mahr et al., “Optimizing Semantic Search in Industrial Knowledge Retrieval: A Novel SHAP-Based Attention Mask Modification Approach,” in Proc. EuroSimE, 2025.</w:t>
      </w:r>
    </w:p>
    <w:p>
      <w:pPr>
        <w:spacing w:after="40"/>
        <w:ind w:hanging="216" w:left="216"/>
      </w:pPr>
      <w:r>
        <w:rPr>
          <w:rFonts w:ascii="Times New Roman" w:hAnsi="Times New Roman"/>
          <w:sz w:val="16"/>
        </w:rPr>
        <w:t>[15] K. Sawarkar, A. Mangal, and S. R. Solanki, “Blended RAG: Improving RAG Accuracy with Semantic Search and Hybrid Query-Based Retrievers,” in Proc. IEEE MIPR, 2024.</w:t>
      </w:r>
    </w:p>
    <w:p>
      <w:pPr>
        <w:spacing w:after="40"/>
        <w:ind w:hanging="216" w:left="216"/>
      </w:pPr>
      <w:r>
        <w:rPr>
          <w:rFonts w:ascii="Times New Roman" w:hAnsi="Times New Roman"/>
          <w:sz w:val="16"/>
        </w:rPr>
        <w:t>[16] W. Zeng and X. Liu, “Reasoning Retrieval-Augmented Generation Method Integrated with Dynamic Semantic Expansion,” in Proc. MLISE, 2025.</w:t>
      </w:r>
    </w:p>
    <w:p>
      <w:pPr>
        <w:spacing w:after="40"/>
        <w:ind w:hanging="216" w:left="216"/>
      </w:pPr>
      <w:r>
        <w:rPr>
          <w:rFonts w:ascii="Times New Roman" w:hAnsi="Times New Roman"/>
          <w:sz w:val="16"/>
        </w:rPr>
        <w:t>[17] K. Zhao and G. Wang, “Keyword-Enhanced Semantic Retrieval and Multi-Dimensional Relevance Ranking in RAG,” in Proc. ICCC, 2024.</w:t>
      </w:r>
    </w:p>
    <w:p>
      <w:pPr>
        <w:spacing w:after="40"/>
        <w:ind w:hanging="216" w:left="216"/>
      </w:pPr>
      <w:r>
        <w:rPr>
          <w:rFonts w:ascii="Times New Roman" w:hAnsi="Times New Roman"/>
          <w:sz w:val="16"/>
        </w:rPr>
        <w:t>[18] A. Lackner, A. Vega-Wilson, and C. Lang, “Terminology Augmented Generation: A Systematic Review of Terminology Formats for In-Context Learning in LLMs,” CEUR Workshop Proc., vol. 3990, 2025.</w:t>
      </w:r>
    </w:p>
    <w:p>
      <w:pPr>
        <w:spacing w:after="40"/>
        <w:ind w:hanging="216" w:left="216"/>
      </w:pPr>
      <w:r>
        <w:rPr>
          <w:rFonts w:ascii="Times New Roman" w:hAnsi="Times New Roman"/>
          <w:sz w:val="16"/>
        </w:rPr>
        <w:t>[19] H. Kanthathasan and M. Tissera, “A Knowledge-Driven Approach for Enhancing Chronic Condition Accessibility with Large Language Models and Semantic Search,” in Proc. ISAS, 2025.</w:t>
      </w:r>
    </w:p>
    <w:p>
      <w:pPr>
        <w:spacing w:after="40"/>
        <w:ind w:hanging="216" w:left="216"/>
      </w:pPr>
      <w:r>
        <w:rPr>
          <w:rFonts w:ascii="Times New Roman" w:hAnsi="Times New Roman"/>
          <w:sz w:val="16"/>
        </w:rPr>
        <w:t>[20] T.-L. Yang et al., “Enhancing LLM Question Answering with RAG through Dense Vector Search and Re-Ranking,” in Proc. IEEE AVSS, 2025.</w:t>
      </w:r>
    </w:p>
    <w:p>
      <w:pPr>
        <w:spacing w:after="40"/>
        <w:ind w:hanging="216" w:left="216"/>
      </w:pPr>
      <w:r>
        <w:rPr>
          <w:rFonts w:ascii="Times New Roman" w:hAnsi="Times New Roman"/>
          <w:sz w:val="16"/>
        </w:rPr>
        <w:t>[21] A. Rahman et al., “Hybrid ML-SLM RAG System for Large Technical PDFs,” in Proc. ICOCT, 2025.</w:t>
      </w:r>
    </w:p>
    <w:p>
      <w:pPr>
        <w:spacing w:after="40"/>
        <w:ind w:hanging="216" w:left="216"/>
      </w:pPr>
      <w:r>
        <w:rPr>
          <w:rFonts w:ascii="Times New Roman" w:hAnsi="Times New Roman"/>
          <w:sz w:val="16"/>
        </w:rPr>
        <w:t>[22] Z. Ma and Q. Li, “Research on Retrieval-Augmented Generation Methods Based on Agent Workflows and Applications,” in Proc. ICAITA, 2025.</w:t>
      </w:r>
    </w:p>
    <w:p>
      <w:pPr>
        <w:spacing w:after="40"/>
        <w:ind w:hanging="216" w:left="216"/>
      </w:pPr>
      <w:r>
        <w:rPr>
          <w:rFonts w:ascii="Times New Roman" w:hAnsi="Times New Roman"/>
          <w:sz w:val="16"/>
        </w:rPr>
        <w:t>[23] A. Sonkar, S. P. Singh, K. Sahu, A. Sahu, and S. Mishra, “Dynamic Query Handling with RAG Fusion for PDF-Based Knowledge Retrieval Systems,” in Proc. OTCON, 2025.</w:t>
      </w:r>
    </w:p>
    <w:p>
      <w:pPr>
        <w:spacing w:after="40"/>
        <w:ind w:hanging="216" w:left="216"/>
      </w:pPr>
      <w:r>
        <w:rPr>
          <w:rFonts w:ascii="Times New Roman" w:hAnsi="Times New Roman"/>
          <w:sz w:val="16"/>
        </w:rPr>
        <w:t>[24] Y. Xia, Z. Xiao, N. Jazdi, and M. Weyrich, “Generation of Asset Administration Shell with Large Language Model Agents,” IEEE Access, vol. 12, 2024.</w:t>
      </w:r>
    </w:p>
    <w:p>
      <w:pPr>
        <w:spacing w:after="40"/>
        <w:ind w:hanging="216" w:left="216"/>
      </w:pPr>
      <w:r>
        <w:rPr>
          <w:rFonts w:ascii="Times New Roman" w:hAnsi="Times New Roman"/>
          <w:sz w:val="16"/>
        </w:rPr>
        <w:t>[25] Y. Shi et al., “Enhancing Retrieval and Managing Retrieval: A Four-Module Synergy for Improved Quality and Efficiency in RAG Systems,” arXiv preprint arXiv:2407.10670, 2024.</w:t>
      </w:r>
    </w:p>
    <w:p>
      <w:pPr>
        <w:spacing w:after="40"/>
        <w:ind w:hanging="216" w:left="216"/>
      </w:pPr>
      <w:r>
        <w:rPr>
          <w:rFonts w:ascii="Times New Roman" w:hAnsi="Times New Roman"/>
          <w:sz w:val="16"/>
        </w:rPr>
        <w:t>[26] T. Lin, “Simplifying Data Integration: SLM-Driven Systems for Unified Semantic Queries Across Heterogeneous Databases,” in Proc. IEEE ICDE, 2025.</w:t>
      </w:r>
    </w:p>
    <w:p>
      <w:pPr>
        <w:spacing w:after="40"/>
        <w:ind w:hanging="216" w:left="216"/>
      </w:pPr>
      <w:r>
        <w:rPr>
          <w:rFonts w:ascii="Times New Roman" w:hAnsi="Times New Roman"/>
          <w:sz w:val="16"/>
        </w:rPr>
        <w:t>[27] Y. Qi, S. Gu, W. Ma, N. Wang, and Q. Wang, “DeepSem: Multilayer Semantic Image Retrieval for High-Accuracy Multimodal RAG in Industrial Applications,” in Proc. COMPSAC, 2025.</w:t>
      </w:r>
    </w:p>
    <w:p>
      <w:pPr>
        <w:spacing w:after="40"/>
        <w:ind w:hanging="216" w:left="216"/>
      </w:pPr>
      <w:r>
        <w:rPr>
          <w:rFonts w:ascii="Times New Roman" w:hAnsi="Times New Roman"/>
          <w:sz w:val="16"/>
        </w:rPr>
        <w:t>[28] J. He, G. Liu, B. Zhu, H. Zhang, H. Zheng, and X. Wang, “Context-Guided Dynamic Retrieval for Improving Generation Quality in RAG Models,” arXiv preprint arXiv:2504.19436, 2025.</w:t>
      </w:r>
    </w:p>
    <w:p>
      <w:pPr>
        <w:spacing w:after="40"/>
        <w:ind w:hanging="216" w:left="216"/>
      </w:pPr>
      <w:r>
        <w:rPr>
          <w:rFonts w:ascii="Times New Roman" w:hAnsi="Times New Roman"/>
          <w:sz w:val="16"/>
        </w:rPr>
        <w:t>[29] A. James, M. Trovati, and S. Bolton, “Retrieval-Augmented Generation to Generate Knowledge Assets and Creation of Action Drivers,” Applied Sciences, vol. 15, no. 11, 2025.</w:t>
      </w:r>
    </w:p>
    <w:p>
      <w:pPr>
        <w:spacing w:after="40"/>
        <w:ind w:hanging="216" w:left="216"/>
      </w:pPr>
      <w:r>
        <w:rPr>
          <w:rFonts w:ascii="Times New Roman" w:hAnsi="Times New Roman"/>
          <w:sz w:val="16"/>
        </w:rPr>
        <w:t>[30] D. Yuvzhenko, V. Putrenko, S. Lupenko, and N. Pashynska, “Scalable Multimodal RAG Systems: Integrating AI for Adaptive Information Retrieval and Generation,” CEUR Workshop Proc., vol. 4035, 2025.</w:t>
      </w:r>
    </w:p>
    <w:p>
      <w:pPr>
        <w:spacing w:after="40"/>
        <w:ind w:hanging="216" w:left="216"/>
      </w:pPr>
      <w:r>
        <w:rPr>
          <w:rFonts w:ascii="Times New Roman" w:hAnsi="Times New Roman"/>
          <w:sz w:val="16"/>
        </w:rPr>
        <w:t>[31] M. Aljohani and E. Alsanoosy, “Enhancing Medical Question Answering with LLMs via a Hybrid Retrieval Approach,” (forthcoming / MDPI), 2026. [Author must verify venue.]</w:t>
      </w:r>
    </w:p>
    <w:p>
      <w:pPr>
        <w:spacing w:after="40"/>
        <w:ind w:hanging="216" w:left="216"/>
      </w:pPr>
      <w:r>
        <w:rPr>
          <w:rFonts w:ascii="Times New Roman" w:hAnsi="Times New Roman"/>
          <w:sz w:val="16"/>
        </w:rPr>
        <w:t>[32] N. Kartiyanta et al., “Performance Evaluation for Cost-Effective Retrieval Process …,” 2025. [Author must complete venue.]</w:t>
      </w:r>
    </w:p>
    <w:p>
      <w:pPr>
        <w:spacing w:after="40"/>
        <w:ind w:hanging="216" w:left="216"/>
      </w:pPr>
      <w:r>
        <w:rPr>
          <w:rFonts w:ascii="Times New Roman" w:hAnsi="Times New Roman"/>
          <w:sz w:val="16"/>
        </w:rPr>
        <w:t>[33] X. Wang et al., “CORB-RAG: A Comprehensive Evaluation Benchmark for Retrieval …,” 2025. [Author must complete venue.]</w:t>
      </w:r>
    </w:p>
    <w:p>
      <w:pPr>
        <w:spacing w:after="40"/>
        <w:ind w:hanging="216" w:left="216"/>
      </w:pPr>
      <w:r>
        <w:rPr>
          <w:rFonts w:ascii="Times New Roman" w:hAnsi="Times New Roman"/>
          <w:sz w:val="16"/>
        </w:rPr>
        <w:t>[34] H. Gan et al., “Retrieval-Augmented Generation Evaluation in the Era of Large Language Models,” 2025. [Author must complete venue.]</w:t>
      </w:r>
    </w:p>
    <w:p>
      <w:pPr>
        <w:spacing w:after="40"/>
        <w:ind w:hanging="216" w:left="216"/>
      </w:pPr>
      <w:r>
        <w:rPr>
          <w:rFonts w:ascii="Times New Roman" w:hAnsi="Times New Roman"/>
          <w:sz w:val="16"/>
        </w:rPr>
        <w:t>[35] H. Yu et al., “Evaluation of Retrieval-Augmented Generation: A Survey,” (Springer chapter, verify: 10.1007/978-981-96-1024-2_8), 2024.</w:t>
      </w:r>
    </w:p>
    <w:p>
      <w:pPr>
        <w:spacing w:after="40"/>
        <w:ind w:hanging="216" w:left="216"/>
      </w:pPr>
      <w:r>
        <w:rPr>
          <w:rFonts w:ascii="Times New Roman" w:hAnsi="Times New Roman"/>
          <w:sz w:val="16"/>
        </w:rPr>
        <w:t>[36] M. Jadon et al., “Enhancing Domain-Specific Retrieval-Augmented Generation,” 2025. [Author must complete venue.]</w:t>
      </w:r>
    </w:p>
    <w:p>
      <w:pPr>
        <w:spacing w:after="40"/>
        <w:ind w:hanging="216" w:left="216"/>
      </w:pPr>
      <w:r>
        <w:rPr>
          <w:rFonts w:ascii="Times New Roman" w:hAnsi="Times New Roman"/>
          <w:sz w:val="16"/>
        </w:rPr>
        <w:t>[37] J. Peng et al., “LateSplit: Lightweight Post-Retrieval Chunking for Query-Aligned RAG,” 2025. [Author must fix DOI from the original.]</w:t>
      </w:r>
    </w:p>
    <w:p>
      <w:pPr>
        <w:spacing w:after="40"/>
        <w:ind w:hanging="216" w:left="216"/>
      </w:pPr>
      <w:r>
        <w:rPr>
          <w:rFonts w:ascii="Times New Roman" w:hAnsi="Times New Roman"/>
          <w:sz w:val="16"/>
        </w:rPr>
        <w:t>[38] A. Hindi et al., “Enhancing the Precision and Interpretability of Retrieval-Augmented Generation,” 2025. [Author must complete venue.]</w:t>
      </w:r>
    </w:p>
    <w:p>
      <w:pPr>
        <w:spacing w:after="40"/>
        <w:ind w:hanging="216" w:left="216"/>
      </w:pPr>
      <w:r>
        <w:rPr>
          <w:rFonts w:ascii="Times New Roman" w:hAnsi="Times New Roman"/>
          <w:sz w:val="16"/>
        </w:rPr>
        <w:t>[39] S. Krishna et al., “Fact, Fetch, and Reason: A Unified Evaluation of Retrieval-Augmented Generation,” arXiv preprint, 2024. [Confirm NAACL status.]</w:t>
      </w:r>
    </w:p>
    <w:p>
      <w:pPr>
        <w:spacing w:after="40"/>
        <w:ind w:hanging="216" w:left="216"/>
      </w:pPr>
      <w:r>
        <w:rPr>
          <w:rFonts w:ascii="Times New Roman" w:hAnsi="Times New Roman"/>
          <w:sz w:val="16"/>
        </w:rPr>
        <w:t>[40] Y. Li et al., “Attribute Filtering in Approximate Nearest Neighbor Search,” 2025. [Venue is arXiv — do NOT cite as Proc. ACM Manag. Data unless confirmed.]</w:t>
      </w:r>
    </w:p>
    <w:p>
      <w:pPr>
        <w:spacing w:after="40"/>
        <w:ind w:hanging="216" w:left="216"/>
      </w:pPr>
      <w:r>
        <w:rPr>
          <w:rFonts w:ascii="Times New Roman" w:hAnsi="Times New Roman"/>
          <w:sz w:val="16"/>
        </w:rPr>
        <w:t>[41] McKinsey &amp; Company, “Everything is Better as Code: Using FinOps to Manage Cloud Costs,” 2025. [Online].</w:t>
      </w:r>
    </w:p>
    <w:p>
      <w:pPr>
        <w:spacing w:after="40"/>
        <w:ind w:hanging="216" w:left="216"/>
      </w:pPr>
      <w:r>
        <w:rPr>
          <w:rFonts w:ascii="Times New Roman" w:hAnsi="Times New Roman"/>
          <w:sz w:val="16"/>
        </w:rPr>
        <w:t>[42] Ł. Koczwara, “40% Reduction in Inspection Times and Notable Improvement in Defect Detection Rate,” STX Next, 2024. [Online].</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