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Rapport complet – Laboratoire 6 : Proposition de saga orchestrée et machine d’état</w:t>
      </w:r>
    </w:p>
    <w:p>
      <w:pPr>
        <w:pStyle w:val="Heading2"/>
        <w:spacing w:lineRule="auto"/>
      </w:pPr>
      <w:r>
        <w:rPr/>
        <w:t xml:space="preserve">1. Contexte et objectifs</w:t>
      </w:r>
    </w:p>
    <w:p>
      <w:pPr>
        <w:spacing w:lineRule="auto"/>
      </w:pPr>
      <w:r>
        <w:rPr/>
        <w:t xml:space="preserve">Je propose l’introduction d’une saga orchestrée pour le processus de commande (réservation de stock, paiement, expédition) afin d’assurer cohérence et compensations.</w:t>
      </w:r>
    </w:p>
    <w:p>
      <w:pPr>
        <w:pStyle w:val="Heading2"/>
        <w:spacing w:lineRule="auto"/>
      </w:pPr>
      <w:r>
        <w:rPr/>
        <w:t xml:space="preserve">2. Décisions d’architecture (ADR)</w:t>
      </w:r>
    </w:p>
    <w:p>
      <w:pPr>
        <w:numPr>
          <w:ilvl w:val="0"/>
          <w:numId w:val="1"/>
        </w:numPr>
        <w:spacing w:lineRule="auto"/>
      </w:pPr>
      <w:r>
        <w:rPr/>
        <w:t xml:space="preserve">ADR 1 : Orchestration centralisée – un orchestrateur pilote le flux et déclenche les compensations.</w:t>
      </w:r>
    </w:p>
    <w:p>
      <w:pPr>
        <w:numPr>
          <w:ilvl w:val="0"/>
          <w:numId w:val="1"/>
        </w:numPr>
        <w:spacing w:lineRule="auto"/>
      </w:pPr>
      <w:r>
        <w:rPr/>
        <w:t xml:space="preserve">ADR 2 : Machine d’état – modéliser explicitement états, transitions, gardes et actions.</w:t>
      </w:r>
    </w:p>
    <w:p>
      <w:pPr>
        <w:pStyle w:val="Heading2"/>
        <w:spacing w:lineRule="auto"/>
      </w:pPr>
      <w:r>
        <w:rPr/>
        <w:t xml:space="preserve">3. Conception (UML 4+1)</w:t>
      </w:r>
    </w:p>
    <w:p>
      <w:pPr>
        <w:numPr>
          <w:ilvl w:val="0"/>
          <w:numId w:val="2"/>
        </w:numPr>
        <w:spacing w:lineRule="auto"/>
      </w:pPr>
      <w:r>
        <w:rPr/>
        <w:t xml:space="preserve">Vue Processus : étapes RESERVE_STOCK → CHARGE_PAYMENT → CREATE_SHIPMENT avec chemins d’échec.</w:t>
      </w:r>
    </w:p>
    <w:p>
      <w:pPr>
        <w:numPr>
          <w:ilvl w:val="0"/>
          <w:numId w:val="2"/>
        </w:numPr>
        <w:spacing w:lineRule="auto"/>
      </w:pPr>
      <w:r>
        <w:rPr/>
        <w:t xml:space="preserve">Vue Implémentation (conceptuelle) : l’orchestrateur encapsule le contrôle; services externes réels restent découplés.</w:t>
      </w:r>
    </w:p>
    <w:p>
      <w:pPr>
        <w:pStyle w:val="Heading3"/>
        <w:spacing w:lineRule="auto"/>
      </w:pPr>
      <w:r>
        <w:rPr/>
        <w:t xml:space="preserve">3.1 Déploiement</w:t>
      </w:r>
    </w:p>
    <w:p>
      <w:pPr>
        <w:spacing w:lineRule="auto"/>
      </w:pPr>
      <w:r>
        <w:rPr/>
        <w:t xml:space="preserve">Voir </w:t>
      </w:r>
      <w:r>
        <w:rPr/>
        <w:t xml:space="preserve">Docs/UML/deployment_orchestrateur.puml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744391"/>
            <wp:effectExtent b="0" l="0" r="0" t="0"/>
            <wp:docPr id="1" name="image-EmNVWJ5M0nomKDhaTufFo.png"/>
            <a:graphic>
              <a:graphicData uri="http://schemas.openxmlformats.org/drawingml/2006/picture">
                <pic:pic>
                  <pic:nvPicPr>
                    <pic:cNvPr id="1" name="image-EmNVWJ5M0nomKDhaTufFo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4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3.2 Séquence</w:t>
      </w:r>
    </w:p>
    <w:p>
      <w:pPr>
        <w:spacing w:lineRule="auto"/>
      </w:pPr>
      <w:r>
        <w:rPr/>
        <w:t xml:space="preserve">Voir </w:t>
      </w:r>
      <w:r>
        <w:rPr/>
        <w:t xml:space="preserve">Docs/UML/sequence_saga_orchestrateur.puml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671925"/>
            <wp:effectExtent b="0" l="0" r="0" t="0"/>
            <wp:docPr id="2" name="image-Xd5R32cBV04x0AMWXVXhH.png"/>
            <a:graphic>
              <a:graphicData uri="http://schemas.openxmlformats.org/drawingml/2006/picture">
                <pic:pic>
                  <pic:nvPicPr>
                    <pic:cNvPr id="2" name="image-Xd5R32cBV04x0AMWXVXhH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3.3 Classes</w:t>
      </w:r>
    </w:p>
    <w:p>
      <w:pPr>
        <w:spacing w:lineRule="auto"/>
      </w:pPr>
      <w:r>
        <w:rPr/>
        <w:t xml:space="preserve">Voir </w:t>
      </w:r>
      <w:r>
        <w:rPr/>
        <w:t xml:space="preserve">Docs/UML/classes_saga_orchestrateur.puml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2848169"/>
            <wp:effectExtent b="0" l="0" r="0" t="0"/>
            <wp:docPr id="3" name="image-1eCcT_29Qi58XQj7ykUX7.png"/>
            <a:graphic>
              <a:graphicData uri="http://schemas.openxmlformats.org/drawingml/2006/picture">
                <pic:pic>
                  <pic:nvPicPr>
                    <pic:cNvPr id="3" name="image-1eCcT_29Qi58XQj7ykUX7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3.4 Cas d’utilisation</w:t>
      </w:r>
    </w:p>
    <w:p>
      <w:pPr>
        <w:spacing w:lineRule="auto"/>
      </w:pPr>
      <w:r>
        <w:rPr/>
        <w:t xml:space="preserve">Voir </w:t>
      </w:r>
      <w:r>
        <w:rPr/>
        <w:t xml:space="preserve">Docs/UML/usecase_orchestrateur.puml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1128660"/>
            <wp:effectExtent b="0" l="0" r="0" t="0"/>
            <wp:docPr id="4" name="image-ni_ABIMOm1bb6spZiaTuN.png"/>
            <a:graphic>
              <a:graphicData uri="http://schemas.openxmlformats.org/drawingml/2006/picture">
                <pic:pic>
                  <pic:nvPicPr>
                    <pic:cNvPr id="4" name="image-ni_ABIMOm1bb6spZiaTuN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Impacts et plan d’adoption</w:t>
      </w:r>
    </w:p>
    <w:p>
      <w:pPr>
        <w:numPr>
          <w:ilvl w:val="0"/>
          <w:numId w:val="3"/>
        </w:numPr>
        <w:spacing w:lineRule="auto"/>
      </w:pPr>
      <w:r>
        <w:rPr/>
        <w:t xml:space="preserve">Introduire un orchestrateur (service dédié) et définir les interfaces avec Stock/Paiement/Expédition.</w:t>
      </w:r>
    </w:p>
    <w:p>
      <w:pPr>
        <w:numPr>
          <w:ilvl w:val="0"/>
          <w:numId w:val="3"/>
        </w:numPr>
        <w:spacing w:lineRule="auto"/>
      </w:pPr>
      <w:r>
        <w:rPr/>
        <w:t xml:space="preserve">Formaliser la machine d’état (états/transitions), journaliser chaque transition.</w:t>
      </w:r>
    </w:p>
    <w:p>
      <w:pPr>
        <w:numPr>
          <w:ilvl w:val="0"/>
          <w:numId w:val="3"/>
        </w:numPr>
        <w:spacing w:lineRule="auto"/>
      </w:pPr>
      <w:r>
        <w:rPr/>
        <w:t xml:space="preserve">Prévoir des actions de compensation documentées et testables.</w:t>
      </w:r>
    </w:p>
    <w:p>
      <w:pPr>
        <w:numPr>
          <w:ilvl w:val="0"/>
          <w:numId w:val="3"/>
        </w:numPr>
        <w:spacing w:lineRule="auto"/>
      </w:pPr>
      <w:r>
        <w:rPr/>
        <w:t xml:space="preserve">Étapes: (1) définir contrat API, (2) créer orchestrateur minimal, (3) brancher services, (4) tests d’échec/compensation, (5) observabilité.</w:t>
      </w:r>
    </w:p>
    <w:p>
      <w:pPr>
        <w:spacing w:lineRule="auto"/>
      </w:pPr>
      <w:r>
        <w:rPr/>
        <w:t xml:space="preserve">Document narratif de proposition (aucune implémentation logicielle dans ce lab).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EmNVWJ5M0nomKDhaTufFo.png" TargetMode="Internal"/>
  <Relationship Id="rId6" Type="http://schemas.openxmlformats.org/officeDocument/2006/relationships/image" Target="media/image-Xd5R32cBV04x0AMWXVXhH.png" TargetMode="Internal"/>
  <Relationship Id="rId7" Type="http://schemas.openxmlformats.org/officeDocument/2006/relationships/image" Target="media/image-1eCcT_29Qi58XQj7ykUX7.png" TargetMode="Internal"/>
  <Relationship Id="rId8" Type="http://schemas.openxmlformats.org/officeDocument/2006/relationships/image" Target="media/image-ni_ABIMOm1bb6spZiaTuN.png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2025-08-09T03:22:46.735Z</dcterms:created>
  <dcterms:modified xsi:type="dcterms:W3CDTF">2025-08-09T03:22:46.735Z</dcterms:modified>
</cp:coreProperties>
</file>