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4B7A" w14:textId="20A0C57F" w:rsidR="00C60136" w:rsidRPr="00B37406" w:rsidRDefault="00C60136" w:rsidP="00C60136">
      <w:pPr>
        <w:jc w:val="center"/>
      </w:pPr>
      <w:r w:rsidRPr="00B37406">
        <w:t>UNIVERSIDADE FEDERAL DE SÃO PAULO</w:t>
      </w:r>
      <w:r w:rsidR="00964BEA" w:rsidRPr="00B37406">
        <w:t xml:space="preserve"> - </w:t>
      </w:r>
      <w:r w:rsidR="00E36B95" w:rsidRPr="00B37406">
        <w:t>UNIFESP</w:t>
      </w:r>
    </w:p>
    <w:p w14:paraId="1C6F6EA6" w14:textId="77777777" w:rsidR="00C60136" w:rsidRPr="00B37406" w:rsidRDefault="00C60136" w:rsidP="00C60136">
      <w:pPr>
        <w:jc w:val="center"/>
      </w:pPr>
    </w:p>
    <w:p w14:paraId="79F49C49" w14:textId="77777777" w:rsidR="00C60136" w:rsidRPr="00B37406" w:rsidRDefault="00C60136" w:rsidP="00C60136">
      <w:pPr>
        <w:spacing w:line="480" w:lineRule="auto"/>
        <w:jc w:val="center"/>
        <w:rPr>
          <w:sz w:val="36"/>
          <w:szCs w:val="36"/>
        </w:rPr>
      </w:pPr>
    </w:p>
    <w:p w14:paraId="381C8F63" w14:textId="0EA7D0D5" w:rsidR="00C60136" w:rsidRPr="00B37406" w:rsidRDefault="00C60136" w:rsidP="00C60136">
      <w:pPr>
        <w:spacing w:line="480" w:lineRule="auto"/>
        <w:jc w:val="center"/>
        <w:rPr>
          <w:sz w:val="36"/>
          <w:szCs w:val="36"/>
        </w:rPr>
      </w:pPr>
    </w:p>
    <w:p w14:paraId="57034495" w14:textId="77777777" w:rsidR="00E977F3" w:rsidRPr="00B37406" w:rsidRDefault="00E977F3" w:rsidP="00C60136">
      <w:pPr>
        <w:spacing w:line="480" w:lineRule="auto"/>
        <w:jc w:val="center"/>
        <w:rPr>
          <w:sz w:val="36"/>
          <w:szCs w:val="36"/>
        </w:rPr>
      </w:pPr>
    </w:p>
    <w:p w14:paraId="040C0AE1" w14:textId="22FBAABD" w:rsidR="00F54D1C" w:rsidRPr="00B37406" w:rsidRDefault="006A72E7" w:rsidP="00C60136">
      <w:pPr>
        <w:spacing w:line="480" w:lineRule="auto"/>
        <w:jc w:val="center"/>
        <w:rPr>
          <w:sz w:val="36"/>
          <w:szCs w:val="36"/>
        </w:rPr>
      </w:pPr>
      <w:r w:rsidRPr="00B37406">
        <w:rPr>
          <w:rFonts w:ascii="Arial" w:hAnsi="Arial" w:cs="Arial"/>
          <w:sz w:val="36"/>
          <w:szCs w:val="36"/>
        </w:rPr>
        <w:t>U</w:t>
      </w:r>
      <w:r w:rsidR="00F54D1C" w:rsidRPr="00B37406">
        <w:rPr>
          <w:rFonts w:ascii="Arial" w:hAnsi="Arial" w:cs="Arial"/>
          <w:sz w:val="36"/>
          <w:szCs w:val="36"/>
        </w:rPr>
        <w:t>tilização do Sistema Único de Saúde</w:t>
      </w:r>
      <w:r w:rsidR="00AF61D1" w:rsidRPr="00B37406">
        <w:rPr>
          <w:rFonts w:ascii="Arial" w:hAnsi="Arial" w:cs="Arial"/>
          <w:sz w:val="36"/>
          <w:szCs w:val="36"/>
        </w:rPr>
        <w:t>: Efeitos da Covid 19</w:t>
      </w:r>
    </w:p>
    <w:p w14:paraId="01353A4D" w14:textId="77777777" w:rsidR="00C60136" w:rsidRPr="00B37406" w:rsidRDefault="00C60136" w:rsidP="00C60136">
      <w:pPr>
        <w:jc w:val="center"/>
      </w:pPr>
    </w:p>
    <w:p w14:paraId="720A4DB9" w14:textId="77777777" w:rsidR="00C60136" w:rsidRPr="00B37406" w:rsidRDefault="00C60136" w:rsidP="00C60136">
      <w:pPr>
        <w:jc w:val="center"/>
      </w:pPr>
    </w:p>
    <w:p w14:paraId="1054A36E" w14:textId="77777777" w:rsidR="00C60136" w:rsidRPr="00B37406" w:rsidRDefault="00C60136" w:rsidP="00C60136">
      <w:pPr>
        <w:jc w:val="center"/>
      </w:pPr>
    </w:p>
    <w:p w14:paraId="341DF823" w14:textId="77777777" w:rsidR="00C60136" w:rsidRPr="00B37406" w:rsidRDefault="00C60136" w:rsidP="00C60136"/>
    <w:p w14:paraId="7CC53426" w14:textId="77777777" w:rsidR="00C60136" w:rsidRPr="00B37406" w:rsidRDefault="00C60136" w:rsidP="00C60136"/>
    <w:p w14:paraId="346E830D" w14:textId="77777777" w:rsidR="00C60136" w:rsidRPr="00B37406" w:rsidRDefault="00C60136" w:rsidP="00C60136"/>
    <w:p w14:paraId="0EA65D45" w14:textId="5A6C6441" w:rsidR="00C60136" w:rsidRPr="00B37406" w:rsidRDefault="00C60136" w:rsidP="00C60136">
      <w:pPr>
        <w:spacing w:line="480" w:lineRule="auto"/>
      </w:pPr>
    </w:p>
    <w:p w14:paraId="0B4EFC3D" w14:textId="702F75D7" w:rsidR="00F54D1C" w:rsidRPr="00B37406" w:rsidRDefault="00F54D1C" w:rsidP="00C60136">
      <w:pPr>
        <w:spacing w:line="480" w:lineRule="auto"/>
      </w:pPr>
    </w:p>
    <w:p w14:paraId="67C8B675" w14:textId="1A0CA25D" w:rsidR="00F54D1C" w:rsidRPr="00B37406" w:rsidRDefault="00F54D1C" w:rsidP="00C60136">
      <w:pPr>
        <w:spacing w:line="480" w:lineRule="auto"/>
      </w:pPr>
    </w:p>
    <w:p w14:paraId="71BD86ED" w14:textId="77777777" w:rsidR="00F54D1C" w:rsidRPr="00B37406" w:rsidRDefault="00F54D1C" w:rsidP="00C60136">
      <w:pPr>
        <w:spacing w:line="480" w:lineRule="auto"/>
      </w:pPr>
    </w:p>
    <w:p w14:paraId="1F54E7DA" w14:textId="0A128422" w:rsidR="00C60136" w:rsidRPr="00B37406" w:rsidRDefault="00C60136" w:rsidP="00C60136">
      <w:pPr>
        <w:spacing w:line="480" w:lineRule="auto"/>
      </w:pPr>
      <w:r w:rsidRPr="00B37406">
        <w:t xml:space="preserve">Pesquisador: </w:t>
      </w:r>
      <w:r w:rsidR="00474292" w:rsidRPr="00B37406">
        <w:t xml:space="preserve">Enzo </w:t>
      </w:r>
      <w:r w:rsidR="0001102D" w:rsidRPr="00B37406">
        <w:t xml:space="preserve">Brasil </w:t>
      </w:r>
      <w:proofErr w:type="spellStart"/>
      <w:r w:rsidR="0001102D" w:rsidRPr="00B37406">
        <w:t>Gardino</w:t>
      </w:r>
      <w:proofErr w:type="spellEnd"/>
      <w:r w:rsidR="0001102D" w:rsidRPr="00B37406">
        <w:t xml:space="preserve"> Iglesias</w:t>
      </w:r>
    </w:p>
    <w:p w14:paraId="174F4A20" w14:textId="0353A35C" w:rsidR="00C60136" w:rsidRPr="00B37406" w:rsidRDefault="00C60136" w:rsidP="00C60136">
      <w:pPr>
        <w:spacing w:line="480" w:lineRule="auto"/>
      </w:pPr>
      <w:r w:rsidRPr="00B37406">
        <w:t xml:space="preserve">Orientador: </w:t>
      </w:r>
      <w:r w:rsidR="00A16BB3" w:rsidRPr="00B37406">
        <w:t>Paola</w:t>
      </w:r>
      <w:r w:rsidR="00AF61D1" w:rsidRPr="00B37406">
        <w:t xml:space="preserve"> Zucchi</w:t>
      </w:r>
    </w:p>
    <w:p w14:paraId="1D2B0AAE" w14:textId="2ED03628" w:rsidR="00C60136" w:rsidRPr="00B37406" w:rsidRDefault="00C60136" w:rsidP="00E977F3">
      <w:pPr>
        <w:spacing w:line="480" w:lineRule="auto"/>
      </w:pPr>
      <w:r w:rsidRPr="00B37406">
        <w:t xml:space="preserve">Co- Orientadora: </w:t>
      </w:r>
      <w:proofErr w:type="spellStart"/>
      <w:r w:rsidR="00A16BB3" w:rsidRPr="00B37406">
        <w:t>Nadia</w:t>
      </w:r>
      <w:proofErr w:type="spellEnd"/>
      <w:r w:rsidR="00E977F3" w:rsidRPr="00B37406">
        <w:t xml:space="preserve"> </w:t>
      </w:r>
      <w:proofErr w:type="spellStart"/>
      <w:r w:rsidR="00AF61D1" w:rsidRPr="00B37406">
        <w:t>Takako</w:t>
      </w:r>
      <w:proofErr w:type="spellEnd"/>
      <w:r w:rsidR="00AF61D1" w:rsidRPr="00B37406">
        <w:t xml:space="preserve"> </w:t>
      </w:r>
      <w:proofErr w:type="spellStart"/>
      <w:r w:rsidR="00AF61D1" w:rsidRPr="00B37406">
        <w:t>Bernades</w:t>
      </w:r>
      <w:proofErr w:type="spellEnd"/>
      <w:r w:rsidR="00AF61D1" w:rsidRPr="00B37406">
        <w:t xml:space="preserve"> Suda</w:t>
      </w:r>
    </w:p>
    <w:p w14:paraId="17457AF9" w14:textId="1824DF7B" w:rsidR="00C60136" w:rsidRPr="00B37406" w:rsidRDefault="00C60136" w:rsidP="00C60136">
      <w:pPr>
        <w:jc w:val="center"/>
      </w:pPr>
      <w:r w:rsidRPr="00B37406">
        <w:t xml:space="preserve">São Paulo, </w:t>
      </w:r>
      <w:proofErr w:type="gramStart"/>
      <w:r w:rsidRPr="00B37406">
        <w:t>Março</w:t>
      </w:r>
      <w:proofErr w:type="gramEnd"/>
      <w:r w:rsidRPr="00B37406">
        <w:t>/202</w:t>
      </w:r>
      <w:r w:rsidR="007D00EA" w:rsidRPr="00B37406">
        <w:t>1</w:t>
      </w:r>
    </w:p>
    <w:p w14:paraId="5F8B5A0D" w14:textId="77777777" w:rsidR="00C60136" w:rsidRPr="00B37406" w:rsidRDefault="00C60136" w:rsidP="00C60136">
      <w:pPr>
        <w:jc w:val="center"/>
      </w:pPr>
    </w:p>
    <w:p w14:paraId="7516669B" w14:textId="68372D71" w:rsidR="00AF61D1" w:rsidRPr="00B37406" w:rsidRDefault="00F3606B" w:rsidP="00AF61D1">
      <w:pPr>
        <w:spacing w:line="480" w:lineRule="auto"/>
        <w:jc w:val="center"/>
        <w:rPr>
          <w:sz w:val="36"/>
          <w:szCs w:val="36"/>
        </w:rPr>
      </w:pPr>
      <w:r w:rsidRPr="00B37406">
        <w:rPr>
          <w:rFonts w:ascii="Arial" w:hAnsi="Arial" w:cs="Arial"/>
          <w:sz w:val="24"/>
          <w:szCs w:val="24"/>
        </w:rPr>
        <w:t>T</w:t>
      </w:r>
      <w:r w:rsidR="003D1510" w:rsidRPr="00B37406">
        <w:rPr>
          <w:rFonts w:ascii="Arial" w:hAnsi="Arial" w:cs="Arial"/>
          <w:sz w:val="24"/>
          <w:szCs w:val="24"/>
        </w:rPr>
        <w:t>í</w:t>
      </w:r>
      <w:r w:rsidRPr="00B37406">
        <w:rPr>
          <w:rFonts w:ascii="Arial" w:hAnsi="Arial" w:cs="Arial"/>
          <w:sz w:val="24"/>
          <w:szCs w:val="24"/>
        </w:rPr>
        <w:t>tulo:</w:t>
      </w:r>
      <w:r w:rsidR="006E6A4B" w:rsidRPr="00B37406">
        <w:rPr>
          <w:rFonts w:ascii="Arial" w:hAnsi="Arial" w:cs="Arial"/>
          <w:sz w:val="24"/>
          <w:szCs w:val="24"/>
        </w:rPr>
        <w:t xml:space="preserve"> </w:t>
      </w:r>
      <w:r w:rsidR="006A72E7" w:rsidRPr="00B37406">
        <w:rPr>
          <w:rFonts w:ascii="Arial" w:hAnsi="Arial" w:cs="Arial"/>
          <w:sz w:val="24"/>
          <w:szCs w:val="24"/>
        </w:rPr>
        <w:t>U</w:t>
      </w:r>
      <w:r w:rsidR="00641C9D" w:rsidRPr="00B37406">
        <w:rPr>
          <w:rFonts w:ascii="Arial" w:hAnsi="Arial" w:cs="Arial"/>
          <w:sz w:val="24"/>
          <w:szCs w:val="24"/>
        </w:rPr>
        <w:t xml:space="preserve">tilização </w:t>
      </w:r>
      <w:r w:rsidR="00660A58" w:rsidRPr="00B37406">
        <w:rPr>
          <w:rFonts w:ascii="Arial" w:hAnsi="Arial" w:cs="Arial"/>
          <w:sz w:val="24"/>
          <w:szCs w:val="24"/>
        </w:rPr>
        <w:t>do Sistema Único de Saúde</w:t>
      </w:r>
      <w:r w:rsidR="00AF61D1" w:rsidRPr="00B37406">
        <w:rPr>
          <w:rFonts w:ascii="Arial" w:hAnsi="Arial" w:cs="Arial"/>
          <w:sz w:val="24"/>
          <w:szCs w:val="24"/>
        </w:rPr>
        <w:t>:</w:t>
      </w:r>
      <w:r w:rsidR="00660A58" w:rsidRPr="00B37406">
        <w:rPr>
          <w:rFonts w:ascii="Arial" w:hAnsi="Arial" w:cs="Arial"/>
          <w:sz w:val="24"/>
          <w:szCs w:val="24"/>
        </w:rPr>
        <w:t xml:space="preserve"> </w:t>
      </w:r>
      <w:r w:rsidR="00AF61D1" w:rsidRPr="00B37406">
        <w:rPr>
          <w:rFonts w:ascii="Arial" w:hAnsi="Arial" w:cs="Arial"/>
          <w:sz w:val="24"/>
          <w:szCs w:val="24"/>
        </w:rPr>
        <w:t>Efeitos da Covid 19</w:t>
      </w:r>
    </w:p>
    <w:p w14:paraId="00694433" w14:textId="776B3E05" w:rsidR="00F61F0C" w:rsidRPr="00B37406" w:rsidRDefault="00F61F0C" w:rsidP="00AF61D1">
      <w:pPr>
        <w:rPr>
          <w:rFonts w:ascii="Arial" w:hAnsi="Arial" w:cs="Arial"/>
          <w:sz w:val="24"/>
          <w:szCs w:val="24"/>
        </w:rPr>
      </w:pPr>
    </w:p>
    <w:p w14:paraId="39125498" w14:textId="77777777" w:rsidR="00F3606B" w:rsidRPr="00B37406" w:rsidRDefault="00F3606B" w:rsidP="009228FF">
      <w:pPr>
        <w:spacing w:line="480" w:lineRule="auto"/>
        <w:jc w:val="both"/>
        <w:rPr>
          <w:rFonts w:ascii="Arial" w:hAnsi="Arial" w:cs="Arial"/>
          <w:sz w:val="24"/>
          <w:szCs w:val="24"/>
        </w:rPr>
      </w:pPr>
    </w:p>
    <w:p w14:paraId="012EFA4B" w14:textId="2EFEFDD9" w:rsidR="00A65FE6" w:rsidRPr="00B37406" w:rsidRDefault="00A65FE6" w:rsidP="009228FF">
      <w:pPr>
        <w:spacing w:line="480" w:lineRule="auto"/>
        <w:jc w:val="both"/>
        <w:rPr>
          <w:rFonts w:ascii="Arial" w:hAnsi="Arial" w:cs="Arial"/>
          <w:b/>
          <w:bCs/>
          <w:sz w:val="24"/>
          <w:szCs w:val="24"/>
        </w:rPr>
      </w:pPr>
      <w:r w:rsidRPr="00B37406">
        <w:rPr>
          <w:rFonts w:ascii="Arial" w:hAnsi="Arial" w:cs="Arial"/>
          <w:b/>
          <w:bCs/>
          <w:sz w:val="24"/>
          <w:szCs w:val="24"/>
        </w:rPr>
        <w:t>Resumo:</w:t>
      </w:r>
    </w:p>
    <w:p w14:paraId="76691F6C" w14:textId="77777777" w:rsidR="00E93419" w:rsidRDefault="00E93419" w:rsidP="00E93419">
      <w:pPr>
        <w:pStyle w:val="NormalWeb"/>
        <w:spacing w:before="240" w:beforeAutospacing="0" w:after="240" w:afterAutospacing="0"/>
        <w:ind w:firstLine="709"/>
        <w:jc w:val="both"/>
        <w:rPr>
          <w:rFonts w:ascii="Arial" w:hAnsi="Arial" w:cs="Arial"/>
        </w:rPr>
      </w:pPr>
      <w:r>
        <w:rPr>
          <w:rFonts w:ascii="Arial" w:hAnsi="Arial" w:cs="Arial"/>
        </w:rPr>
        <w:t xml:space="preserve">O sistema único de saúde está em um contínuo aprimoramento e é muito utilizado em hospitais públicos. O estudo terá como objetivo observar a utilização deste sistema durante a pandemia e antes dela, visando investigar se houve redução ou aumento no número de internação, pois esse período de pandemia </w:t>
      </w:r>
      <w:proofErr w:type="spellStart"/>
      <w:proofErr w:type="gramStart"/>
      <w:r>
        <w:rPr>
          <w:rFonts w:ascii="Arial" w:hAnsi="Arial" w:cs="Arial"/>
        </w:rPr>
        <w:t>esta</w:t>
      </w:r>
      <w:proofErr w:type="spellEnd"/>
      <w:proofErr w:type="gramEnd"/>
      <w:r>
        <w:rPr>
          <w:rFonts w:ascii="Arial" w:hAnsi="Arial" w:cs="Arial"/>
        </w:rPr>
        <w:t xml:space="preserve"> com graves nas áreas de saúde, economia e transporte, fazendo com que haja dificuldade em acessar locais e ter controle da própria saúde. A pesquisa realizará um estudo transversal de caráter quantitativo e explicativo, em foco observar e analisar dados de COVID 19 em pacientes internados em hospitais que atendem Sistema único de Saúde (SUS) no Brasil. Neste estudo foi coletado dados públicos do banco de dados do </w:t>
      </w:r>
      <w:proofErr w:type="spellStart"/>
      <w:r>
        <w:rPr>
          <w:rFonts w:ascii="Arial" w:hAnsi="Arial" w:cs="Arial"/>
        </w:rPr>
        <w:t>Datasus</w:t>
      </w:r>
      <w:proofErr w:type="spellEnd"/>
      <w:r>
        <w:rPr>
          <w:rFonts w:ascii="Arial" w:hAnsi="Arial" w:cs="Arial"/>
        </w:rPr>
        <w:t>, seguindo 4 categorias: Internações, Valor total, Óbitos e Taxa de mortalidade. Visando comparar os períodos de março de 2019 a março de 2020 e de março 2020 a março de 2021.</w:t>
      </w:r>
    </w:p>
    <w:p w14:paraId="19E1094A" w14:textId="74EFBF5D" w:rsidR="00DF1484" w:rsidRPr="00B37406" w:rsidRDefault="00DF1484" w:rsidP="009228FF">
      <w:pPr>
        <w:spacing w:line="480" w:lineRule="auto"/>
        <w:jc w:val="both"/>
        <w:rPr>
          <w:rFonts w:ascii="Arial" w:hAnsi="Arial" w:cs="Arial"/>
          <w:sz w:val="24"/>
          <w:szCs w:val="24"/>
        </w:rPr>
      </w:pPr>
      <w:r w:rsidRPr="00B37406">
        <w:rPr>
          <w:rFonts w:ascii="Arial" w:hAnsi="Arial" w:cs="Arial"/>
          <w:sz w:val="24"/>
          <w:szCs w:val="24"/>
        </w:rPr>
        <w:t>Resultado:</w:t>
      </w:r>
    </w:p>
    <w:p w14:paraId="29FE4C57" w14:textId="34108DBD" w:rsidR="00DF1484" w:rsidRPr="00B37406" w:rsidRDefault="00DF1484" w:rsidP="009228FF">
      <w:pPr>
        <w:spacing w:line="480" w:lineRule="auto"/>
        <w:jc w:val="both"/>
        <w:rPr>
          <w:rFonts w:ascii="Arial" w:hAnsi="Arial" w:cs="Arial"/>
          <w:sz w:val="24"/>
          <w:szCs w:val="24"/>
        </w:rPr>
      </w:pPr>
      <w:r w:rsidRPr="00B37406">
        <w:rPr>
          <w:rFonts w:ascii="Arial" w:hAnsi="Arial" w:cs="Arial"/>
          <w:sz w:val="24"/>
          <w:szCs w:val="24"/>
        </w:rPr>
        <w:t>Conclusão:</w:t>
      </w:r>
    </w:p>
    <w:p w14:paraId="72AC79AC" w14:textId="77777777" w:rsidR="00F3606B" w:rsidRPr="00B37406" w:rsidRDefault="00F3606B" w:rsidP="009228FF">
      <w:pPr>
        <w:spacing w:line="480" w:lineRule="auto"/>
        <w:jc w:val="both"/>
        <w:rPr>
          <w:rFonts w:ascii="Arial" w:hAnsi="Arial" w:cs="Arial"/>
          <w:sz w:val="24"/>
          <w:szCs w:val="24"/>
        </w:rPr>
      </w:pPr>
      <w:r w:rsidRPr="00B37406">
        <w:rPr>
          <w:rFonts w:ascii="Arial" w:hAnsi="Arial" w:cs="Arial"/>
          <w:sz w:val="24"/>
          <w:szCs w:val="24"/>
        </w:rPr>
        <w:br w:type="page"/>
      </w:r>
    </w:p>
    <w:p w14:paraId="34C239EE" w14:textId="75059831" w:rsidR="006E6A4B" w:rsidRPr="00B37406" w:rsidRDefault="006E6A4B" w:rsidP="009228FF">
      <w:pPr>
        <w:spacing w:line="480" w:lineRule="auto"/>
        <w:jc w:val="both"/>
        <w:rPr>
          <w:rFonts w:ascii="Arial" w:hAnsi="Arial" w:cs="Arial"/>
          <w:b/>
          <w:bCs/>
          <w:sz w:val="24"/>
          <w:szCs w:val="24"/>
        </w:rPr>
      </w:pPr>
      <w:r w:rsidRPr="00B37406">
        <w:rPr>
          <w:rFonts w:ascii="Arial" w:hAnsi="Arial" w:cs="Arial"/>
          <w:b/>
          <w:bCs/>
          <w:sz w:val="24"/>
          <w:szCs w:val="24"/>
        </w:rPr>
        <w:lastRenderedPageBreak/>
        <w:t>Introdução</w:t>
      </w:r>
    </w:p>
    <w:p w14:paraId="579BB7EC" w14:textId="77777777" w:rsidR="00B37406" w:rsidRPr="00B37406" w:rsidRDefault="00B37406" w:rsidP="00B37406">
      <w:pPr>
        <w:pStyle w:val="NormalWeb"/>
        <w:spacing w:before="240" w:beforeAutospacing="0" w:after="240" w:afterAutospacing="0" w:line="480" w:lineRule="auto"/>
        <w:ind w:firstLine="700"/>
        <w:jc w:val="both"/>
        <w:rPr>
          <w:sz w:val="36"/>
          <w:szCs w:val="36"/>
        </w:rPr>
      </w:pPr>
      <w:r w:rsidRPr="00B37406">
        <w:rPr>
          <w:rFonts w:ascii="Arial" w:hAnsi="Arial" w:cs="Arial"/>
          <w:color w:val="000000"/>
        </w:rPr>
        <w:t>A pandemia por COVID-19 provocou grande impacto em nossa sociedade, trazendo novas responsabilidades e preocupações, como no cuidado com a contaminação de objetos e alimentos, o uso de máscara, a higienização frequente das mãos, bem como diversos danos à saúde. A doença pode provocar danos físicos diretos, com a necessidade de internações, bem como causar problemas indiretos, criando ou agravando doenças emocionais pela exposição constante ao risco de contaminação e vivência de momentos de incertezas, lutos e ameaças.</w:t>
      </w:r>
    </w:p>
    <w:p w14:paraId="0BEBCBFA" w14:textId="3C0AC81D" w:rsidR="00B37406" w:rsidRPr="00B37406" w:rsidRDefault="00B37406" w:rsidP="00B37406">
      <w:pPr>
        <w:pStyle w:val="NormalWeb"/>
        <w:spacing w:before="240" w:beforeAutospacing="0" w:after="240" w:afterAutospacing="0" w:line="480" w:lineRule="auto"/>
        <w:ind w:firstLine="700"/>
        <w:jc w:val="both"/>
        <w:rPr>
          <w:sz w:val="36"/>
          <w:szCs w:val="36"/>
        </w:rPr>
      </w:pPr>
      <w:r w:rsidRPr="00B37406">
        <w:rPr>
          <w:rFonts w:ascii="Arial" w:hAnsi="Arial" w:cs="Arial"/>
          <w:color w:val="000000"/>
        </w:rPr>
        <w:t xml:space="preserve">Neste período de pandemia por COVID-19 que estamos vivendo no Brasil, percebemos problemas em diversas áreas. Na área econômica, observamos os preços subindo cada vez mais, consequentemente trazendo problemas para a população. Na área da educação e trabalho tivemos fechamento de escolas e locais de trabalho e inúmeras demissões, havendo necessidade de as empresas e as escolas se </w:t>
      </w:r>
      <w:r w:rsidR="001E24C5" w:rsidRPr="00B37406">
        <w:rPr>
          <w:rFonts w:ascii="Arial" w:hAnsi="Arial" w:cs="Arial"/>
          <w:color w:val="000000"/>
        </w:rPr>
        <w:t>adaptarem às</w:t>
      </w:r>
      <w:r w:rsidRPr="00B37406">
        <w:rPr>
          <w:rFonts w:ascii="Arial" w:hAnsi="Arial" w:cs="Arial"/>
          <w:color w:val="000000"/>
        </w:rPr>
        <w:t xml:space="preserve"> novas regras de isolamento, de trabalho e estudo remot</w:t>
      </w:r>
      <w:r w:rsidRPr="00B37406">
        <w:rPr>
          <w:rFonts w:ascii="Arial" w:hAnsi="Arial" w:cs="Arial"/>
          <w:color w:val="000000"/>
          <w:shd w:val="clear" w:color="auto" w:fill="FFFFFF"/>
        </w:rPr>
        <w:t xml:space="preserve">o. </w:t>
      </w:r>
      <w:r w:rsidRPr="00B37406">
        <w:rPr>
          <w:rFonts w:ascii="Arial" w:hAnsi="Arial" w:cs="Arial"/>
          <w:color w:val="000000"/>
        </w:rPr>
        <w:t xml:space="preserve">Podemos dizer que houve um grande comprometimento no acesso à educação da população, aumento do desemprego, falência de empresas de pequeno e médio porte e necessidade de adaptação abrupta ao trabalho com intensas demandas em situações inóspitas. </w:t>
      </w:r>
      <w:r w:rsidR="001E24C5">
        <w:rPr>
          <w:rFonts w:ascii="Arial" w:hAnsi="Arial" w:cs="Arial"/>
          <w:color w:val="000000"/>
        </w:rPr>
        <w:t>Nesse sentido</w:t>
      </w:r>
      <w:r w:rsidRPr="00B37406">
        <w:rPr>
          <w:rFonts w:ascii="Arial" w:hAnsi="Arial" w:cs="Arial"/>
          <w:color w:val="000000"/>
        </w:rPr>
        <w:t xml:space="preserve"> os hospitais não foram uma exceção, tiveram que se adaptar às novas demandas, ter um controle sobre os profissionais e novos fluxos de atendimento e, no caso dos hospitais universitários, também tiveram que tomar decisões em relação aos alunos. Observa-se, mundialmente, que a COVID-19 eleva a demanda por atendimento nas unidades hospitalares, tornando necessária a contratação de novos profissionais, reorganização dos </w:t>
      </w:r>
      <w:r w:rsidRPr="00B37406">
        <w:rPr>
          <w:rFonts w:ascii="Arial" w:hAnsi="Arial" w:cs="Arial"/>
          <w:color w:val="000000"/>
        </w:rPr>
        <w:lastRenderedPageBreak/>
        <w:t>processos de cuidado, capacitação das equipes de saúde e o desenvolvimento de estratégias gerenciais para o enfrentamento da pandemia. (LANZONI, 2020) Na área da saúde o impacto foi devastador e este aspecto será abordado neste estudo.</w:t>
      </w:r>
    </w:p>
    <w:p w14:paraId="6FFCF73B" w14:textId="77777777" w:rsidR="00B37406" w:rsidRPr="00B37406" w:rsidRDefault="00B37406" w:rsidP="00B37406">
      <w:pPr>
        <w:pStyle w:val="NormalWeb"/>
        <w:spacing w:before="240" w:beforeAutospacing="0" w:after="240" w:afterAutospacing="0" w:line="480" w:lineRule="auto"/>
        <w:jc w:val="both"/>
        <w:rPr>
          <w:sz w:val="36"/>
          <w:szCs w:val="36"/>
        </w:rPr>
      </w:pPr>
      <w:r w:rsidRPr="00B37406">
        <w:rPr>
          <w:rFonts w:ascii="Arial" w:hAnsi="Arial" w:cs="Arial"/>
          <w:color w:val="000000"/>
        </w:rPr>
        <w:t>        </w:t>
      </w:r>
      <w:r w:rsidRPr="00B37406">
        <w:rPr>
          <w:rStyle w:val="apple-tab-span"/>
          <w:rFonts w:ascii="Arial" w:hAnsi="Arial" w:cs="Arial"/>
          <w:color w:val="000000"/>
        </w:rPr>
        <w:tab/>
      </w:r>
      <w:r w:rsidRPr="00B37406">
        <w:rPr>
          <w:rFonts w:ascii="Arial" w:hAnsi="Arial" w:cs="Arial"/>
          <w:color w:val="000000"/>
        </w:rPr>
        <w:t>Antes da pandemia começar, tínhamos estruturas sociais que davam suporte às pessoas necessitadas, como movimentos para o tratamento de drogas, propagandas contra o uso de álcool e cigarros, atendimentos a moradores de rua, suporte religioso, dentre outros. Estes instrumentos hoje estão muito limitados. Algumas destas estruturas têm o Sistema Único de Saúde (SUS) como base, sendo seus princípios, equidade, integralidade e universalidade. (SUS, 2021).</w:t>
      </w:r>
    </w:p>
    <w:p w14:paraId="56A5823A" w14:textId="4CB7F69C" w:rsidR="00B37406" w:rsidRPr="00B37406" w:rsidRDefault="00B37406" w:rsidP="00B37406">
      <w:pPr>
        <w:pStyle w:val="NormalWeb"/>
        <w:spacing w:before="240" w:beforeAutospacing="0" w:after="240" w:afterAutospacing="0" w:line="480" w:lineRule="auto"/>
        <w:ind w:firstLine="700"/>
        <w:jc w:val="both"/>
        <w:rPr>
          <w:sz w:val="36"/>
          <w:szCs w:val="36"/>
        </w:rPr>
      </w:pPr>
      <w:r w:rsidRPr="00B37406">
        <w:rPr>
          <w:rFonts w:ascii="Arial" w:hAnsi="Arial" w:cs="Arial"/>
          <w:color w:val="000000"/>
        </w:rPr>
        <w:t xml:space="preserve">Estudos que avaliaram a capacidade de atendimento hospitalar em diversos países mostraram a necessidade de ampliação da oferta do número de leitos e de controle do vírus para que não haja sobrecarga dos sistemas de saúde em curto </w:t>
      </w:r>
      <w:proofErr w:type="gramStart"/>
      <w:r w:rsidRPr="00B37406">
        <w:rPr>
          <w:rFonts w:ascii="Arial" w:hAnsi="Arial" w:cs="Arial"/>
          <w:color w:val="000000"/>
        </w:rPr>
        <w:t>período de tempo</w:t>
      </w:r>
      <w:proofErr w:type="gramEnd"/>
      <w:r w:rsidRPr="00B37406">
        <w:rPr>
          <w:rFonts w:ascii="Arial" w:hAnsi="Arial" w:cs="Arial"/>
          <w:color w:val="000000"/>
        </w:rPr>
        <w:t xml:space="preserve">. (WALKER PGT, 2020 e WALDMAN A, 2020). Atualmente é elevada a demanda das internações hospitalares estando estas relacionadas a diferentes fatores, como idade e condições preexistentes dos </w:t>
      </w:r>
      <w:r w:rsidR="001E24C5" w:rsidRPr="00B37406">
        <w:rPr>
          <w:rFonts w:ascii="Arial" w:hAnsi="Arial" w:cs="Arial"/>
          <w:color w:val="000000"/>
        </w:rPr>
        <w:t>pacientes (</w:t>
      </w:r>
      <w:r w:rsidRPr="00B37406">
        <w:rPr>
          <w:rFonts w:ascii="Arial" w:hAnsi="Arial" w:cs="Arial"/>
          <w:color w:val="000000"/>
        </w:rPr>
        <w:t>NORONHA, 2020), tornando mais complexo o controle e a redução no número de infecções e de óbitos.</w:t>
      </w:r>
    </w:p>
    <w:p w14:paraId="2681C536" w14:textId="5B0912F0" w:rsidR="00B37406" w:rsidRPr="00B37406" w:rsidRDefault="00B37406" w:rsidP="00B37406">
      <w:pPr>
        <w:pStyle w:val="NormalWeb"/>
        <w:spacing w:before="240" w:beforeAutospacing="0" w:after="240" w:afterAutospacing="0" w:line="480" w:lineRule="auto"/>
        <w:ind w:firstLine="720"/>
        <w:jc w:val="both"/>
        <w:rPr>
          <w:sz w:val="36"/>
          <w:szCs w:val="36"/>
        </w:rPr>
      </w:pPr>
      <w:r w:rsidRPr="00B37406">
        <w:rPr>
          <w:rFonts w:ascii="Arial" w:hAnsi="Arial" w:cs="Arial"/>
          <w:color w:val="000000"/>
        </w:rPr>
        <w:t xml:space="preserve">Estudos nacionais, considerando apenas leitos do SUS, mostra haver regiões com maior vulnerabilidade à pandemia da COVID-19, bem como elevada necessidade de leitos de UTI, evidenciado sobrecarga no sistema de saúde. O índice de contaminação tem sido elevado, fazendo com que haja ocorrência de muitos casos em pouco tempo, tornando impossível deter todos </w:t>
      </w:r>
      <w:r w:rsidRPr="00B37406">
        <w:rPr>
          <w:rFonts w:ascii="Arial" w:hAnsi="Arial" w:cs="Arial"/>
          <w:color w:val="000000"/>
        </w:rPr>
        <w:lastRenderedPageBreak/>
        <w:t>os casos, mesmo utilizando leitos de hospitais públicos e privados, considerando que as outras doenças tiveram trégua. (RACHEL B, 2020. Nota técnica, 7) Entretanto, elas continuaram existindo e, muitas vezes, tendo cenários mais graves por diversos motivos, como a falta de suporte adequado, baixo acesso aos fármacos e ao suporte dos profissionais da saúde. (TEIXEIRA, 2020 e FARO, 2020)</w:t>
      </w:r>
    </w:p>
    <w:p w14:paraId="5B776FCC" w14:textId="77777777" w:rsidR="00B37406" w:rsidRPr="00B37406" w:rsidRDefault="00B37406" w:rsidP="00B37406">
      <w:pPr>
        <w:pStyle w:val="NormalWeb"/>
        <w:spacing w:before="240" w:beforeAutospacing="0" w:after="240" w:afterAutospacing="0" w:line="480" w:lineRule="auto"/>
        <w:ind w:firstLine="720"/>
        <w:jc w:val="both"/>
        <w:rPr>
          <w:sz w:val="36"/>
          <w:szCs w:val="36"/>
        </w:rPr>
      </w:pPr>
      <w:r w:rsidRPr="00B37406">
        <w:rPr>
          <w:rFonts w:ascii="Arial" w:hAnsi="Arial" w:cs="Arial"/>
          <w:color w:val="000000"/>
        </w:rPr>
        <w:t>Se a curva de casos fosse mais achatada, haveria mais controle com redução do número de leitos por dia, dos custos gerados e ambientes menos insalubres para o profissional que trabalha no local e redução da chance do paciente se contaminar com outras doenças (RACHE B, 2020. Nota técnica, 7).</w:t>
      </w:r>
    </w:p>
    <w:p w14:paraId="1008D462" w14:textId="77777777" w:rsidR="00B37406" w:rsidRPr="00B37406" w:rsidRDefault="00B37406" w:rsidP="00B37406">
      <w:pPr>
        <w:pStyle w:val="NormalWeb"/>
        <w:spacing w:before="240" w:beforeAutospacing="0" w:after="240" w:afterAutospacing="0" w:line="480" w:lineRule="auto"/>
        <w:ind w:firstLine="700"/>
        <w:jc w:val="both"/>
        <w:rPr>
          <w:sz w:val="36"/>
          <w:szCs w:val="36"/>
        </w:rPr>
      </w:pPr>
      <w:r w:rsidRPr="00B37406">
        <w:rPr>
          <w:rFonts w:ascii="Arial" w:hAnsi="Arial" w:cs="Arial"/>
          <w:color w:val="000000"/>
        </w:rPr>
        <w:t>Como diversas pesquisas mostram, em todo esse processo de adaptação dos hospitais houve um aumento no número de leitos para pacientes com coronavírus para tentar alcançar a demanda. Houve também aumento nos custos gerados pelas construções e adaptações de leitos, pois há necessidade de diversas demandas que outras doenças não possuem, como a necessidade de isolamento, procedimentos frequentes de higienização mais severa e de equipamentos e materiais específicos. (RACHE B, 2020. Nota técnica, 7) </w:t>
      </w:r>
    </w:p>
    <w:p w14:paraId="3DC85CF6" w14:textId="56CB5B1C" w:rsidR="00B37406" w:rsidRDefault="00B37406" w:rsidP="00B37406">
      <w:pPr>
        <w:pStyle w:val="NormalWeb"/>
        <w:spacing w:before="240" w:beforeAutospacing="0" w:after="240" w:afterAutospacing="0" w:line="480" w:lineRule="auto"/>
        <w:ind w:firstLine="700"/>
        <w:jc w:val="both"/>
        <w:rPr>
          <w:rFonts w:ascii="Arial" w:hAnsi="Arial" w:cs="Arial"/>
          <w:color w:val="000000"/>
        </w:rPr>
      </w:pPr>
      <w:r w:rsidRPr="00B37406">
        <w:rPr>
          <w:rFonts w:ascii="Arial" w:hAnsi="Arial" w:cs="Arial"/>
          <w:color w:val="000000"/>
        </w:rPr>
        <w:t> Pensando nisso, pretendemos investigar o que houve com a utilização dos serviços hospitalares do SUS. Todas essas situações influenciam nos dados desta pesquisa, tornando-se cenários importantes para levantar hipóteses ao analisar os dados e comprová-los, tornando-se cada vez menor a chance de gerar algum erro.</w:t>
      </w:r>
      <w:r w:rsidR="001E24C5">
        <w:rPr>
          <w:rFonts w:ascii="Arial" w:hAnsi="Arial" w:cs="Arial"/>
          <w:color w:val="000000"/>
        </w:rPr>
        <w:t xml:space="preserve"> </w:t>
      </w:r>
      <w:r w:rsidR="001E24C5" w:rsidRPr="00B37406">
        <w:rPr>
          <w:rFonts w:ascii="Arial" w:hAnsi="Arial" w:cs="Arial"/>
          <w:color w:val="000000"/>
        </w:rPr>
        <w:t>Nesse sentido cabe a pergunta: como está sendo utilizado o SUS no momento da pandemia?</w:t>
      </w:r>
    </w:p>
    <w:p w14:paraId="12AE5F88" w14:textId="77777777" w:rsidR="00B37406" w:rsidRPr="00B37406" w:rsidRDefault="00B37406" w:rsidP="00B37406">
      <w:pPr>
        <w:pStyle w:val="NormalWeb"/>
        <w:spacing w:before="240" w:beforeAutospacing="0" w:after="240" w:afterAutospacing="0" w:line="480" w:lineRule="auto"/>
        <w:ind w:firstLine="700"/>
        <w:jc w:val="both"/>
        <w:rPr>
          <w:sz w:val="36"/>
          <w:szCs w:val="36"/>
        </w:rPr>
      </w:pPr>
    </w:p>
    <w:p w14:paraId="52A4A5E1" w14:textId="0BCA1775" w:rsidR="00AF61D1" w:rsidRPr="00B37406" w:rsidRDefault="00AF61D1" w:rsidP="00AF61D1">
      <w:pPr>
        <w:spacing w:line="480" w:lineRule="auto"/>
        <w:jc w:val="both"/>
        <w:rPr>
          <w:rFonts w:ascii="Arial" w:hAnsi="Arial" w:cs="Arial"/>
          <w:b/>
          <w:bCs/>
          <w:sz w:val="24"/>
          <w:szCs w:val="24"/>
        </w:rPr>
      </w:pPr>
      <w:r w:rsidRPr="00B37406">
        <w:rPr>
          <w:rFonts w:ascii="Arial" w:hAnsi="Arial" w:cs="Arial"/>
          <w:b/>
          <w:bCs/>
          <w:sz w:val="24"/>
          <w:szCs w:val="24"/>
        </w:rPr>
        <w:t>Justificativa:</w:t>
      </w:r>
    </w:p>
    <w:p w14:paraId="7CC424F0" w14:textId="77777777" w:rsidR="00213AA4" w:rsidRPr="00B37406" w:rsidRDefault="00213AA4" w:rsidP="00AF61D1">
      <w:pPr>
        <w:spacing w:line="480" w:lineRule="auto"/>
        <w:jc w:val="both"/>
        <w:rPr>
          <w:rFonts w:ascii="Arial" w:hAnsi="Arial" w:cs="Arial"/>
          <w:sz w:val="24"/>
          <w:szCs w:val="24"/>
        </w:rPr>
      </w:pPr>
    </w:p>
    <w:p w14:paraId="117C856E" w14:textId="46566DEE" w:rsidR="00AF61D1" w:rsidRPr="00B37406" w:rsidRDefault="00AF61D1" w:rsidP="00AF61D1">
      <w:pPr>
        <w:spacing w:line="480" w:lineRule="auto"/>
        <w:jc w:val="both"/>
        <w:rPr>
          <w:rFonts w:ascii="Arial" w:hAnsi="Arial" w:cs="Arial"/>
          <w:sz w:val="24"/>
          <w:szCs w:val="24"/>
        </w:rPr>
      </w:pPr>
      <w:r w:rsidRPr="00B37406">
        <w:rPr>
          <w:rFonts w:ascii="Arial" w:hAnsi="Arial" w:cs="Arial"/>
          <w:sz w:val="24"/>
          <w:szCs w:val="24"/>
        </w:rPr>
        <w:tab/>
        <w:t>Sendo o SUS o sistema de saúde público de referência no Brasil, que atende pacientes com amplas necessidades, fomos levados a refletir, em um momento de pandemia, onde há grandes limitações de mobilidade e assistência, e que os leitos dos hospitais estão sendo direcionados com maior prioridade aos pacientes de COVID-19, sobre o impacto na situação hospitalar atual. Por isso, é de grande importância que o SUS tenha decisões coesas e que, diante de qualquer situação, possa disponibilizar o melhor tipo de tratamento possível. Tornando pesquisas como esta, de grande relevância para o planejamento de seus custos e de seus meios.</w:t>
      </w:r>
    </w:p>
    <w:p w14:paraId="71178B86" w14:textId="77777777" w:rsidR="00AF61D1" w:rsidRPr="00B37406" w:rsidRDefault="00AF61D1" w:rsidP="00AF61D1">
      <w:pPr>
        <w:spacing w:line="480" w:lineRule="auto"/>
        <w:ind w:firstLine="708"/>
        <w:jc w:val="both"/>
        <w:rPr>
          <w:rFonts w:ascii="Arial" w:hAnsi="Arial" w:cs="Arial"/>
          <w:sz w:val="24"/>
          <w:szCs w:val="24"/>
        </w:rPr>
      </w:pPr>
      <w:r w:rsidRPr="00B37406">
        <w:rPr>
          <w:rFonts w:ascii="Arial" w:hAnsi="Arial" w:cs="Arial"/>
          <w:sz w:val="24"/>
          <w:szCs w:val="24"/>
        </w:rPr>
        <w:t xml:space="preserve">Este estudo também apresenta ainda importantes informações para outros pesquisadores interessados por essa temática, tornando-se uma boa referência para decisões futuras. </w:t>
      </w:r>
    </w:p>
    <w:p w14:paraId="6B439B92" w14:textId="77777777" w:rsidR="00272B10" w:rsidRPr="00B37406" w:rsidRDefault="00272B10" w:rsidP="009228FF">
      <w:pPr>
        <w:spacing w:line="480" w:lineRule="auto"/>
        <w:jc w:val="both"/>
        <w:rPr>
          <w:rFonts w:ascii="Arial" w:hAnsi="Arial" w:cs="Arial"/>
          <w:b/>
          <w:bCs/>
          <w:sz w:val="24"/>
          <w:szCs w:val="24"/>
        </w:rPr>
      </w:pPr>
    </w:p>
    <w:p w14:paraId="289243E4" w14:textId="780B7991" w:rsidR="006019D0" w:rsidRPr="00B37406" w:rsidRDefault="006019D0" w:rsidP="009228FF">
      <w:pPr>
        <w:spacing w:line="480" w:lineRule="auto"/>
        <w:jc w:val="both"/>
        <w:rPr>
          <w:rFonts w:ascii="Arial" w:hAnsi="Arial" w:cs="Arial"/>
          <w:b/>
          <w:bCs/>
          <w:sz w:val="24"/>
          <w:szCs w:val="24"/>
        </w:rPr>
      </w:pPr>
      <w:r w:rsidRPr="00B37406">
        <w:rPr>
          <w:rFonts w:ascii="Arial" w:hAnsi="Arial" w:cs="Arial"/>
          <w:b/>
          <w:bCs/>
          <w:sz w:val="24"/>
          <w:szCs w:val="24"/>
        </w:rPr>
        <w:t>Objetivos</w:t>
      </w:r>
    </w:p>
    <w:p w14:paraId="44D0B274" w14:textId="14243BF1" w:rsidR="006019D0" w:rsidRPr="00B37406" w:rsidRDefault="006019D0" w:rsidP="00F92F84">
      <w:pPr>
        <w:spacing w:line="480" w:lineRule="auto"/>
        <w:ind w:firstLine="709"/>
        <w:jc w:val="both"/>
        <w:rPr>
          <w:rFonts w:ascii="Arial" w:hAnsi="Arial" w:cs="Arial"/>
          <w:sz w:val="24"/>
          <w:szCs w:val="24"/>
        </w:rPr>
      </w:pPr>
      <w:r w:rsidRPr="00B37406">
        <w:rPr>
          <w:rFonts w:ascii="Arial" w:hAnsi="Arial" w:cs="Arial"/>
          <w:sz w:val="24"/>
          <w:szCs w:val="24"/>
        </w:rPr>
        <w:t xml:space="preserve">Analisar </w:t>
      </w:r>
      <w:r w:rsidR="00D3412B" w:rsidRPr="00B37406">
        <w:rPr>
          <w:rFonts w:ascii="Arial" w:hAnsi="Arial" w:cs="Arial"/>
          <w:sz w:val="24"/>
          <w:szCs w:val="24"/>
        </w:rPr>
        <w:t xml:space="preserve">e avaliar a utilização dos serviços de internação </w:t>
      </w:r>
      <w:r w:rsidRPr="00B37406">
        <w:rPr>
          <w:rFonts w:ascii="Arial" w:hAnsi="Arial" w:cs="Arial"/>
          <w:sz w:val="24"/>
          <w:szCs w:val="24"/>
        </w:rPr>
        <w:t>do Sistema Único de Saúde (SUS), antes e durante a pandemia.</w:t>
      </w:r>
    </w:p>
    <w:p w14:paraId="6827A93D" w14:textId="77777777" w:rsidR="00272B10" w:rsidRPr="00B37406" w:rsidRDefault="00272B10" w:rsidP="00F92F84">
      <w:pPr>
        <w:spacing w:line="480" w:lineRule="auto"/>
        <w:ind w:firstLine="709"/>
        <w:jc w:val="both"/>
        <w:rPr>
          <w:rFonts w:ascii="Arial" w:hAnsi="Arial" w:cs="Arial"/>
          <w:b/>
          <w:bCs/>
          <w:sz w:val="24"/>
          <w:szCs w:val="24"/>
        </w:rPr>
      </w:pPr>
    </w:p>
    <w:p w14:paraId="1B2D32D8" w14:textId="77777777" w:rsidR="00703EDE" w:rsidRPr="00B37406" w:rsidRDefault="00703EDE" w:rsidP="00F92F84">
      <w:pPr>
        <w:ind w:firstLine="709"/>
        <w:rPr>
          <w:rFonts w:ascii="Arial" w:hAnsi="Arial" w:cs="Arial"/>
          <w:b/>
          <w:bCs/>
          <w:sz w:val="24"/>
          <w:szCs w:val="24"/>
        </w:rPr>
      </w:pPr>
      <w:r w:rsidRPr="00B37406">
        <w:rPr>
          <w:rFonts w:ascii="Arial" w:hAnsi="Arial" w:cs="Arial"/>
          <w:b/>
          <w:bCs/>
          <w:sz w:val="24"/>
          <w:szCs w:val="24"/>
        </w:rPr>
        <w:br w:type="page"/>
      </w:r>
    </w:p>
    <w:p w14:paraId="5F0C421A" w14:textId="2A5E1D08" w:rsidR="006E6A4B" w:rsidRPr="00B37406" w:rsidRDefault="004B7A0C" w:rsidP="00F92F84">
      <w:pPr>
        <w:spacing w:line="480" w:lineRule="auto"/>
        <w:ind w:firstLine="709"/>
        <w:jc w:val="both"/>
        <w:rPr>
          <w:rFonts w:ascii="Arial" w:hAnsi="Arial" w:cs="Arial"/>
          <w:b/>
          <w:bCs/>
          <w:sz w:val="24"/>
          <w:szCs w:val="24"/>
        </w:rPr>
      </w:pPr>
      <w:r w:rsidRPr="00B37406">
        <w:rPr>
          <w:rFonts w:ascii="Arial" w:hAnsi="Arial" w:cs="Arial"/>
          <w:b/>
          <w:bCs/>
          <w:sz w:val="24"/>
          <w:szCs w:val="24"/>
        </w:rPr>
        <w:lastRenderedPageBreak/>
        <w:t>Método</w:t>
      </w:r>
    </w:p>
    <w:p w14:paraId="2058A6B8" w14:textId="77777777"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Tipo de estudo</w:t>
      </w:r>
    </w:p>
    <w:p w14:paraId="0400A0E9" w14:textId="6824BEDE"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Esta pesquisa é </w:t>
      </w:r>
      <w:r w:rsidR="00AF61D1" w:rsidRPr="00B37406">
        <w:rPr>
          <w:rFonts w:ascii="Arial" w:hAnsi="Arial" w:cs="Arial"/>
        </w:rPr>
        <w:t xml:space="preserve">um estudo transversal </w:t>
      </w:r>
      <w:r w:rsidRPr="00B37406">
        <w:rPr>
          <w:rFonts w:ascii="Arial" w:hAnsi="Arial" w:cs="Arial"/>
        </w:rPr>
        <w:t>de caráter quantitativo e explicativo</w:t>
      </w:r>
    </w:p>
    <w:p w14:paraId="2729C9BC" w14:textId="6F1C88DA" w:rsidR="00B17E06" w:rsidRPr="00B37406" w:rsidRDefault="00D4396B"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Período</w:t>
      </w:r>
    </w:p>
    <w:p w14:paraId="092D08E4" w14:textId="60BEC8C8"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O estudo pretende comparar informações do período da pandemia por COVID-19 (março de 2020 </w:t>
      </w:r>
      <w:r w:rsidR="001E24C5">
        <w:rPr>
          <w:rFonts w:ascii="Arial" w:hAnsi="Arial" w:cs="Arial"/>
        </w:rPr>
        <w:t>a</w:t>
      </w:r>
      <w:r w:rsidRPr="00B37406">
        <w:rPr>
          <w:rFonts w:ascii="Arial" w:hAnsi="Arial" w:cs="Arial"/>
        </w:rPr>
        <w:t xml:space="preserve"> março de 2021) com </w:t>
      </w:r>
      <w:r w:rsidR="004E65B8" w:rsidRPr="00B37406">
        <w:rPr>
          <w:rFonts w:ascii="Arial" w:hAnsi="Arial" w:cs="Arial"/>
        </w:rPr>
        <w:t>aqueles referentes</w:t>
      </w:r>
      <w:r w:rsidRPr="00B37406">
        <w:rPr>
          <w:rFonts w:ascii="Arial" w:hAnsi="Arial" w:cs="Arial"/>
        </w:rPr>
        <w:t xml:space="preserve"> ao ano imediatamente anterior (março de 2019 </w:t>
      </w:r>
      <w:r w:rsidR="001E24C5">
        <w:rPr>
          <w:rFonts w:ascii="Arial" w:hAnsi="Arial" w:cs="Arial"/>
        </w:rPr>
        <w:t>a</w:t>
      </w:r>
      <w:r w:rsidRPr="00B37406">
        <w:rPr>
          <w:rFonts w:ascii="Arial" w:hAnsi="Arial" w:cs="Arial"/>
        </w:rPr>
        <w:t xml:space="preserve"> março de 2020).</w:t>
      </w:r>
    </w:p>
    <w:p w14:paraId="1FBAD345" w14:textId="2B797765"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Fonte dos dados</w:t>
      </w:r>
      <w:r w:rsidR="001E24C5">
        <w:rPr>
          <w:rFonts w:ascii="Arial" w:hAnsi="Arial" w:cs="Arial"/>
        </w:rPr>
        <w:t>.</w:t>
      </w:r>
    </w:p>
    <w:p w14:paraId="5D47B9A2" w14:textId="75BA83D1"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A busca de dados foi realizada em um banco de dados públicos, em que o próprio SUS alimenta com todos as informações que recebem de hospitais e serviços de assistência. Todos estes dados estão localizados no DATASUS (http://www2.datasus.gov.br/DATASUS/), onde estão disponíveis publicamente os dados, tornando possível </w:t>
      </w:r>
      <w:r w:rsidR="00421BE7" w:rsidRPr="00B37406">
        <w:rPr>
          <w:rFonts w:ascii="Arial" w:hAnsi="Arial" w:cs="Arial"/>
        </w:rPr>
        <w:t xml:space="preserve">o </w:t>
      </w:r>
      <w:r w:rsidRPr="00B37406">
        <w:rPr>
          <w:rFonts w:ascii="Arial" w:hAnsi="Arial" w:cs="Arial"/>
        </w:rPr>
        <w:t>acess</w:t>
      </w:r>
      <w:r w:rsidR="00421BE7" w:rsidRPr="00B37406">
        <w:rPr>
          <w:rFonts w:ascii="Arial" w:hAnsi="Arial" w:cs="Arial"/>
        </w:rPr>
        <w:t>o</w:t>
      </w:r>
      <w:r w:rsidRPr="00B37406">
        <w:rPr>
          <w:rFonts w:ascii="Arial" w:hAnsi="Arial" w:cs="Arial"/>
        </w:rPr>
        <w:t xml:space="preserve"> em qualquer local e por qualquer pessoa. (DATASUS, 2021).</w:t>
      </w:r>
    </w:p>
    <w:p w14:paraId="23A96534" w14:textId="4026CD03"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Coleta dos Dados</w:t>
      </w:r>
    </w:p>
    <w:p w14:paraId="2B93BA3E" w14:textId="455270EC" w:rsidR="006B4328" w:rsidRPr="00B37406" w:rsidRDefault="006B4328" w:rsidP="00F92F84">
      <w:pPr>
        <w:pStyle w:val="NormalWeb"/>
        <w:spacing w:before="240" w:beforeAutospacing="0" w:after="240" w:afterAutospacing="0" w:line="480" w:lineRule="auto"/>
        <w:jc w:val="center"/>
        <w:rPr>
          <w:rFonts w:ascii="Arial" w:hAnsi="Arial" w:cs="Arial"/>
        </w:rPr>
      </w:pPr>
    </w:p>
    <w:p w14:paraId="74ECF270" w14:textId="77777777" w:rsidR="00FD35AA" w:rsidRDefault="00BD3060" w:rsidP="00BD3060">
      <w:pPr>
        <w:pStyle w:val="NormalWeb"/>
        <w:spacing w:before="240" w:beforeAutospacing="0" w:after="240" w:afterAutospacing="0" w:line="480" w:lineRule="auto"/>
        <w:ind w:firstLine="700"/>
        <w:jc w:val="both"/>
        <w:rPr>
          <w:rFonts w:ascii="Arial" w:hAnsi="Arial" w:cs="Arial"/>
          <w:color w:val="000000"/>
        </w:rPr>
      </w:pPr>
      <w:r w:rsidRPr="00B37406">
        <w:rPr>
          <w:rFonts w:ascii="Arial" w:hAnsi="Arial" w:cs="Arial"/>
          <w:color w:val="000000"/>
        </w:rPr>
        <w:t xml:space="preserve">Os dados foram coletados no site do </w:t>
      </w:r>
      <w:proofErr w:type="spellStart"/>
      <w:r w:rsidRPr="00B37406">
        <w:rPr>
          <w:rFonts w:ascii="Arial" w:hAnsi="Arial" w:cs="Arial"/>
          <w:color w:val="000000"/>
        </w:rPr>
        <w:t>Datasus</w:t>
      </w:r>
      <w:proofErr w:type="spellEnd"/>
      <w:r w:rsidRPr="00B37406">
        <w:rPr>
          <w:rFonts w:ascii="Arial" w:hAnsi="Arial" w:cs="Arial"/>
          <w:color w:val="000000"/>
        </w:rPr>
        <w:t xml:space="preserve"> (</w:t>
      </w:r>
      <w:hyperlink r:id="rId8" w:history="1">
        <w:r w:rsidRPr="00B37406">
          <w:rPr>
            <w:rStyle w:val="Hyperlink"/>
            <w:rFonts w:ascii="Arial" w:hAnsi="Arial" w:cs="Arial"/>
            <w:color w:val="1155CC"/>
          </w:rPr>
          <w:t>http://www2.datasus.gov.br/DATASUS/</w:t>
        </w:r>
      </w:hyperlink>
      <w:r w:rsidRPr="00B37406">
        <w:rPr>
          <w:rFonts w:ascii="Arial" w:hAnsi="Arial" w:cs="Arial"/>
          <w:color w:val="000000"/>
        </w:rPr>
        <w:t xml:space="preserve">)3, onde é disponibilizada grande quantidade de informação publicamente, tornando de fácil acesso para os pesquisadores interessados e sendo uma fonte de dados de confiança. Com </w:t>
      </w:r>
      <w:r w:rsidRPr="00B37406">
        <w:rPr>
          <w:rFonts w:ascii="Arial" w:hAnsi="Arial" w:cs="Arial"/>
          <w:color w:val="000000"/>
        </w:rPr>
        <w:lastRenderedPageBreak/>
        <w:t xml:space="preserve">esta elevada quantidade de dados, é necessário ter conhecimento sobre o DATASUS para uma adequada seleção e coleta destes. De acordo com a minha pesquisa, foi elaborado um fluxograma, onde é representado o caminho que foi realizado para chegar aos dados pesquisados. Desde o site, os links e informações selecionadas (representados </w:t>
      </w:r>
      <w:r w:rsidR="001E24C5">
        <w:rPr>
          <w:rFonts w:ascii="Arial" w:hAnsi="Arial" w:cs="Arial"/>
          <w:color w:val="000000"/>
        </w:rPr>
        <w:t>em</w:t>
      </w:r>
      <w:r w:rsidRPr="00B37406">
        <w:rPr>
          <w:rFonts w:ascii="Arial" w:hAnsi="Arial" w:cs="Arial"/>
          <w:color w:val="000000"/>
        </w:rPr>
        <w:t xml:space="preserve"> azul), até a escolha dos dados desejados (representados </w:t>
      </w:r>
      <w:r w:rsidR="001E24C5">
        <w:rPr>
          <w:rFonts w:ascii="Arial" w:hAnsi="Arial" w:cs="Arial"/>
          <w:color w:val="000000"/>
        </w:rPr>
        <w:t>em</w:t>
      </w:r>
      <w:r w:rsidRPr="00B37406">
        <w:rPr>
          <w:rFonts w:ascii="Arial" w:hAnsi="Arial" w:cs="Arial"/>
          <w:color w:val="000000"/>
        </w:rPr>
        <w:t xml:space="preserve"> vermelho). Para finalizar a busca, seleciona-se o botão “Mostra”, assim o usuário é encaminhado para uma página com a tabela desejada e opções de gráficos e downloads.</w:t>
      </w:r>
    </w:p>
    <w:p w14:paraId="349C3E34" w14:textId="411D96DE" w:rsidR="00B17E06" w:rsidRPr="00B37406" w:rsidRDefault="00FD35AA" w:rsidP="00FD35AA">
      <w:pPr>
        <w:pStyle w:val="NormalWeb"/>
        <w:spacing w:before="240" w:beforeAutospacing="0" w:after="240" w:afterAutospacing="0" w:line="480" w:lineRule="auto"/>
        <w:ind w:firstLine="700"/>
        <w:jc w:val="center"/>
      </w:pPr>
      <w:r w:rsidRPr="00B37406">
        <w:rPr>
          <w:rFonts w:ascii="Arial" w:hAnsi="Arial" w:cs="Arial"/>
          <w:noProof/>
        </w:rPr>
        <w:drawing>
          <wp:inline distT="0" distB="0" distL="0" distR="0" wp14:anchorId="0B60BBE6" wp14:editId="191521AD">
            <wp:extent cx="1858618" cy="2052481"/>
            <wp:effectExtent l="0" t="0" r="8890" b="5080"/>
            <wp:docPr id="2" name="Imagem 2"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iagrama, Gráfico de caixa estreit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9058" cy="2119225"/>
                    </a:xfrm>
                    <a:prstGeom prst="rect">
                      <a:avLst/>
                    </a:prstGeom>
                  </pic:spPr>
                </pic:pic>
              </a:graphicData>
            </a:graphic>
          </wp:inline>
        </w:drawing>
      </w:r>
    </w:p>
    <w:p w14:paraId="690B2136" w14:textId="77777777"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Banco de Dados</w:t>
      </w:r>
    </w:p>
    <w:p w14:paraId="6B060A07" w14:textId="1A4E5ED1"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Os dados coletados </w:t>
      </w:r>
      <w:r w:rsidR="001E24C5">
        <w:rPr>
          <w:rFonts w:ascii="Arial" w:hAnsi="Arial" w:cs="Arial"/>
        </w:rPr>
        <w:t>foram coletados e transformados</w:t>
      </w:r>
      <w:r w:rsidRPr="00B37406">
        <w:rPr>
          <w:rFonts w:ascii="Arial" w:hAnsi="Arial" w:cs="Arial"/>
        </w:rPr>
        <w:t xml:space="preserve"> em arquivos de </w:t>
      </w:r>
      <w:proofErr w:type="spellStart"/>
      <w:r w:rsidRPr="00B37406">
        <w:rPr>
          <w:rFonts w:ascii="Arial" w:hAnsi="Arial" w:cs="Arial"/>
        </w:rPr>
        <w:t>e</w:t>
      </w:r>
      <w:r w:rsidR="00D4396B" w:rsidRPr="00B37406">
        <w:rPr>
          <w:rFonts w:ascii="Arial" w:hAnsi="Arial" w:cs="Arial"/>
        </w:rPr>
        <w:t>xc</w:t>
      </w:r>
      <w:r w:rsidRPr="00B37406">
        <w:rPr>
          <w:rFonts w:ascii="Arial" w:hAnsi="Arial" w:cs="Arial"/>
        </w:rPr>
        <w:t>el</w:t>
      </w:r>
      <w:proofErr w:type="spellEnd"/>
      <w:r w:rsidRPr="00B37406">
        <w:rPr>
          <w:rFonts w:ascii="Arial" w:hAnsi="Arial" w:cs="Arial"/>
        </w:rPr>
        <w:t xml:space="preserve">, neles são organizados e separados pelos critérios da pesquisa </w:t>
      </w:r>
    </w:p>
    <w:p w14:paraId="61BBA095" w14:textId="77777777"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Variáveis </w:t>
      </w:r>
    </w:p>
    <w:p w14:paraId="760C5FA6" w14:textId="616FEE4F"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t xml:space="preserve">As informações </w:t>
      </w:r>
      <w:r w:rsidR="00421BE7" w:rsidRPr="00B37406">
        <w:rPr>
          <w:rFonts w:ascii="Arial" w:hAnsi="Arial" w:cs="Arial"/>
        </w:rPr>
        <w:t xml:space="preserve">foram escolhidas de acordo com os </w:t>
      </w:r>
      <w:r w:rsidRPr="00B37406">
        <w:rPr>
          <w:rFonts w:ascii="Arial" w:hAnsi="Arial" w:cs="Arial"/>
        </w:rPr>
        <w:t>dados de internações</w:t>
      </w:r>
      <w:r w:rsidR="00421BE7" w:rsidRPr="00B37406">
        <w:rPr>
          <w:rFonts w:ascii="Arial" w:hAnsi="Arial" w:cs="Arial"/>
        </w:rPr>
        <w:t>, nele foi</w:t>
      </w:r>
      <w:r w:rsidRPr="00B37406">
        <w:rPr>
          <w:rFonts w:ascii="Arial" w:hAnsi="Arial" w:cs="Arial"/>
        </w:rPr>
        <w:t xml:space="preserve"> utilizado </w:t>
      </w:r>
      <w:r w:rsidR="00421BE7" w:rsidRPr="00B37406">
        <w:rPr>
          <w:rFonts w:ascii="Arial" w:hAnsi="Arial" w:cs="Arial"/>
        </w:rPr>
        <w:t xml:space="preserve">as informações </w:t>
      </w:r>
      <w:r w:rsidRPr="00B37406">
        <w:rPr>
          <w:rFonts w:ascii="Arial" w:hAnsi="Arial" w:cs="Arial"/>
        </w:rPr>
        <w:t xml:space="preserve">com base no Capítulo de CID, a cada mês e ano e resgatados as informações sobre: </w:t>
      </w:r>
      <w:r w:rsidR="00012170" w:rsidRPr="00B37406">
        <w:rPr>
          <w:rFonts w:ascii="Arial" w:hAnsi="Arial" w:cs="Arial"/>
        </w:rPr>
        <w:t>V</w:t>
      </w:r>
      <w:r w:rsidRPr="00B37406">
        <w:rPr>
          <w:rFonts w:ascii="Arial" w:hAnsi="Arial" w:cs="Arial"/>
        </w:rPr>
        <w:t xml:space="preserve">alor total; </w:t>
      </w:r>
      <w:r w:rsidR="00512F44" w:rsidRPr="00B37406">
        <w:rPr>
          <w:rFonts w:ascii="Arial" w:hAnsi="Arial" w:cs="Arial"/>
        </w:rPr>
        <w:t>Internações</w:t>
      </w:r>
      <w:r w:rsidRPr="00B37406">
        <w:rPr>
          <w:rFonts w:ascii="Arial" w:hAnsi="Arial" w:cs="Arial"/>
        </w:rPr>
        <w:t xml:space="preserve">; </w:t>
      </w:r>
      <w:r w:rsidR="00012170" w:rsidRPr="00B37406">
        <w:rPr>
          <w:rFonts w:ascii="Arial" w:hAnsi="Arial" w:cs="Arial"/>
        </w:rPr>
        <w:t>Ó</w:t>
      </w:r>
      <w:r w:rsidRPr="00B37406">
        <w:rPr>
          <w:rFonts w:ascii="Arial" w:hAnsi="Arial" w:cs="Arial"/>
        </w:rPr>
        <w:t xml:space="preserve">bitos e a </w:t>
      </w:r>
      <w:r w:rsidR="00012170" w:rsidRPr="00B37406">
        <w:rPr>
          <w:rFonts w:ascii="Arial" w:hAnsi="Arial" w:cs="Arial"/>
        </w:rPr>
        <w:t>T</w:t>
      </w:r>
      <w:r w:rsidRPr="00B37406">
        <w:rPr>
          <w:rFonts w:ascii="Arial" w:hAnsi="Arial" w:cs="Arial"/>
        </w:rPr>
        <w:t>axa de mortalidade</w:t>
      </w:r>
    </w:p>
    <w:p w14:paraId="53BE563E" w14:textId="77777777" w:rsidR="00B17E06" w:rsidRPr="00B37406" w:rsidRDefault="00B17E06" w:rsidP="00F92F84">
      <w:pPr>
        <w:pStyle w:val="NormalWeb"/>
        <w:spacing w:before="240" w:beforeAutospacing="0" w:after="240" w:afterAutospacing="0" w:line="480" w:lineRule="auto"/>
        <w:ind w:firstLine="709"/>
        <w:jc w:val="both"/>
        <w:rPr>
          <w:rFonts w:ascii="Arial" w:hAnsi="Arial" w:cs="Arial"/>
        </w:rPr>
      </w:pPr>
      <w:r w:rsidRPr="00B37406">
        <w:rPr>
          <w:rFonts w:ascii="Arial" w:hAnsi="Arial" w:cs="Arial"/>
        </w:rPr>
        <w:lastRenderedPageBreak/>
        <w:t>Análise dos Dados</w:t>
      </w:r>
    </w:p>
    <w:p w14:paraId="47FF7AF0" w14:textId="05184215" w:rsidR="00B17E06" w:rsidRPr="00B37406" w:rsidRDefault="00B17E06" w:rsidP="00F92F84">
      <w:pPr>
        <w:spacing w:line="480" w:lineRule="auto"/>
        <w:ind w:firstLine="709"/>
        <w:jc w:val="both"/>
        <w:rPr>
          <w:rFonts w:ascii="Arial" w:hAnsi="Arial" w:cs="Arial"/>
          <w:sz w:val="24"/>
          <w:szCs w:val="24"/>
        </w:rPr>
      </w:pPr>
      <w:r w:rsidRPr="00B37406">
        <w:rPr>
          <w:rFonts w:ascii="Arial" w:hAnsi="Arial" w:cs="Arial"/>
          <w:sz w:val="24"/>
          <w:szCs w:val="24"/>
        </w:rPr>
        <w:t xml:space="preserve">Após a coleta de dados, estes serão transferidos para tabelas no Excel e serão modelados e organizados para facilitar a interpretação. Depois dessa manipulação primaria, são realizados gráficos e cálculos para ter uma base concreta para as decisões tomadas. Os </w:t>
      </w:r>
      <w:r w:rsidR="00012170" w:rsidRPr="00B37406">
        <w:rPr>
          <w:rFonts w:ascii="Arial" w:hAnsi="Arial" w:cs="Arial"/>
          <w:sz w:val="24"/>
          <w:szCs w:val="24"/>
        </w:rPr>
        <w:t xml:space="preserve">dois </w:t>
      </w:r>
      <w:r w:rsidR="00D4396B" w:rsidRPr="00B37406">
        <w:rPr>
          <w:rFonts w:ascii="Arial" w:hAnsi="Arial" w:cs="Arial"/>
          <w:sz w:val="24"/>
          <w:szCs w:val="24"/>
        </w:rPr>
        <w:t>cálculos</w:t>
      </w:r>
      <w:r w:rsidRPr="00B37406">
        <w:rPr>
          <w:rFonts w:ascii="Arial" w:hAnsi="Arial" w:cs="Arial"/>
          <w:sz w:val="24"/>
          <w:szCs w:val="24"/>
        </w:rPr>
        <w:t xml:space="preserve"> efetuados são:</w:t>
      </w:r>
    </w:p>
    <w:p w14:paraId="2F1C310A" w14:textId="77777777" w:rsidR="00B17E06" w:rsidRPr="00B37406" w:rsidRDefault="00B17E06" w:rsidP="00F92F84">
      <w:pPr>
        <w:pStyle w:val="PargrafodaLista"/>
        <w:numPr>
          <w:ilvl w:val="0"/>
          <w:numId w:val="5"/>
        </w:numPr>
        <w:spacing w:line="480" w:lineRule="auto"/>
        <w:ind w:firstLine="709"/>
        <w:jc w:val="both"/>
        <w:rPr>
          <w:rFonts w:ascii="Arial" w:hAnsi="Arial" w:cs="Arial"/>
          <w:sz w:val="24"/>
          <w:szCs w:val="24"/>
        </w:rPr>
      </w:pPr>
      <w:r w:rsidRPr="00B37406">
        <w:rPr>
          <w:rFonts w:ascii="Arial" w:hAnsi="Arial" w:cs="Arial"/>
          <w:sz w:val="24"/>
          <w:szCs w:val="24"/>
        </w:rPr>
        <w:t xml:space="preserve">Porcentagem do total de cada doença – este dado representa o quanto de uma determinada doença aparece em cada mês, durante todo o período selecionado </w:t>
      </w:r>
    </w:p>
    <w:p w14:paraId="67921D07" w14:textId="77777777" w:rsidR="00B17E06" w:rsidRPr="00B37406" w:rsidRDefault="00B17E06" w:rsidP="00F92F84">
      <w:pPr>
        <w:spacing w:line="480" w:lineRule="auto"/>
        <w:ind w:firstLine="709"/>
        <w:jc w:val="both"/>
        <w:rPr>
          <w:rFonts w:ascii="Arial" w:hAnsi="Arial" w:cs="Arial"/>
          <w:sz w:val="24"/>
          <w:szCs w:val="24"/>
        </w:rPr>
      </w:pPr>
    </w:p>
    <w:p w14:paraId="6B7091EC" w14:textId="77777777" w:rsidR="00B17E06" w:rsidRPr="00B37406" w:rsidRDefault="00B17E06" w:rsidP="00F92F84">
      <w:pPr>
        <w:spacing w:line="480" w:lineRule="auto"/>
        <w:ind w:firstLine="709"/>
        <w:rPr>
          <w:rFonts w:ascii="Arial" w:hAnsi="Arial" w:cs="Arial"/>
          <w:sz w:val="24"/>
          <w:szCs w:val="24"/>
        </w:rPr>
      </w:pPr>
      <w:proofErr w:type="spellStart"/>
      <w:r w:rsidRPr="00B37406">
        <w:rPr>
          <w:rFonts w:ascii="Arial" w:hAnsi="Arial" w:cs="Arial"/>
          <w:sz w:val="24"/>
          <w:szCs w:val="24"/>
        </w:rPr>
        <w:t>V</w:t>
      </w:r>
      <w:r w:rsidRPr="00B37406">
        <w:rPr>
          <w:rFonts w:ascii="Arial" w:hAnsi="Arial" w:cs="Arial"/>
          <w:sz w:val="18"/>
          <w:szCs w:val="18"/>
        </w:rPr>
        <w:t>m</w:t>
      </w:r>
      <w:proofErr w:type="spellEnd"/>
      <w:r w:rsidRPr="00B37406">
        <w:rPr>
          <w:rFonts w:ascii="Arial" w:hAnsi="Arial" w:cs="Arial"/>
          <w:sz w:val="18"/>
          <w:szCs w:val="18"/>
        </w:rPr>
        <w:t xml:space="preserve"> </w:t>
      </w:r>
      <w:r w:rsidRPr="00B37406">
        <w:rPr>
          <w:rFonts w:ascii="Arial" w:hAnsi="Arial" w:cs="Arial"/>
          <w:sz w:val="24"/>
          <w:szCs w:val="24"/>
        </w:rPr>
        <w:t xml:space="preserve">– Valor do mês selecionado </w:t>
      </w:r>
    </w:p>
    <w:p w14:paraId="589AF8A7" w14:textId="3039DB9A" w:rsidR="00B17E06" w:rsidRPr="00B37406" w:rsidRDefault="00B17E06" w:rsidP="00F92F84">
      <w:pPr>
        <w:spacing w:line="480" w:lineRule="auto"/>
        <w:ind w:firstLine="709"/>
        <w:rPr>
          <w:rFonts w:ascii="Arial" w:hAnsi="Arial" w:cs="Arial"/>
          <w:sz w:val="24"/>
          <w:szCs w:val="24"/>
        </w:rPr>
      </w:pPr>
      <w:proofErr w:type="spellStart"/>
      <w:r w:rsidRPr="00B37406">
        <w:rPr>
          <w:rFonts w:ascii="Arial" w:hAnsi="Arial" w:cs="Arial"/>
          <w:sz w:val="24"/>
          <w:szCs w:val="24"/>
        </w:rPr>
        <w:t>V</w:t>
      </w:r>
      <w:r w:rsidRPr="00B37406">
        <w:rPr>
          <w:rFonts w:ascii="Arial" w:hAnsi="Arial" w:cs="Arial"/>
          <w:sz w:val="18"/>
          <w:szCs w:val="18"/>
        </w:rPr>
        <w:t>p</w:t>
      </w:r>
      <w:proofErr w:type="spellEnd"/>
      <w:r w:rsidRPr="00B37406">
        <w:rPr>
          <w:rFonts w:ascii="Arial" w:hAnsi="Arial" w:cs="Arial"/>
          <w:sz w:val="18"/>
          <w:szCs w:val="18"/>
        </w:rPr>
        <w:t xml:space="preserve"> </w:t>
      </w:r>
      <w:r w:rsidRPr="00B37406">
        <w:rPr>
          <w:rFonts w:ascii="Arial" w:hAnsi="Arial" w:cs="Arial"/>
          <w:sz w:val="24"/>
          <w:szCs w:val="24"/>
        </w:rPr>
        <w:t>- Porcentagem de quanto o valor do mês representa no Valor total</w:t>
      </w:r>
    </w:p>
    <w:p w14:paraId="1C9945DD" w14:textId="3BE21FF2" w:rsidR="00B17E06" w:rsidRPr="00B37406" w:rsidRDefault="00B17E06" w:rsidP="00016BCB">
      <w:pPr>
        <w:spacing w:line="480" w:lineRule="auto"/>
        <w:ind w:firstLine="709"/>
        <w:rPr>
          <w:rFonts w:ascii="Arial" w:hAnsi="Arial" w:cs="Arial"/>
          <w:sz w:val="24"/>
          <w:szCs w:val="24"/>
        </w:rPr>
      </w:pPr>
      <w:proofErr w:type="spellStart"/>
      <w:r w:rsidRPr="00B37406">
        <w:rPr>
          <w:rFonts w:ascii="Arial" w:hAnsi="Arial" w:cs="Arial"/>
          <w:sz w:val="24"/>
          <w:szCs w:val="24"/>
        </w:rPr>
        <w:t>V</w:t>
      </w:r>
      <w:r w:rsidRPr="00B37406">
        <w:rPr>
          <w:rFonts w:ascii="Arial" w:hAnsi="Arial" w:cs="Arial"/>
          <w:sz w:val="18"/>
          <w:szCs w:val="18"/>
        </w:rPr>
        <w:t>t</w:t>
      </w:r>
      <w:r w:rsidRPr="00B37406">
        <w:rPr>
          <w:rFonts w:ascii="Arial" w:hAnsi="Arial" w:cs="Arial"/>
          <w:sz w:val="20"/>
          <w:szCs w:val="20"/>
        </w:rPr>
        <w:t>otal</w:t>
      </w:r>
      <w:proofErr w:type="spellEnd"/>
      <w:r w:rsidRPr="00B37406">
        <w:rPr>
          <w:rFonts w:ascii="Arial" w:hAnsi="Arial" w:cs="Arial"/>
          <w:sz w:val="18"/>
          <w:szCs w:val="18"/>
        </w:rPr>
        <w:t xml:space="preserve"> </w:t>
      </w:r>
      <w:r w:rsidRPr="00B37406">
        <w:rPr>
          <w:rFonts w:ascii="Arial" w:hAnsi="Arial" w:cs="Arial"/>
          <w:sz w:val="24"/>
          <w:szCs w:val="24"/>
        </w:rPr>
        <w:t>– Soma de todos os meses no período selecionado</w:t>
      </w:r>
    </w:p>
    <w:p w14:paraId="20D3731F" w14:textId="77777777" w:rsidR="00016BCB" w:rsidRPr="00B37406" w:rsidRDefault="00016BCB" w:rsidP="00016BCB">
      <w:pPr>
        <w:spacing w:line="480" w:lineRule="auto"/>
        <w:ind w:firstLine="709"/>
        <w:jc w:val="center"/>
        <w:rPr>
          <w:rFonts w:ascii="Arial" w:hAnsi="Arial" w:cs="Arial"/>
          <w:sz w:val="24"/>
          <w:szCs w:val="24"/>
        </w:rPr>
      </w:pPr>
    </w:p>
    <w:p w14:paraId="604DD6CD" w14:textId="6AF431CB" w:rsidR="00B17E06" w:rsidRPr="00B37406" w:rsidRDefault="00B17E06" w:rsidP="00016BCB">
      <w:pPr>
        <w:spacing w:line="480" w:lineRule="auto"/>
        <w:ind w:firstLine="709"/>
        <w:jc w:val="center"/>
        <w:rPr>
          <w:rFonts w:ascii="Arial" w:hAnsi="Arial" w:cs="Arial"/>
          <w:sz w:val="18"/>
          <w:szCs w:val="18"/>
        </w:rPr>
      </w:pPr>
      <w:proofErr w:type="spellStart"/>
      <w:r w:rsidRPr="00B37406">
        <w:rPr>
          <w:rFonts w:ascii="Arial" w:hAnsi="Arial" w:cs="Arial"/>
          <w:sz w:val="24"/>
          <w:szCs w:val="24"/>
        </w:rPr>
        <w:t>V</w:t>
      </w:r>
      <w:r w:rsidRPr="00B37406">
        <w:rPr>
          <w:rFonts w:ascii="Arial" w:hAnsi="Arial" w:cs="Arial"/>
          <w:sz w:val="18"/>
          <w:szCs w:val="18"/>
        </w:rPr>
        <w:t>m</w:t>
      </w:r>
      <w:proofErr w:type="spellEnd"/>
      <w:r w:rsidRPr="00B37406">
        <w:rPr>
          <w:rFonts w:ascii="Arial" w:hAnsi="Arial" w:cs="Arial"/>
          <w:sz w:val="24"/>
          <w:szCs w:val="24"/>
        </w:rPr>
        <w:t>/</w:t>
      </w:r>
      <w:proofErr w:type="spellStart"/>
      <w:r w:rsidRPr="00B37406">
        <w:rPr>
          <w:rFonts w:ascii="Arial" w:hAnsi="Arial" w:cs="Arial"/>
          <w:sz w:val="24"/>
          <w:szCs w:val="24"/>
        </w:rPr>
        <w:t>V</w:t>
      </w:r>
      <w:r w:rsidRPr="00B37406">
        <w:rPr>
          <w:rFonts w:ascii="Arial" w:hAnsi="Arial" w:cs="Arial"/>
          <w:sz w:val="18"/>
          <w:szCs w:val="18"/>
        </w:rPr>
        <w:t>t</w:t>
      </w:r>
      <w:r w:rsidRPr="00B37406">
        <w:rPr>
          <w:rFonts w:ascii="Arial" w:hAnsi="Arial" w:cs="Arial"/>
          <w:sz w:val="20"/>
          <w:szCs w:val="20"/>
        </w:rPr>
        <w:t>otal</w:t>
      </w:r>
      <w:proofErr w:type="spellEnd"/>
      <w:r w:rsidRPr="00B37406">
        <w:rPr>
          <w:rFonts w:ascii="Arial" w:hAnsi="Arial" w:cs="Arial"/>
          <w:sz w:val="20"/>
          <w:szCs w:val="20"/>
        </w:rPr>
        <w:t xml:space="preserve"> </w:t>
      </w:r>
      <w:r w:rsidRPr="00B37406">
        <w:rPr>
          <w:rFonts w:ascii="Arial" w:hAnsi="Arial" w:cs="Arial"/>
          <w:sz w:val="24"/>
          <w:szCs w:val="24"/>
        </w:rPr>
        <w:t xml:space="preserve">= </w:t>
      </w:r>
      <w:proofErr w:type="spellStart"/>
      <w:r w:rsidRPr="00B37406">
        <w:rPr>
          <w:rFonts w:ascii="Arial" w:hAnsi="Arial" w:cs="Arial"/>
          <w:sz w:val="24"/>
          <w:szCs w:val="24"/>
        </w:rPr>
        <w:t>V</w:t>
      </w:r>
      <w:r w:rsidRPr="00B37406">
        <w:rPr>
          <w:rFonts w:ascii="Arial" w:hAnsi="Arial" w:cs="Arial"/>
          <w:sz w:val="18"/>
          <w:szCs w:val="18"/>
        </w:rPr>
        <w:t>p</w:t>
      </w:r>
      <w:proofErr w:type="spellEnd"/>
    </w:p>
    <w:p w14:paraId="3527282A" w14:textId="77777777" w:rsidR="00016BCB" w:rsidRPr="00B37406" w:rsidRDefault="00016BCB" w:rsidP="00016BCB">
      <w:pPr>
        <w:spacing w:line="480" w:lineRule="auto"/>
        <w:ind w:firstLine="709"/>
        <w:jc w:val="center"/>
        <w:rPr>
          <w:rFonts w:ascii="Arial" w:hAnsi="Arial" w:cs="Arial"/>
          <w:sz w:val="24"/>
          <w:szCs w:val="24"/>
        </w:rPr>
      </w:pPr>
    </w:p>
    <w:p w14:paraId="332936E7" w14:textId="0C9CEC0A" w:rsidR="00B17E06" w:rsidRPr="00B37406" w:rsidRDefault="00F92F84" w:rsidP="00016BCB">
      <w:pPr>
        <w:pStyle w:val="PargrafodaLista"/>
        <w:numPr>
          <w:ilvl w:val="0"/>
          <w:numId w:val="5"/>
        </w:numPr>
        <w:spacing w:line="480" w:lineRule="auto"/>
        <w:jc w:val="both"/>
        <w:rPr>
          <w:rFonts w:ascii="Arial" w:hAnsi="Arial" w:cs="Arial"/>
          <w:sz w:val="24"/>
          <w:szCs w:val="24"/>
        </w:rPr>
      </w:pPr>
      <w:r w:rsidRPr="00B37406">
        <w:rPr>
          <w:rFonts w:ascii="Arial" w:hAnsi="Arial" w:cs="Arial"/>
          <w:sz w:val="24"/>
          <w:szCs w:val="24"/>
        </w:rPr>
        <w:t xml:space="preserve"> </w:t>
      </w:r>
      <w:r w:rsidR="00B17E06" w:rsidRPr="00B37406">
        <w:rPr>
          <w:rFonts w:ascii="Arial" w:hAnsi="Arial" w:cs="Arial"/>
          <w:sz w:val="24"/>
          <w:szCs w:val="24"/>
        </w:rPr>
        <w:t>Variação de cada doença pelos dois períodos escolhidos – a informação apresentada, representa em porcentagem, o quanto o período atual aumentou ou diminuiu, de acordo com o período anterior. Sendo o resultado negativo, um sinal de diminuição e um resultado positivo caso os valores tenham aumentado.</w:t>
      </w:r>
    </w:p>
    <w:p w14:paraId="7B17E571" w14:textId="77777777" w:rsidR="00016BCB" w:rsidRPr="00B37406" w:rsidRDefault="00016BCB" w:rsidP="00016BCB">
      <w:pPr>
        <w:pStyle w:val="PargrafodaLista"/>
        <w:spacing w:line="480" w:lineRule="auto"/>
        <w:ind w:left="709"/>
        <w:jc w:val="both"/>
        <w:rPr>
          <w:rFonts w:ascii="Arial" w:hAnsi="Arial" w:cs="Arial"/>
          <w:sz w:val="24"/>
          <w:szCs w:val="24"/>
        </w:rPr>
      </w:pPr>
    </w:p>
    <w:p w14:paraId="4F2C1203" w14:textId="77777777" w:rsidR="00B17E06" w:rsidRPr="00B37406" w:rsidRDefault="00B17E06" w:rsidP="00F92F84">
      <w:pPr>
        <w:spacing w:line="480" w:lineRule="auto"/>
        <w:ind w:firstLine="709"/>
        <w:rPr>
          <w:rFonts w:ascii="Arial" w:hAnsi="Arial" w:cs="Arial"/>
          <w:sz w:val="24"/>
          <w:szCs w:val="24"/>
        </w:rPr>
      </w:pPr>
      <w:r w:rsidRPr="00B37406">
        <w:rPr>
          <w:rFonts w:ascii="Arial" w:hAnsi="Arial" w:cs="Arial"/>
          <w:sz w:val="24"/>
          <w:szCs w:val="24"/>
        </w:rPr>
        <w:t>V</w:t>
      </w:r>
      <w:r w:rsidRPr="00B37406">
        <w:rPr>
          <w:rFonts w:ascii="Arial" w:hAnsi="Arial" w:cs="Arial"/>
          <w:sz w:val="18"/>
          <w:szCs w:val="18"/>
        </w:rPr>
        <w:t xml:space="preserve">i </w:t>
      </w:r>
      <w:r w:rsidRPr="00B37406">
        <w:rPr>
          <w:rFonts w:ascii="Arial" w:hAnsi="Arial" w:cs="Arial"/>
          <w:sz w:val="24"/>
          <w:szCs w:val="24"/>
        </w:rPr>
        <w:t>– Valor anterior a pandemia</w:t>
      </w:r>
    </w:p>
    <w:p w14:paraId="68BBCB9D" w14:textId="0CD70725" w:rsidR="00B17E06" w:rsidRPr="00B37406" w:rsidRDefault="00B17E06" w:rsidP="00F92F84">
      <w:pPr>
        <w:spacing w:line="480" w:lineRule="auto"/>
        <w:ind w:firstLine="709"/>
        <w:rPr>
          <w:rFonts w:ascii="Arial" w:hAnsi="Arial" w:cs="Arial"/>
          <w:sz w:val="24"/>
          <w:szCs w:val="24"/>
        </w:rPr>
      </w:pPr>
      <w:proofErr w:type="spellStart"/>
      <w:r w:rsidRPr="00B37406">
        <w:rPr>
          <w:rFonts w:ascii="Arial" w:hAnsi="Arial" w:cs="Arial"/>
          <w:sz w:val="24"/>
          <w:szCs w:val="24"/>
        </w:rPr>
        <w:lastRenderedPageBreak/>
        <w:t>V</w:t>
      </w:r>
      <w:r w:rsidRPr="00B37406">
        <w:rPr>
          <w:rFonts w:ascii="Arial" w:hAnsi="Arial" w:cs="Arial"/>
          <w:sz w:val="18"/>
          <w:szCs w:val="18"/>
        </w:rPr>
        <w:t>f</w:t>
      </w:r>
      <w:proofErr w:type="spellEnd"/>
      <w:r w:rsidRPr="00B37406">
        <w:rPr>
          <w:rFonts w:ascii="Arial" w:hAnsi="Arial" w:cs="Arial"/>
          <w:sz w:val="18"/>
          <w:szCs w:val="18"/>
        </w:rPr>
        <w:t xml:space="preserve"> </w:t>
      </w:r>
      <w:r w:rsidRPr="00B37406">
        <w:rPr>
          <w:rFonts w:ascii="Arial" w:hAnsi="Arial" w:cs="Arial"/>
          <w:sz w:val="24"/>
          <w:szCs w:val="24"/>
        </w:rPr>
        <w:t>- Valor durante a pandemia</w:t>
      </w:r>
    </w:p>
    <w:p w14:paraId="7DE90FA1" w14:textId="1A2CA01A" w:rsidR="00B17E06" w:rsidRPr="00B37406" w:rsidRDefault="00B17E06" w:rsidP="00016BCB">
      <w:pPr>
        <w:spacing w:line="480" w:lineRule="auto"/>
        <w:ind w:firstLine="709"/>
        <w:rPr>
          <w:rFonts w:ascii="Arial" w:hAnsi="Arial" w:cs="Arial"/>
          <w:sz w:val="24"/>
          <w:szCs w:val="24"/>
        </w:rPr>
      </w:pPr>
      <w:r w:rsidRPr="00B37406">
        <w:rPr>
          <w:rFonts w:ascii="Arial" w:hAnsi="Arial" w:cs="Arial"/>
          <w:sz w:val="24"/>
          <w:szCs w:val="24"/>
        </w:rPr>
        <w:t>V</w:t>
      </w:r>
      <w:r w:rsidRPr="00B37406">
        <w:rPr>
          <w:rFonts w:ascii="Arial" w:hAnsi="Arial" w:cs="Arial"/>
          <w:sz w:val="18"/>
          <w:szCs w:val="18"/>
        </w:rPr>
        <w:t xml:space="preserve"> </w:t>
      </w:r>
      <w:r w:rsidRPr="00B37406">
        <w:rPr>
          <w:rFonts w:ascii="Arial" w:hAnsi="Arial" w:cs="Arial"/>
          <w:sz w:val="24"/>
          <w:szCs w:val="24"/>
        </w:rPr>
        <w:t>– Variação em porcentagem de quantas vezes aumentou ou diminui um determinado período</w:t>
      </w:r>
    </w:p>
    <w:p w14:paraId="3D06CE34" w14:textId="77777777" w:rsidR="00016BCB" w:rsidRPr="00B37406" w:rsidRDefault="00016BCB" w:rsidP="00016BCB">
      <w:pPr>
        <w:spacing w:line="480" w:lineRule="auto"/>
        <w:ind w:firstLine="709"/>
        <w:rPr>
          <w:rFonts w:ascii="Arial" w:hAnsi="Arial" w:cs="Arial"/>
          <w:sz w:val="40"/>
          <w:szCs w:val="40"/>
        </w:rPr>
      </w:pPr>
    </w:p>
    <w:p w14:paraId="3770216A" w14:textId="14DB37B3" w:rsidR="00B17E06" w:rsidRPr="00B37406" w:rsidRDefault="00B17E06" w:rsidP="00016BCB">
      <w:pPr>
        <w:spacing w:line="480" w:lineRule="auto"/>
        <w:ind w:firstLine="709"/>
        <w:jc w:val="center"/>
        <w:rPr>
          <w:rFonts w:ascii="Arial" w:hAnsi="Arial" w:cs="Arial"/>
          <w:sz w:val="24"/>
          <w:szCs w:val="24"/>
        </w:rPr>
      </w:pPr>
      <w:r w:rsidRPr="00B37406">
        <w:rPr>
          <w:rFonts w:ascii="Arial" w:hAnsi="Arial" w:cs="Arial"/>
          <w:sz w:val="24"/>
          <w:szCs w:val="24"/>
        </w:rPr>
        <w:t>((</w:t>
      </w:r>
      <w:proofErr w:type="spellStart"/>
      <w:r w:rsidRPr="00B37406">
        <w:rPr>
          <w:rFonts w:ascii="Arial" w:hAnsi="Arial" w:cs="Arial"/>
          <w:sz w:val="24"/>
          <w:szCs w:val="24"/>
        </w:rPr>
        <w:t>V</w:t>
      </w:r>
      <w:r w:rsidRPr="00B37406">
        <w:rPr>
          <w:rFonts w:ascii="Arial" w:hAnsi="Arial" w:cs="Arial"/>
          <w:sz w:val="18"/>
          <w:szCs w:val="18"/>
        </w:rPr>
        <w:t>f</w:t>
      </w:r>
      <w:proofErr w:type="spellEnd"/>
      <w:r w:rsidRPr="00B37406">
        <w:rPr>
          <w:rFonts w:ascii="Arial" w:hAnsi="Arial" w:cs="Arial"/>
          <w:sz w:val="24"/>
          <w:szCs w:val="24"/>
        </w:rPr>
        <w:t>/</w:t>
      </w:r>
      <w:proofErr w:type="gramStart"/>
      <w:r w:rsidRPr="00B37406">
        <w:rPr>
          <w:rFonts w:ascii="Arial" w:hAnsi="Arial" w:cs="Arial"/>
          <w:sz w:val="24"/>
          <w:szCs w:val="24"/>
        </w:rPr>
        <w:t>V</w:t>
      </w:r>
      <w:r w:rsidRPr="00B37406">
        <w:rPr>
          <w:rFonts w:ascii="Arial" w:hAnsi="Arial" w:cs="Arial"/>
          <w:sz w:val="18"/>
          <w:szCs w:val="18"/>
        </w:rPr>
        <w:t>i</w:t>
      </w:r>
      <w:r w:rsidRPr="00B37406">
        <w:rPr>
          <w:rFonts w:ascii="Arial" w:hAnsi="Arial" w:cs="Arial"/>
          <w:sz w:val="24"/>
          <w:szCs w:val="24"/>
        </w:rPr>
        <w:t>)-</w:t>
      </w:r>
      <w:proofErr w:type="gramEnd"/>
      <w:r w:rsidRPr="00B37406">
        <w:rPr>
          <w:rFonts w:ascii="Arial" w:hAnsi="Arial" w:cs="Arial"/>
          <w:sz w:val="24"/>
          <w:szCs w:val="24"/>
        </w:rPr>
        <w:t>1)*100 = V</w:t>
      </w:r>
    </w:p>
    <w:p w14:paraId="38F49609" w14:textId="77777777" w:rsidR="00016BCB" w:rsidRPr="00B37406" w:rsidRDefault="00016BCB" w:rsidP="00016BCB">
      <w:pPr>
        <w:spacing w:line="480" w:lineRule="auto"/>
        <w:ind w:firstLine="709"/>
        <w:jc w:val="center"/>
        <w:rPr>
          <w:rFonts w:ascii="Arial" w:hAnsi="Arial" w:cs="Arial"/>
          <w:sz w:val="24"/>
          <w:szCs w:val="24"/>
        </w:rPr>
      </w:pPr>
    </w:p>
    <w:p w14:paraId="63BE9E85" w14:textId="2EAB00C6" w:rsidR="00B17E06" w:rsidRDefault="00B17E06" w:rsidP="00F92F84">
      <w:pPr>
        <w:pStyle w:val="NormalWeb"/>
        <w:spacing w:before="240" w:beforeAutospacing="0" w:after="240" w:afterAutospacing="0" w:line="480" w:lineRule="auto"/>
        <w:ind w:firstLine="709"/>
        <w:jc w:val="both"/>
        <w:rPr>
          <w:rFonts w:ascii="Arial" w:hAnsi="Arial" w:cs="Arial"/>
          <w:b/>
          <w:bCs/>
          <w:color w:val="FF0000"/>
        </w:rPr>
      </w:pPr>
      <w:r w:rsidRPr="00B37406">
        <w:rPr>
          <w:rFonts w:ascii="Arial" w:hAnsi="Arial" w:cs="Arial"/>
          <w:b/>
          <w:bCs/>
          <w:color w:val="FF0000"/>
        </w:rPr>
        <w:t>CEP – Plataforma Brasil</w:t>
      </w:r>
    </w:p>
    <w:p w14:paraId="71496E63" w14:textId="7F87A89D" w:rsidR="001E1F97" w:rsidRDefault="001E1F97" w:rsidP="00F92F84">
      <w:pPr>
        <w:pStyle w:val="NormalWeb"/>
        <w:spacing w:before="240" w:beforeAutospacing="0" w:after="240" w:afterAutospacing="0" w:line="480" w:lineRule="auto"/>
        <w:ind w:firstLine="709"/>
        <w:jc w:val="both"/>
        <w:rPr>
          <w:rFonts w:ascii="Arial" w:hAnsi="Arial" w:cs="Arial"/>
          <w:b/>
          <w:bCs/>
          <w:color w:val="FF0000"/>
        </w:rPr>
      </w:pPr>
      <w:r>
        <w:rPr>
          <w:rFonts w:ascii="Arial" w:hAnsi="Arial" w:cs="Arial"/>
          <w:b/>
          <w:bCs/>
          <w:color w:val="FF0000"/>
        </w:rPr>
        <w:t xml:space="preserve">A </w:t>
      </w:r>
      <w:proofErr w:type="spellStart"/>
      <w:r>
        <w:rPr>
          <w:rFonts w:ascii="Arial" w:hAnsi="Arial" w:cs="Arial"/>
          <w:b/>
          <w:bCs/>
          <w:color w:val="FF0000"/>
        </w:rPr>
        <w:t>incruir</w:t>
      </w:r>
      <w:proofErr w:type="spellEnd"/>
    </w:p>
    <w:p w14:paraId="166318CD" w14:textId="77777777" w:rsidR="001E24C5" w:rsidRPr="00B37406" w:rsidRDefault="001E24C5" w:rsidP="00F92F84">
      <w:pPr>
        <w:pStyle w:val="NormalWeb"/>
        <w:spacing w:before="240" w:beforeAutospacing="0" w:after="240" w:afterAutospacing="0" w:line="480" w:lineRule="auto"/>
        <w:ind w:firstLine="709"/>
        <w:jc w:val="both"/>
        <w:rPr>
          <w:color w:val="FF0000"/>
        </w:rPr>
      </w:pPr>
    </w:p>
    <w:p w14:paraId="2DAD6264" w14:textId="6A0C73CB" w:rsidR="00703EDE" w:rsidRPr="00B37406" w:rsidRDefault="00703EDE" w:rsidP="00F92F84">
      <w:pPr>
        <w:spacing w:line="480" w:lineRule="auto"/>
        <w:ind w:firstLine="709"/>
        <w:rPr>
          <w:rFonts w:ascii="Arial" w:hAnsi="Arial" w:cs="Arial"/>
          <w:b/>
          <w:bCs/>
          <w:sz w:val="24"/>
          <w:szCs w:val="24"/>
        </w:rPr>
      </w:pPr>
      <w:r w:rsidRPr="00B37406">
        <w:rPr>
          <w:rFonts w:ascii="Arial" w:hAnsi="Arial" w:cs="Arial"/>
          <w:b/>
          <w:bCs/>
          <w:sz w:val="24"/>
          <w:szCs w:val="24"/>
        </w:rPr>
        <w:br w:type="page"/>
      </w:r>
    </w:p>
    <w:p w14:paraId="7DAF44B9" w14:textId="172DF9BA" w:rsidR="006E6A4B" w:rsidRPr="002A6C5D" w:rsidRDefault="00D71080" w:rsidP="00F92F84">
      <w:pPr>
        <w:spacing w:line="480" w:lineRule="auto"/>
        <w:ind w:firstLine="709"/>
        <w:jc w:val="both"/>
        <w:rPr>
          <w:rFonts w:ascii="Arial" w:hAnsi="Arial" w:cs="Arial"/>
          <w:b/>
          <w:bCs/>
          <w:sz w:val="24"/>
          <w:szCs w:val="24"/>
        </w:rPr>
      </w:pPr>
      <w:r w:rsidRPr="00B37406">
        <w:rPr>
          <w:rFonts w:ascii="Arial" w:hAnsi="Arial" w:cs="Arial"/>
          <w:b/>
          <w:bCs/>
          <w:sz w:val="24"/>
          <w:szCs w:val="24"/>
        </w:rPr>
        <w:lastRenderedPageBreak/>
        <w:t xml:space="preserve"> </w:t>
      </w:r>
      <w:r w:rsidR="00152783" w:rsidRPr="002A6C5D">
        <w:rPr>
          <w:rFonts w:ascii="Arial" w:hAnsi="Arial" w:cs="Arial"/>
          <w:b/>
          <w:bCs/>
          <w:sz w:val="24"/>
          <w:szCs w:val="24"/>
        </w:rPr>
        <w:t>Resultados</w:t>
      </w:r>
    </w:p>
    <w:p w14:paraId="3F755CCE" w14:textId="77777777" w:rsidR="00B37406" w:rsidRPr="002A6C5D" w:rsidRDefault="0018701C" w:rsidP="00B37406">
      <w:pPr>
        <w:pStyle w:val="NormalWeb"/>
        <w:spacing w:before="240" w:beforeAutospacing="0" w:after="240" w:afterAutospacing="0" w:line="480" w:lineRule="auto"/>
        <w:ind w:firstLine="700"/>
        <w:jc w:val="both"/>
        <w:rPr>
          <w:sz w:val="36"/>
          <w:szCs w:val="36"/>
        </w:rPr>
      </w:pPr>
      <w:r w:rsidRPr="002A6C5D">
        <w:rPr>
          <w:rFonts w:ascii="Arial" w:hAnsi="Arial" w:cs="Arial"/>
          <w:b/>
          <w:bCs/>
          <w:sz w:val="36"/>
          <w:szCs w:val="36"/>
        </w:rPr>
        <w:tab/>
      </w:r>
      <w:r w:rsidR="00B37406" w:rsidRPr="002A6C5D">
        <w:rPr>
          <w:rFonts w:ascii="Arial" w:hAnsi="Arial" w:cs="Arial"/>
          <w:color w:val="000000"/>
        </w:rPr>
        <w:t>Nesta pesquisa, foram analisados dados de internação durante o período de pandemia por COVID- 19 e durante o período anterior, em busca de uma referência para construir uma visão crítica das informações coletadas do SUS. Essas informações são organizadas em 21 categorias de CID por mês, para as seguintes informações: Internação, Valor total, Número de óbitos e Taxa de mortalidade.</w:t>
      </w:r>
    </w:p>
    <w:p w14:paraId="3AA62A1F" w14:textId="14761578" w:rsidR="00D71080" w:rsidRPr="007A63A4" w:rsidRDefault="00D71080" w:rsidP="00F92F84">
      <w:pPr>
        <w:spacing w:line="480" w:lineRule="auto"/>
        <w:ind w:firstLine="709"/>
        <w:jc w:val="both"/>
        <w:rPr>
          <w:rFonts w:ascii="Arial" w:hAnsi="Arial" w:cs="Arial"/>
          <w:sz w:val="24"/>
          <w:szCs w:val="24"/>
          <w:highlight w:val="yellow"/>
        </w:rPr>
      </w:pPr>
    </w:p>
    <w:p w14:paraId="304EF5AF" w14:textId="26815F5E" w:rsidR="00C23403" w:rsidRPr="002A6C5D" w:rsidRDefault="00C23403" w:rsidP="00F92F84">
      <w:pPr>
        <w:spacing w:line="480" w:lineRule="auto"/>
        <w:ind w:firstLine="709"/>
        <w:jc w:val="both"/>
        <w:rPr>
          <w:rFonts w:ascii="Arial" w:hAnsi="Arial" w:cs="Arial"/>
          <w:b/>
          <w:bCs/>
          <w:sz w:val="24"/>
          <w:szCs w:val="24"/>
        </w:rPr>
      </w:pPr>
      <w:r w:rsidRPr="002A6C5D">
        <w:rPr>
          <w:rFonts w:ascii="Arial" w:hAnsi="Arial" w:cs="Arial"/>
          <w:b/>
          <w:bCs/>
          <w:sz w:val="24"/>
          <w:szCs w:val="24"/>
        </w:rPr>
        <w:t>Internação</w:t>
      </w:r>
    </w:p>
    <w:p w14:paraId="4C346247" w14:textId="7B27A535" w:rsidR="00C23403" w:rsidRPr="002A6C5D" w:rsidRDefault="00C23403" w:rsidP="00F92F84">
      <w:pPr>
        <w:pStyle w:val="PargrafodaLista"/>
        <w:spacing w:line="480" w:lineRule="auto"/>
        <w:ind w:left="0" w:firstLine="709"/>
        <w:jc w:val="both"/>
        <w:rPr>
          <w:rFonts w:ascii="Arial" w:hAnsi="Arial" w:cs="Arial"/>
          <w:sz w:val="24"/>
          <w:szCs w:val="24"/>
        </w:rPr>
      </w:pPr>
      <w:r w:rsidRPr="002A6C5D">
        <w:rPr>
          <w:rFonts w:ascii="Arial" w:hAnsi="Arial" w:cs="Arial"/>
          <w:sz w:val="24"/>
          <w:szCs w:val="24"/>
        </w:rPr>
        <w:t xml:space="preserve">Os dados colhidos sobre a quantidade de internações, mostram uma enorme quantidade de internações, tendo valores extremos muito grandes, tendo como variação de 1.000 a </w:t>
      </w:r>
      <w:r w:rsidR="002A6C5D" w:rsidRPr="002A6C5D">
        <w:rPr>
          <w:rFonts w:ascii="Arial" w:hAnsi="Arial" w:cs="Arial"/>
          <w:sz w:val="24"/>
          <w:szCs w:val="24"/>
        </w:rPr>
        <w:t>5</w:t>
      </w:r>
      <w:r w:rsidRPr="002A6C5D">
        <w:rPr>
          <w:rFonts w:ascii="Arial" w:hAnsi="Arial" w:cs="Arial"/>
          <w:sz w:val="24"/>
          <w:szCs w:val="24"/>
        </w:rPr>
        <w:t>00.000 pacientes internados durante todo o período selecionado. Em termos de porcentagem no total de internações pelo capítulo do CID, temos uma variação de 5% a 10%.</w:t>
      </w:r>
    </w:p>
    <w:p w14:paraId="5DD944AA" w14:textId="77777777" w:rsidR="002A6C5D" w:rsidRPr="002A6C5D" w:rsidRDefault="002A6C5D" w:rsidP="002A6C5D">
      <w:pPr>
        <w:spacing w:line="480" w:lineRule="auto"/>
        <w:jc w:val="both"/>
        <w:rPr>
          <w:rFonts w:ascii="Arial" w:hAnsi="Arial" w:cs="Arial"/>
          <w:sz w:val="24"/>
          <w:szCs w:val="24"/>
        </w:rPr>
      </w:pPr>
    </w:p>
    <w:tbl>
      <w:tblPr>
        <w:tblpPr w:leftFromText="141" w:rightFromText="141" w:vertAnchor="text" w:horzAnchor="margin" w:tblpXSpec="center" w:tblpY="864"/>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50"/>
        <w:gridCol w:w="2694"/>
        <w:gridCol w:w="2693"/>
        <w:gridCol w:w="2507"/>
      </w:tblGrid>
      <w:tr w:rsidR="001E1F97" w:rsidRPr="002A6C5D" w14:paraId="5E1308F0" w14:textId="77777777" w:rsidTr="001E1F97">
        <w:trPr>
          <w:trHeight w:val="300"/>
        </w:trPr>
        <w:tc>
          <w:tcPr>
            <w:tcW w:w="9171" w:type="dxa"/>
            <w:gridSpan w:val="4"/>
            <w:tcBorders>
              <w:top w:val="nil"/>
              <w:left w:val="nil"/>
              <w:right w:val="nil"/>
            </w:tcBorders>
            <w:shd w:val="clear" w:color="auto" w:fill="auto"/>
            <w:noWrap/>
            <w:vAlign w:val="bottom"/>
          </w:tcPr>
          <w:p w14:paraId="4F85E0EF" w14:textId="62623A0B" w:rsidR="001E1F97" w:rsidRPr="002A6C5D" w:rsidRDefault="001E1F97" w:rsidP="001E1F97">
            <w:pPr>
              <w:spacing w:after="0" w:line="240" w:lineRule="auto"/>
              <w:rPr>
                <w:rFonts w:ascii="Calibri" w:eastAsia="Times New Roman" w:hAnsi="Calibri" w:cs="Calibri"/>
                <w:color w:val="000000"/>
              </w:rPr>
            </w:pPr>
            <w:r w:rsidRPr="002A6C5D">
              <w:rPr>
                <w:rFonts w:ascii="Calibri" w:eastAsia="Times New Roman" w:hAnsi="Calibri" w:cs="Calibri"/>
                <w:color w:val="000000"/>
              </w:rPr>
              <w:t xml:space="preserve">Tabela 1 – Internações por capítulo do CID 10, Brasil,2019 </w:t>
            </w:r>
            <w:r w:rsidR="000E3C94" w:rsidRPr="002A6C5D">
              <w:rPr>
                <w:rFonts w:ascii="Calibri" w:eastAsia="Times New Roman" w:hAnsi="Calibri" w:cs="Calibri"/>
                <w:color w:val="000000"/>
              </w:rPr>
              <w:t>–</w:t>
            </w:r>
            <w:r w:rsidRPr="002A6C5D">
              <w:rPr>
                <w:rFonts w:ascii="Calibri" w:eastAsia="Times New Roman" w:hAnsi="Calibri" w:cs="Calibri"/>
                <w:color w:val="000000"/>
              </w:rPr>
              <w:t xml:space="preserve"> 2021</w:t>
            </w:r>
          </w:p>
        </w:tc>
      </w:tr>
      <w:tr w:rsidR="00E83DBC" w:rsidRPr="002A6C5D" w14:paraId="09A0432D" w14:textId="77777777" w:rsidTr="001E1F97">
        <w:trPr>
          <w:trHeight w:val="300"/>
        </w:trPr>
        <w:tc>
          <w:tcPr>
            <w:tcW w:w="2650" w:type="dxa"/>
            <w:shd w:val="clear" w:color="auto" w:fill="auto"/>
            <w:noWrap/>
            <w:vAlign w:val="bottom"/>
            <w:hideMark/>
          </w:tcPr>
          <w:p w14:paraId="0DA5CA74"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Capítulo CID-10</w:t>
            </w:r>
          </w:p>
        </w:tc>
        <w:tc>
          <w:tcPr>
            <w:tcW w:w="2694" w:type="dxa"/>
            <w:shd w:val="clear" w:color="auto" w:fill="auto"/>
            <w:noWrap/>
            <w:vAlign w:val="bottom"/>
            <w:hideMark/>
          </w:tcPr>
          <w:p w14:paraId="2C5472E6" w14:textId="31628A5F" w:rsidR="00E83DBC" w:rsidRPr="002A6C5D" w:rsidRDefault="007231B0" w:rsidP="00F92F84">
            <w:pPr>
              <w:spacing w:after="0" w:line="240" w:lineRule="auto"/>
              <w:jc w:val="center"/>
              <w:rPr>
                <w:rFonts w:ascii="Calibri" w:eastAsia="Times New Roman" w:hAnsi="Calibri" w:cs="Calibri"/>
                <w:color w:val="000000"/>
              </w:rPr>
            </w:pPr>
            <w:proofErr w:type="spellStart"/>
            <w:proofErr w:type="gramStart"/>
            <w:r w:rsidRPr="002A6C5D">
              <w:rPr>
                <w:rFonts w:ascii="Calibri" w:eastAsia="Times New Roman" w:hAnsi="Calibri" w:cs="Calibri"/>
                <w:color w:val="000000"/>
              </w:rPr>
              <w:t>Numero</w:t>
            </w:r>
            <w:proofErr w:type="spellEnd"/>
            <w:proofErr w:type="gramEnd"/>
            <w:r w:rsidRPr="002A6C5D">
              <w:rPr>
                <w:rFonts w:ascii="Calibri" w:eastAsia="Times New Roman" w:hAnsi="Calibri" w:cs="Calibri"/>
                <w:color w:val="000000"/>
              </w:rPr>
              <w:t xml:space="preserve"> de internações</w:t>
            </w:r>
            <w:r w:rsidR="00E83DBC" w:rsidRPr="002A6C5D">
              <w:rPr>
                <w:rFonts w:ascii="Calibri" w:eastAsia="Times New Roman" w:hAnsi="Calibri" w:cs="Calibri"/>
                <w:color w:val="000000"/>
              </w:rPr>
              <w:t xml:space="preserve"> mar/2019 - mar/2020</w:t>
            </w:r>
          </w:p>
          <w:p w14:paraId="3F3108F0" w14:textId="77777777" w:rsidR="007231B0" w:rsidRPr="002A6C5D" w:rsidRDefault="007231B0" w:rsidP="007231B0">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N</w:t>
            </w:r>
          </w:p>
          <w:p w14:paraId="3EC8A238" w14:textId="2EA65C56" w:rsidR="00E83DBC" w:rsidRPr="002A6C5D" w:rsidRDefault="007231B0" w:rsidP="007231B0">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w:t>
            </w:r>
          </w:p>
        </w:tc>
        <w:tc>
          <w:tcPr>
            <w:tcW w:w="2693" w:type="dxa"/>
            <w:shd w:val="clear" w:color="auto" w:fill="auto"/>
            <w:noWrap/>
            <w:vAlign w:val="bottom"/>
            <w:hideMark/>
          </w:tcPr>
          <w:p w14:paraId="32040ED1" w14:textId="0895628D" w:rsidR="00E83DBC" w:rsidRPr="002A6C5D" w:rsidRDefault="007231B0" w:rsidP="00F92F84">
            <w:pPr>
              <w:spacing w:after="0" w:line="240" w:lineRule="auto"/>
              <w:jc w:val="center"/>
              <w:rPr>
                <w:rFonts w:ascii="Calibri" w:eastAsia="Times New Roman" w:hAnsi="Calibri" w:cs="Calibri"/>
                <w:color w:val="000000"/>
              </w:rPr>
            </w:pPr>
            <w:proofErr w:type="spellStart"/>
            <w:r w:rsidRPr="002A6C5D">
              <w:rPr>
                <w:rFonts w:ascii="Calibri" w:eastAsia="Times New Roman" w:hAnsi="Calibri" w:cs="Calibri"/>
                <w:color w:val="000000"/>
              </w:rPr>
              <w:t>Numero</w:t>
            </w:r>
            <w:proofErr w:type="spellEnd"/>
            <w:r w:rsidRPr="002A6C5D">
              <w:rPr>
                <w:rFonts w:ascii="Calibri" w:eastAsia="Times New Roman" w:hAnsi="Calibri" w:cs="Calibri"/>
                <w:color w:val="000000"/>
              </w:rPr>
              <w:t xml:space="preserve"> de </w:t>
            </w:r>
            <w:proofErr w:type="gramStart"/>
            <w:r w:rsidRPr="002A6C5D">
              <w:rPr>
                <w:rFonts w:ascii="Calibri" w:eastAsia="Times New Roman" w:hAnsi="Calibri" w:cs="Calibri"/>
                <w:color w:val="000000"/>
              </w:rPr>
              <w:t xml:space="preserve">internações </w:t>
            </w:r>
            <w:r w:rsidR="00E83DBC" w:rsidRPr="002A6C5D">
              <w:rPr>
                <w:rFonts w:ascii="Calibri" w:eastAsia="Times New Roman" w:hAnsi="Calibri" w:cs="Calibri"/>
                <w:color w:val="000000"/>
              </w:rPr>
              <w:t xml:space="preserve"> mar</w:t>
            </w:r>
            <w:proofErr w:type="gramEnd"/>
            <w:r w:rsidR="00E83DBC" w:rsidRPr="002A6C5D">
              <w:rPr>
                <w:rFonts w:ascii="Calibri" w:eastAsia="Times New Roman" w:hAnsi="Calibri" w:cs="Calibri"/>
                <w:color w:val="000000"/>
              </w:rPr>
              <w:t>/2020 - mar/2021</w:t>
            </w:r>
          </w:p>
          <w:p w14:paraId="65F26195" w14:textId="55B77A42"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N</w:t>
            </w:r>
          </w:p>
          <w:p w14:paraId="7ADA2817" w14:textId="1E40ECB3"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w:t>
            </w:r>
          </w:p>
          <w:p w14:paraId="60B944E9" w14:textId="76D64A09" w:rsidR="00E83DBC" w:rsidRPr="002A6C5D" w:rsidRDefault="00E83DBC" w:rsidP="00F92F84">
            <w:pPr>
              <w:spacing w:after="0" w:line="240" w:lineRule="auto"/>
              <w:jc w:val="center"/>
              <w:rPr>
                <w:rFonts w:ascii="Calibri" w:eastAsia="Times New Roman" w:hAnsi="Calibri" w:cs="Calibri"/>
                <w:color w:val="000000"/>
              </w:rPr>
            </w:pPr>
          </w:p>
        </w:tc>
        <w:tc>
          <w:tcPr>
            <w:tcW w:w="1134" w:type="dxa"/>
            <w:shd w:val="clear" w:color="auto" w:fill="auto"/>
            <w:noWrap/>
            <w:vAlign w:val="bottom"/>
            <w:hideMark/>
          </w:tcPr>
          <w:p w14:paraId="1AA9141F" w14:textId="3B7382DE"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Variação</w:t>
            </w:r>
            <w:r w:rsidR="007231B0" w:rsidRPr="002A6C5D">
              <w:rPr>
                <w:rFonts w:ascii="Calibri" w:eastAsia="Times New Roman" w:hAnsi="Calibri" w:cs="Calibri"/>
                <w:color w:val="000000"/>
              </w:rPr>
              <w:t xml:space="preserve"> entre os dois períodos</w:t>
            </w:r>
          </w:p>
          <w:p w14:paraId="59704E12" w14:textId="4571E775"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N</w:t>
            </w:r>
          </w:p>
          <w:p w14:paraId="3DC958BC" w14:textId="705DE6FB"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w:t>
            </w:r>
          </w:p>
          <w:p w14:paraId="3E958872" w14:textId="3BC549B2" w:rsidR="007231B0" w:rsidRPr="002A6C5D" w:rsidRDefault="007231B0" w:rsidP="00F92F84">
            <w:pPr>
              <w:spacing w:after="0" w:line="240" w:lineRule="auto"/>
              <w:jc w:val="center"/>
              <w:rPr>
                <w:rFonts w:ascii="Calibri" w:eastAsia="Times New Roman" w:hAnsi="Calibri" w:cs="Calibri"/>
                <w:color w:val="000000"/>
              </w:rPr>
            </w:pPr>
          </w:p>
        </w:tc>
      </w:tr>
      <w:tr w:rsidR="007231B0" w:rsidRPr="002A6C5D" w14:paraId="0B006D42" w14:textId="77777777" w:rsidTr="001E1F97">
        <w:trPr>
          <w:trHeight w:val="300"/>
        </w:trPr>
        <w:tc>
          <w:tcPr>
            <w:tcW w:w="2650" w:type="dxa"/>
            <w:shd w:val="clear" w:color="auto" w:fill="auto"/>
            <w:noWrap/>
            <w:vAlign w:val="bottom"/>
            <w:hideMark/>
          </w:tcPr>
          <w:p w14:paraId="643DCCF1" w14:textId="77777777" w:rsidR="007231B0" w:rsidRPr="002A6C5D" w:rsidRDefault="007231B0"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I.   Algumas doenças infecciosas e parasitárias</w:t>
            </w:r>
          </w:p>
        </w:tc>
        <w:tc>
          <w:tcPr>
            <w:tcW w:w="2694" w:type="dxa"/>
            <w:shd w:val="clear" w:color="auto" w:fill="auto"/>
            <w:noWrap/>
            <w:vAlign w:val="bottom"/>
            <w:hideMark/>
          </w:tcPr>
          <w:p w14:paraId="2F7CA825" w14:textId="77777777"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884070</w:t>
            </w:r>
          </w:p>
          <w:p w14:paraId="31EC3136" w14:textId="23C25506" w:rsidR="007231B0"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w:t>
            </w:r>
            <w:r w:rsidR="007231B0" w:rsidRPr="002A6C5D">
              <w:rPr>
                <w:rFonts w:ascii="Calibri" w:eastAsia="Times New Roman" w:hAnsi="Calibri" w:cs="Calibri"/>
                <w:color w:val="000000"/>
              </w:rPr>
              <w:t>%</w:t>
            </w:r>
          </w:p>
        </w:tc>
        <w:tc>
          <w:tcPr>
            <w:tcW w:w="2693" w:type="dxa"/>
            <w:shd w:val="clear" w:color="auto" w:fill="auto"/>
            <w:noWrap/>
            <w:vAlign w:val="bottom"/>
            <w:hideMark/>
          </w:tcPr>
          <w:p w14:paraId="6E0D5CF1" w14:textId="3123770F"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 xml:space="preserve">1.363.909 </w:t>
            </w:r>
          </w:p>
          <w:p w14:paraId="389B56E9" w14:textId="6FE239FF" w:rsidR="007231B0"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12</w:t>
            </w:r>
            <w:r w:rsidR="007231B0" w:rsidRPr="002A6C5D">
              <w:rPr>
                <w:rFonts w:ascii="Calibri" w:eastAsia="Times New Roman" w:hAnsi="Calibri" w:cs="Calibri"/>
                <w:color w:val="000000"/>
              </w:rPr>
              <w:t>%</w:t>
            </w:r>
          </w:p>
          <w:p w14:paraId="4D28C187" w14:textId="6641314E" w:rsidR="007231B0" w:rsidRPr="002A6C5D" w:rsidRDefault="007231B0" w:rsidP="00F92F84">
            <w:pPr>
              <w:spacing w:after="0" w:line="240" w:lineRule="auto"/>
              <w:jc w:val="center"/>
              <w:rPr>
                <w:rFonts w:ascii="Calibri" w:eastAsia="Times New Roman" w:hAnsi="Calibri" w:cs="Calibri"/>
                <w:color w:val="000000"/>
              </w:rPr>
            </w:pPr>
          </w:p>
        </w:tc>
        <w:tc>
          <w:tcPr>
            <w:tcW w:w="1134" w:type="dxa"/>
            <w:shd w:val="clear" w:color="auto" w:fill="auto"/>
            <w:noWrap/>
            <w:vAlign w:val="bottom"/>
            <w:hideMark/>
          </w:tcPr>
          <w:p w14:paraId="10458AEC" w14:textId="47499FF1" w:rsidR="007231B0" w:rsidRPr="002A6C5D" w:rsidRDefault="001D701F"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eeeeeeeeeeeeeee</w:t>
            </w:r>
            <w:r w:rsidR="000E3C94" w:rsidRPr="002A6C5D">
              <w:rPr>
                <w:rFonts w:ascii="Calibri" w:eastAsia="Times New Roman" w:hAnsi="Calibri" w:cs="Calibri"/>
                <w:color w:val="000000"/>
              </w:rPr>
              <w:t>479</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839</w:t>
            </w:r>
          </w:p>
          <w:p w14:paraId="2F953AE0" w14:textId="76A76E76" w:rsidR="007231B0" w:rsidRPr="002A6C5D" w:rsidRDefault="007231B0"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54,28%</w:t>
            </w:r>
          </w:p>
        </w:tc>
      </w:tr>
      <w:tr w:rsidR="00E83DBC" w:rsidRPr="002A6C5D" w14:paraId="3E109A00" w14:textId="77777777" w:rsidTr="001E1F97">
        <w:trPr>
          <w:trHeight w:val="300"/>
        </w:trPr>
        <w:tc>
          <w:tcPr>
            <w:tcW w:w="2650" w:type="dxa"/>
            <w:shd w:val="clear" w:color="auto" w:fill="auto"/>
            <w:noWrap/>
            <w:vAlign w:val="bottom"/>
            <w:hideMark/>
          </w:tcPr>
          <w:p w14:paraId="2A6C3433"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II.  Neoplasias (tumores)</w:t>
            </w:r>
          </w:p>
        </w:tc>
        <w:tc>
          <w:tcPr>
            <w:tcW w:w="2694" w:type="dxa"/>
            <w:shd w:val="clear" w:color="auto" w:fill="auto"/>
            <w:noWrap/>
            <w:vAlign w:val="bottom"/>
            <w:hideMark/>
          </w:tcPr>
          <w:p w14:paraId="5A399316"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959484</w:t>
            </w:r>
          </w:p>
          <w:p w14:paraId="141B5D59" w14:textId="5B5A980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w:t>
            </w:r>
          </w:p>
        </w:tc>
        <w:tc>
          <w:tcPr>
            <w:tcW w:w="2693" w:type="dxa"/>
            <w:shd w:val="clear" w:color="auto" w:fill="auto"/>
            <w:noWrap/>
            <w:vAlign w:val="bottom"/>
            <w:hideMark/>
          </w:tcPr>
          <w:p w14:paraId="77EA4698"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795914</w:t>
            </w:r>
          </w:p>
          <w:p w14:paraId="78D8EA7B" w14:textId="5858C9CE"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w:t>
            </w:r>
          </w:p>
        </w:tc>
        <w:tc>
          <w:tcPr>
            <w:tcW w:w="1134" w:type="dxa"/>
            <w:shd w:val="clear" w:color="auto" w:fill="auto"/>
            <w:noWrap/>
            <w:vAlign w:val="bottom"/>
            <w:hideMark/>
          </w:tcPr>
          <w:p w14:paraId="49010399" w14:textId="45B6C1BD" w:rsidR="000E3C94" w:rsidRPr="002A6C5D" w:rsidRDefault="006F398F"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163</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570</w:t>
            </w:r>
          </w:p>
          <w:p w14:paraId="34A87801" w14:textId="26B6AC69"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-17,05%</w:t>
            </w:r>
          </w:p>
        </w:tc>
      </w:tr>
      <w:tr w:rsidR="00E83DBC" w:rsidRPr="002A6C5D" w14:paraId="736D52E6" w14:textId="77777777" w:rsidTr="001E1F97">
        <w:trPr>
          <w:trHeight w:val="300"/>
        </w:trPr>
        <w:tc>
          <w:tcPr>
            <w:tcW w:w="2650" w:type="dxa"/>
            <w:shd w:val="clear" w:color="auto" w:fill="auto"/>
            <w:noWrap/>
            <w:vAlign w:val="bottom"/>
            <w:hideMark/>
          </w:tcPr>
          <w:p w14:paraId="1DF0D176"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 xml:space="preserve">III. Doenças sangue órgãos </w:t>
            </w:r>
            <w:proofErr w:type="spellStart"/>
            <w:r w:rsidRPr="002A6C5D">
              <w:rPr>
                <w:rFonts w:ascii="Calibri" w:eastAsia="Times New Roman" w:hAnsi="Calibri" w:cs="Calibri"/>
                <w:color w:val="000000"/>
              </w:rPr>
              <w:t>hemat</w:t>
            </w:r>
            <w:proofErr w:type="spellEnd"/>
            <w:r w:rsidRPr="002A6C5D">
              <w:rPr>
                <w:rFonts w:ascii="Calibri" w:eastAsia="Times New Roman" w:hAnsi="Calibri" w:cs="Calibri"/>
                <w:color w:val="000000"/>
              </w:rPr>
              <w:t xml:space="preserve"> e </w:t>
            </w:r>
            <w:proofErr w:type="spellStart"/>
            <w:r w:rsidRPr="002A6C5D">
              <w:rPr>
                <w:rFonts w:ascii="Calibri" w:eastAsia="Times New Roman" w:hAnsi="Calibri" w:cs="Calibri"/>
                <w:color w:val="000000"/>
              </w:rPr>
              <w:t>transt</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imunitár</w:t>
            </w:r>
            <w:proofErr w:type="spellEnd"/>
          </w:p>
        </w:tc>
        <w:tc>
          <w:tcPr>
            <w:tcW w:w="2694" w:type="dxa"/>
            <w:shd w:val="clear" w:color="auto" w:fill="auto"/>
            <w:noWrap/>
            <w:vAlign w:val="bottom"/>
            <w:hideMark/>
          </w:tcPr>
          <w:p w14:paraId="7329A51F"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119625</w:t>
            </w:r>
          </w:p>
          <w:p w14:paraId="3AA05F14" w14:textId="52B779ED"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2693" w:type="dxa"/>
            <w:shd w:val="clear" w:color="auto" w:fill="auto"/>
            <w:noWrap/>
            <w:vAlign w:val="bottom"/>
            <w:hideMark/>
          </w:tcPr>
          <w:p w14:paraId="236A13C1"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95027</w:t>
            </w:r>
          </w:p>
          <w:p w14:paraId="356C597C" w14:textId="378490C8"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1134" w:type="dxa"/>
            <w:shd w:val="clear" w:color="auto" w:fill="auto"/>
            <w:noWrap/>
            <w:vAlign w:val="bottom"/>
            <w:hideMark/>
          </w:tcPr>
          <w:p w14:paraId="192DAC78" w14:textId="2305ACDF"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24</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598</w:t>
            </w:r>
          </w:p>
          <w:p w14:paraId="18B1AE02" w14:textId="027337BB"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-20,56%</w:t>
            </w:r>
          </w:p>
        </w:tc>
      </w:tr>
      <w:tr w:rsidR="00E83DBC" w:rsidRPr="002A6C5D" w14:paraId="4CE7BC97" w14:textId="77777777" w:rsidTr="001E1F97">
        <w:trPr>
          <w:trHeight w:val="300"/>
        </w:trPr>
        <w:tc>
          <w:tcPr>
            <w:tcW w:w="2650" w:type="dxa"/>
            <w:shd w:val="clear" w:color="auto" w:fill="auto"/>
            <w:noWrap/>
            <w:vAlign w:val="bottom"/>
            <w:hideMark/>
          </w:tcPr>
          <w:p w14:paraId="44122908"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IV.  Doenças endócrinas nutricionais e metabólicas</w:t>
            </w:r>
          </w:p>
        </w:tc>
        <w:tc>
          <w:tcPr>
            <w:tcW w:w="2694" w:type="dxa"/>
            <w:shd w:val="clear" w:color="auto" w:fill="auto"/>
            <w:noWrap/>
            <w:vAlign w:val="bottom"/>
            <w:hideMark/>
          </w:tcPr>
          <w:p w14:paraId="773228DF"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265806</w:t>
            </w:r>
          </w:p>
          <w:p w14:paraId="07BCEBE8" w14:textId="5505336B"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32D60B96"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203129</w:t>
            </w:r>
          </w:p>
          <w:p w14:paraId="75B2C825" w14:textId="58873C7A"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1E81F1A8" w14:textId="0709EE3F" w:rsidR="000E3C94" w:rsidRPr="002A6C5D" w:rsidRDefault="00C752F4" w:rsidP="00C752F4">
            <w:pPr>
              <w:spacing w:after="0" w:line="240" w:lineRule="auto"/>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62</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677</w:t>
            </w:r>
          </w:p>
          <w:p w14:paraId="66B51B5D" w14:textId="57096559"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-23,58%</w:t>
            </w:r>
          </w:p>
        </w:tc>
      </w:tr>
      <w:tr w:rsidR="00E83DBC" w:rsidRPr="002A6C5D" w14:paraId="2EA07DFC" w14:textId="77777777" w:rsidTr="001E1F97">
        <w:trPr>
          <w:trHeight w:val="300"/>
        </w:trPr>
        <w:tc>
          <w:tcPr>
            <w:tcW w:w="2650" w:type="dxa"/>
            <w:shd w:val="clear" w:color="auto" w:fill="auto"/>
            <w:noWrap/>
            <w:vAlign w:val="bottom"/>
            <w:hideMark/>
          </w:tcPr>
          <w:p w14:paraId="713AC5B8"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lastRenderedPageBreak/>
              <w:t>V.   Transtornos mentais e comportamentais</w:t>
            </w:r>
          </w:p>
        </w:tc>
        <w:tc>
          <w:tcPr>
            <w:tcW w:w="2694" w:type="dxa"/>
            <w:shd w:val="clear" w:color="auto" w:fill="auto"/>
            <w:noWrap/>
            <w:vAlign w:val="bottom"/>
            <w:hideMark/>
          </w:tcPr>
          <w:p w14:paraId="4E71AA10"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256808</w:t>
            </w:r>
          </w:p>
          <w:p w14:paraId="76C00E04" w14:textId="79961521"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342192F6"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205303</w:t>
            </w:r>
          </w:p>
          <w:p w14:paraId="40E69821" w14:textId="070FB66C"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75CF0718" w14:textId="0DAB7DE8"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51</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505</w:t>
            </w:r>
          </w:p>
          <w:p w14:paraId="6966FA62" w14:textId="75DB395C"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-20,06%</w:t>
            </w:r>
          </w:p>
        </w:tc>
      </w:tr>
      <w:tr w:rsidR="00E83DBC" w:rsidRPr="002A6C5D" w14:paraId="02EC147E" w14:textId="77777777" w:rsidTr="001E1F97">
        <w:trPr>
          <w:trHeight w:val="300"/>
        </w:trPr>
        <w:tc>
          <w:tcPr>
            <w:tcW w:w="2650" w:type="dxa"/>
            <w:shd w:val="clear" w:color="auto" w:fill="auto"/>
            <w:noWrap/>
            <w:vAlign w:val="bottom"/>
            <w:hideMark/>
          </w:tcPr>
          <w:p w14:paraId="5E0DF41A"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VI.  Doenças do sistema nervoso</w:t>
            </w:r>
          </w:p>
        </w:tc>
        <w:tc>
          <w:tcPr>
            <w:tcW w:w="2694" w:type="dxa"/>
            <w:shd w:val="clear" w:color="auto" w:fill="auto"/>
            <w:noWrap/>
            <w:vAlign w:val="bottom"/>
            <w:hideMark/>
          </w:tcPr>
          <w:p w14:paraId="080E58B2"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220931</w:t>
            </w:r>
          </w:p>
          <w:p w14:paraId="585A7531" w14:textId="296D5E5C"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2AC6D03C"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170164</w:t>
            </w:r>
          </w:p>
          <w:p w14:paraId="214EBA49" w14:textId="282F4C71"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737FA4D6" w14:textId="7389EF3A"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50</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767</w:t>
            </w:r>
          </w:p>
          <w:p w14:paraId="644D420F" w14:textId="26DE0F58"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-22,98%</w:t>
            </w:r>
          </w:p>
        </w:tc>
      </w:tr>
      <w:tr w:rsidR="00E83DBC" w:rsidRPr="002A6C5D" w14:paraId="1B355374" w14:textId="77777777" w:rsidTr="001E1F97">
        <w:trPr>
          <w:trHeight w:val="300"/>
        </w:trPr>
        <w:tc>
          <w:tcPr>
            <w:tcW w:w="2650" w:type="dxa"/>
            <w:shd w:val="clear" w:color="auto" w:fill="auto"/>
            <w:noWrap/>
            <w:vAlign w:val="bottom"/>
            <w:hideMark/>
          </w:tcPr>
          <w:p w14:paraId="35DACD7D"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VII. Doenças do olho e anexos</w:t>
            </w:r>
          </w:p>
        </w:tc>
        <w:tc>
          <w:tcPr>
            <w:tcW w:w="2694" w:type="dxa"/>
            <w:shd w:val="clear" w:color="auto" w:fill="auto"/>
            <w:noWrap/>
            <w:vAlign w:val="bottom"/>
            <w:hideMark/>
          </w:tcPr>
          <w:p w14:paraId="3750F590"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143976</w:t>
            </w:r>
          </w:p>
          <w:p w14:paraId="2609F23B" w14:textId="37E9703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2693" w:type="dxa"/>
            <w:shd w:val="clear" w:color="auto" w:fill="auto"/>
            <w:noWrap/>
            <w:vAlign w:val="bottom"/>
            <w:hideMark/>
          </w:tcPr>
          <w:p w14:paraId="4C1F67F7"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84586</w:t>
            </w:r>
          </w:p>
          <w:p w14:paraId="669E864A" w14:textId="6BE44233"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1134" w:type="dxa"/>
            <w:shd w:val="clear" w:color="auto" w:fill="auto"/>
            <w:noWrap/>
            <w:vAlign w:val="bottom"/>
            <w:hideMark/>
          </w:tcPr>
          <w:p w14:paraId="0D7B6474" w14:textId="2FFF631C"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59</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390</w:t>
            </w:r>
          </w:p>
          <w:p w14:paraId="6A92C24F" w14:textId="22DCD8F1"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-41,25%</w:t>
            </w:r>
          </w:p>
        </w:tc>
      </w:tr>
      <w:tr w:rsidR="00E83DBC" w:rsidRPr="002A6C5D" w14:paraId="76B861C0" w14:textId="77777777" w:rsidTr="001E1F97">
        <w:trPr>
          <w:trHeight w:val="300"/>
        </w:trPr>
        <w:tc>
          <w:tcPr>
            <w:tcW w:w="2650" w:type="dxa"/>
            <w:shd w:val="clear" w:color="auto" w:fill="auto"/>
            <w:noWrap/>
            <w:vAlign w:val="bottom"/>
            <w:hideMark/>
          </w:tcPr>
          <w:p w14:paraId="67CF3B31" w14:textId="77777777" w:rsidR="00E83DBC" w:rsidRPr="002A6C5D" w:rsidRDefault="00E83DBC" w:rsidP="00F92F84">
            <w:pPr>
              <w:spacing w:after="0" w:line="240" w:lineRule="auto"/>
              <w:rPr>
                <w:rFonts w:ascii="Calibri" w:eastAsia="Times New Roman" w:hAnsi="Calibri" w:cs="Calibri"/>
                <w:color w:val="000000"/>
              </w:rPr>
            </w:pPr>
            <w:proofErr w:type="spellStart"/>
            <w:r w:rsidRPr="002A6C5D">
              <w:rPr>
                <w:rFonts w:ascii="Calibri" w:eastAsia="Times New Roman" w:hAnsi="Calibri" w:cs="Calibri"/>
                <w:color w:val="000000"/>
              </w:rPr>
              <w:t>VIII.Doenças</w:t>
            </w:r>
            <w:proofErr w:type="spellEnd"/>
            <w:r w:rsidRPr="002A6C5D">
              <w:rPr>
                <w:rFonts w:ascii="Calibri" w:eastAsia="Times New Roman" w:hAnsi="Calibri" w:cs="Calibri"/>
                <w:color w:val="000000"/>
              </w:rPr>
              <w:t xml:space="preserve"> do ouvido e da apófise </w:t>
            </w:r>
            <w:proofErr w:type="spellStart"/>
            <w:r w:rsidRPr="002A6C5D">
              <w:rPr>
                <w:rFonts w:ascii="Calibri" w:eastAsia="Times New Roman" w:hAnsi="Calibri" w:cs="Calibri"/>
                <w:color w:val="000000"/>
              </w:rPr>
              <w:t>mastóide</w:t>
            </w:r>
            <w:proofErr w:type="spellEnd"/>
          </w:p>
        </w:tc>
        <w:tc>
          <w:tcPr>
            <w:tcW w:w="2694" w:type="dxa"/>
            <w:shd w:val="clear" w:color="auto" w:fill="auto"/>
            <w:noWrap/>
            <w:vAlign w:val="bottom"/>
            <w:hideMark/>
          </w:tcPr>
          <w:p w14:paraId="09F0AFB9"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23307</w:t>
            </w:r>
          </w:p>
          <w:p w14:paraId="141EAD88" w14:textId="06BD68C3"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tc>
        <w:tc>
          <w:tcPr>
            <w:tcW w:w="2693" w:type="dxa"/>
            <w:shd w:val="clear" w:color="auto" w:fill="auto"/>
            <w:noWrap/>
            <w:vAlign w:val="bottom"/>
            <w:hideMark/>
          </w:tcPr>
          <w:p w14:paraId="6AEB9852"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11012</w:t>
            </w:r>
          </w:p>
          <w:p w14:paraId="77F3EF01" w14:textId="09B58F0D"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tc>
        <w:tc>
          <w:tcPr>
            <w:tcW w:w="1134" w:type="dxa"/>
            <w:shd w:val="clear" w:color="auto" w:fill="auto"/>
            <w:noWrap/>
            <w:vAlign w:val="bottom"/>
            <w:hideMark/>
          </w:tcPr>
          <w:p w14:paraId="289EFC84" w14:textId="30D967E4"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12</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295</w:t>
            </w:r>
          </w:p>
          <w:p w14:paraId="6424E6D5" w14:textId="2D86D4D0"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-52,75%</w:t>
            </w:r>
          </w:p>
        </w:tc>
      </w:tr>
      <w:tr w:rsidR="00E83DBC" w:rsidRPr="002A6C5D" w14:paraId="48ACD3B3" w14:textId="77777777" w:rsidTr="001E1F97">
        <w:trPr>
          <w:trHeight w:val="300"/>
        </w:trPr>
        <w:tc>
          <w:tcPr>
            <w:tcW w:w="2650" w:type="dxa"/>
            <w:shd w:val="clear" w:color="auto" w:fill="auto"/>
            <w:noWrap/>
            <w:vAlign w:val="bottom"/>
            <w:hideMark/>
          </w:tcPr>
          <w:p w14:paraId="1A8B03EE"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IX.  Doenças do aparelho circulatório</w:t>
            </w:r>
          </w:p>
        </w:tc>
        <w:tc>
          <w:tcPr>
            <w:tcW w:w="2694" w:type="dxa"/>
            <w:shd w:val="clear" w:color="auto" w:fill="auto"/>
            <w:noWrap/>
            <w:vAlign w:val="bottom"/>
            <w:hideMark/>
          </w:tcPr>
          <w:p w14:paraId="650DAD30"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1275806</w:t>
            </w:r>
          </w:p>
          <w:p w14:paraId="62227AA1" w14:textId="0287554E"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w:t>
            </w:r>
          </w:p>
        </w:tc>
        <w:tc>
          <w:tcPr>
            <w:tcW w:w="2693" w:type="dxa"/>
            <w:shd w:val="clear" w:color="auto" w:fill="auto"/>
            <w:noWrap/>
            <w:vAlign w:val="bottom"/>
            <w:hideMark/>
          </w:tcPr>
          <w:p w14:paraId="76B250A1"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1020944</w:t>
            </w:r>
          </w:p>
          <w:p w14:paraId="5FC76307" w14:textId="7E94E927"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9%</w:t>
            </w:r>
          </w:p>
        </w:tc>
        <w:tc>
          <w:tcPr>
            <w:tcW w:w="1134" w:type="dxa"/>
            <w:shd w:val="clear" w:color="auto" w:fill="auto"/>
            <w:noWrap/>
            <w:vAlign w:val="bottom"/>
            <w:hideMark/>
          </w:tcPr>
          <w:p w14:paraId="7FD23164" w14:textId="4BC71E12"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254</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862</w:t>
            </w:r>
          </w:p>
          <w:p w14:paraId="7F2EFD00" w14:textId="02367FD1"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-19,98%</w:t>
            </w:r>
          </w:p>
        </w:tc>
      </w:tr>
      <w:tr w:rsidR="00E83DBC" w:rsidRPr="002A6C5D" w14:paraId="2B67E7DE" w14:textId="77777777" w:rsidTr="001E1F97">
        <w:trPr>
          <w:trHeight w:val="300"/>
        </w:trPr>
        <w:tc>
          <w:tcPr>
            <w:tcW w:w="2650" w:type="dxa"/>
            <w:shd w:val="clear" w:color="auto" w:fill="auto"/>
            <w:noWrap/>
            <w:vAlign w:val="bottom"/>
            <w:hideMark/>
          </w:tcPr>
          <w:p w14:paraId="294246AE"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   Doenças do aparelho respiratório</w:t>
            </w:r>
          </w:p>
        </w:tc>
        <w:tc>
          <w:tcPr>
            <w:tcW w:w="2694" w:type="dxa"/>
            <w:shd w:val="clear" w:color="auto" w:fill="auto"/>
            <w:noWrap/>
            <w:vAlign w:val="bottom"/>
            <w:hideMark/>
          </w:tcPr>
          <w:p w14:paraId="1810F293"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1282742</w:t>
            </w:r>
          </w:p>
          <w:p w14:paraId="6E9E5414" w14:textId="5D36B7C2"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w:t>
            </w:r>
          </w:p>
        </w:tc>
        <w:tc>
          <w:tcPr>
            <w:tcW w:w="2693" w:type="dxa"/>
            <w:shd w:val="clear" w:color="auto" w:fill="auto"/>
            <w:noWrap/>
            <w:vAlign w:val="bottom"/>
            <w:hideMark/>
          </w:tcPr>
          <w:p w14:paraId="68CC47CE"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767375</w:t>
            </w:r>
          </w:p>
          <w:p w14:paraId="4B0C7F6C" w14:textId="0EB075C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w:t>
            </w:r>
          </w:p>
        </w:tc>
        <w:tc>
          <w:tcPr>
            <w:tcW w:w="1134" w:type="dxa"/>
            <w:shd w:val="clear" w:color="auto" w:fill="auto"/>
            <w:noWrap/>
            <w:vAlign w:val="bottom"/>
            <w:hideMark/>
          </w:tcPr>
          <w:p w14:paraId="4FE3DF4B" w14:textId="7F9D2CA8"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515</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367</w:t>
            </w:r>
          </w:p>
          <w:p w14:paraId="39812B53" w14:textId="59132E4B"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-40,18%</w:t>
            </w:r>
          </w:p>
        </w:tc>
      </w:tr>
      <w:tr w:rsidR="00E83DBC" w:rsidRPr="002A6C5D" w14:paraId="7852246D" w14:textId="77777777" w:rsidTr="001E1F97">
        <w:trPr>
          <w:trHeight w:val="300"/>
        </w:trPr>
        <w:tc>
          <w:tcPr>
            <w:tcW w:w="2650" w:type="dxa"/>
            <w:shd w:val="clear" w:color="auto" w:fill="auto"/>
            <w:noWrap/>
            <w:vAlign w:val="bottom"/>
            <w:hideMark/>
          </w:tcPr>
          <w:p w14:paraId="4C370BE2"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XI.  Doenças do aparelho digestivo</w:t>
            </w:r>
          </w:p>
        </w:tc>
        <w:tc>
          <w:tcPr>
            <w:tcW w:w="2694" w:type="dxa"/>
            <w:shd w:val="clear" w:color="auto" w:fill="auto"/>
            <w:noWrap/>
            <w:vAlign w:val="bottom"/>
            <w:hideMark/>
          </w:tcPr>
          <w:p w14:paraId="53A55AFB"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1309905</w:t>
            </w:r>
          </w:p>
          <w:p w14:paraId="76CFCDF1" w14:textId="09A02F18"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w:t>
            </w:r>
          </w:p>
        </w:tc>
        <w:tc>
          <w:tcPr>
            <w:tcW w:w="2693" w:type="dxa"/>
            <w:shd w:val="clear" w:color="auto" w:fill="auto"/>
            <w:noWrap/>
            <w:vAlign w:val="bottom"/>
            <w:hideMark/>
          </w:tcPr>
          <w:p w14:paraId="523649D0"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890916</w:t>
            </w:r>
          </w:p>
          <w:p w14:paraId="1D1C8586" w14:textId="1BE9113F"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8%</w:t>
            </w:r>
          </w:p>
        </w:tc>
        <w:tc>
          <w:tcPr>
            <w:tcW w:w="1134" w:type="dxa"/>
            <w:shd w:val="clear" w:color="auto" w:fill="auto"/>
            <w:noWrap/>
            <w:vAlign w:val="bottom"/>
            <w:hideMark/>
          </w:tcPr>
          <w:p w14:paraId="574A5106" w14:textId="37A2E7A3"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418</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989</w:t>
            </w:r>
          </w:p>
          <w:p w14:paraId="6A3B199A" w14:textId="02AA389B"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-31,99%</w:t>
            </w:r>
          </w:p>
        </w:tc>
      </w:tr>
      <w:tr w:rsidR="00E83DBC" w:rsidRPr="002A6C5D" w14:paraId="6B0C4693" w14:textId="77777777" w:rsidTr="001E1F97">
        <w:trPr>
          <w:trHeight w:val="300"/>
        </w:trPr>
        <w:tc>
          <w:tcPr>
            <w:tcW w:w="2650" w:type="dxa"/>
            <w:shd w:val="clear" w:color="auto" w:fill="auto"/>
            <w:noWrap/>
            <w:vAlign w:val="bottom"/>
            <w:hideMark/>
          </w:tcPr>
          <w:p w14:paraId="024C50A1"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XII. Doenças da pele e do tecido subcutâneo</w:t>
            </w:r>
          </w:p>
        </w:tc>
        <w:tc>
          <w:tcPr>
            <w:tcW w:w="2694" w:type="dxa"/>
            <w:shd w:val="clear" w:color="auto" w:fill="auto"/>
            <w:noWrap/>
            <w:vAlign w:val="bottom"/>
            <w:hideMark/>
          </w:tcPr>
          <w:p w14:paraId="393B5B7C"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306882</w:t>
            </w:r>
          </w:p>
          <w:p w14:paraId="44BDDAAC" w14:textId="353182FB"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49B21BAB"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208501</w:t>
            </w:r>
          </w:p>
          <w:p w14:paraId="427ADC71" w14:textId="50DC56D2"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358DBB6B" w14:textId="3EE022C6"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98</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381</w:t>
            </w:r>
          </w:p>
          <w:p w14:paraId="7E67B15D" w14:textId="5280E2E8"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-32,06%</w:t>
            </w:r>
          </w:p>
        </w:tc>
      </w:tr>
      <w:tr w:rsidR="00E83DBC" w:rsidRPr="002A6C5D" w14:paraId="627EDE53" w14:textId="77777777" w:rsidTr="001E1F97">
        <w:trPr>
          <w:trHeight w:val="300"/>
        </w:trPr>
        <w:tc>
          <w:tcPr>
            <w:tcW w:w="2650" w:type="dxa"/>
            <w:shd w:val="clear" w:color="auto" w:fill="auto"/>
            <w:noWrap/>
            <w:vAlign w:val="bottom"/>
            <w:hideMark/>
          </w:tcPr>
          <w:p w14:paraId="50FC771A" w14:textId="0EABD6EE"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XIII.</w:t>
            </w:r>
            <w:r w:rsidR="00D4396B" w:rsidRPr="002A6C5D">
              <w:rPr>
                <w:rFonts w:ascii="Calibri" w:eastAsia="Times New Roman" w:hAnsi="Calibri" w:cs="Calibri"/>
                <w:color w:val="000000"/>
              </w:rPr>
              <w:t xml:space="preserve"> </w:t>
            </w:r>
            <w:r w:rsidRPr="002A6C5D">
              <w:rPr>
                <w:rFonts w:ascii="Calibri" w:eastAsia="Times New Roman" w:hAnsi="Calibri" w:cs="Calibri"/>
                <w:color w:val="000000"/>
              </w:rPr>
              <w:t xml:space="preserve">Doenças </w:t>
            </w:r>
            <w:proofErr w:type="spellStart"/>
            <w:r w:rsidRPr="002A6C5D">
              <w:rPr>
                <w:rFonts w:ascii="Calibri" w:eastAsia="Times New Roman" w:hAnsi="Calibri" w:cs="Calibri"/>
                <w:color w:val="000000"/>
              </w:rPr>
              <w:t>sist</w:t>
            </w:r>
            <w:proofErr w:type="spellEnd"/>
            <w:r w:rsidRPr="002A6C5D">
              <w:rPr>
                <w:rFonts w:ascii="Calibri" w:eastAsia="Times New Roman" w:hAnsi="Calibri" w:cs="Calibri"/>
                <w:color w:val="000000"/>
              </w:rPr>
              <w:t xml:space="preserve"> osteomuscular e tec conjuntivo</w:t>
            </w:r>
          </w:p>
        </w:tc>
        <w:tc>
          <w:tcPr>
            <w:tcW w:w="2694" w:type="dxa"/>
            <w:shd w:val="clear" w:color="auto" w:fill="auto"/>
            <w:noWrap/>
            <w:vAlign w:val="bottom"/>
            <w:hideMark/>
          </w:tcPr>
          <w:p w14:paraId="6313F9CB"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235642</w:t>
            </w:r>
          </w:p>
          <w:p w14:paraId="00720A79" w14:textId="1062CDEB"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66FAA397"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144572</w:t>
            </w:r>
          </w:p>
          <w:p w14:paraId="32087842" w14:textId="42D3CB73"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1134" w:type="dxa"/>
            <w:shd w:val="clear" w:color="auto" w:fill="auto"/>
            <w:noWrap/>
            <w:vAlign w:val="bottom"/>
            <w:hideMark/>
          </w:tcPr>
          <w:p w14:paraId="1F7A0AE5" w14:textId="2B498781" w:rsidR="000E3C94" w:rsidRPr="002A6C5D" w:rsidRDefault="00C752F4" w:rsidP="00C752F4">
            <w:pPr>
              <w:spacing w:after="0" w:line="240" w:lineRule="auto"/>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91</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070</w:t>
            </w:r>
          </w:p>
          <w:p w14:paraId="09FA4D94" w14:textId="000373B1"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-38,65%</w:t>
            </w:r>
          </w:p>
        </w:tc>
      </w:tr>
      <w:tr w:rsidR="00E83DBC" w:rsidRPr="002A6C5D" w14:paraId="74A0EEE7" w14:textId="77777777" w:rsidTr="001E1F97">
        <w:trPr>
          <w:trHeight w:val="300"/>
        </w:trPr>
        <w:tc>
          <w:tcPr>
            <w:tcW w:w="2650" w:type="dxa"/>
            <w:shd w:val="clear" w:color="auto" w:fill="auto"/>
            <w:noWrap/>
            <w:vAlign w:val="bottom"/>
            <w:hideMark/>
          </w:tcPr>
          <w:p w14:paraId="3823F726"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XIV. Doenças do aparelho geniturinário</w:t>
            </w:r>
          </w:p>
        </w:tc>
        <w:tc>
          <w:tcPr>
            <w:tcW w:w="2694" w:type="dxa"/>
            <w:shd w:val="clear" w:color="auto" w:fill="auto"/>
            <w:noWrap/>
            <w:vAlign w:val="bottom"/>
            <w:hideMark/>
          </w:tcPr>
          <w:p w14:paraId="221E5F06"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944337</w:t>
            </w:r>
          </w:p>
          <w:p w14:paraId="56CD38A2" w14:textId="7B2619CC"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7%</w:t>
            </w:r>
          </w:p>
        </w:tc>
        <w:tc>
          <w:tcPr>
            <w:tcW w:w="2693" w:type="dxa"/>
            <w:shd w:val="clear" w:color="auto" w:fill="auto"/>
            <w:noWrap/>
            <w:vAlign w:val="bottom"/>
            <w:hideMark/>
          </w:tcPr>
          <w:p w14:paraId="35E6883F"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655728</w:t>
            </w:r>
          </w:p>
          <w:p w14:paraId="1A0271CD" w14:textId="398A4A93"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6%</w:t>
            </w:r>
          </w:p>
        </w:tc>
        <w:tc>
          <w:tcPr>
            <w:tcW w:w="1134" w:type="dxa"/>
            <w:shd w:val="clear" w:color="auto" w:fill="auto"/>
            <w:noWrap/>
            <w:vAlign w:val="bottom"/>
            <w:hideMark/>
          </w:tcPr>
          <w:p w14:paraId="132D50FB" w14:textId="1D218DCC"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288</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609</w:t>
            </w:r>
          </w:p>
          <w:p w14:paraId="6AD47BDE" w14:textId="351574C4"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-30,56%</w:t>
            </w:r>
          </w:p>
        </w:tc>
      </w:tr>
      <w:tr w:rsidR="00E83DBC" w:rsidRPr="002A6C5D" w14:paraId="012DB593" w14:textId="77777777" w:rsidTr="001E1F97">
        <w:trPr>
          <w:trHeight w:val="300"/>
        </w:trPr>
        <w:tc>
          <w:tcPr>
            <w:tcW w:w="2650" w:type="dxa"/>
            <w:shd w:val="clear" w:color="auto" w:fill="auto"/>
            <w:noWrap/>
            <w:vAlign w:val="bottom"/>
            <w:hideMark/>
          </w:tcPr>
          <w:p w14:paraId="5CFA0C7A"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XV.  Gravidez parto e puerpério</w:t>
            </w:r>
          </w:p>
        </w:tc>
        <w:tc>
          <w:tcPr>
            <w:tcW w:w="2694" w:type="dxa"/>
            <w:shd w:val="clear" w:color="auto" w:fill="auto"/>
            <w:noWrap/>
            <w:vAlign w:val="bottom"/>
            <w:hideMark/>
          </w:tcPr>
          <w:p w14:paraId="6AED3EC9"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2638941</w:t>
            </w:r>
          </w:p>
          <w:p w14:paraId="7FBD8832" w14:textId="2D59C720"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w:t>
            </w:r>
          </w:p>
        </w:tc>
        <w:tc>
          <w:tcPr>
            <w:tcW w:w="2693" w:type="dxa"/>
            <w:shd w:val="clear" w:color="auto" w:fill="auto"/>
            <w:noWrap/>
            <w:vAlign w:val="bottom"/>
            <w:hideMark/>
          </w:tcPr>
          <w:p w14:paraId="6B511831"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2463703</w:t>
            </w:r>
          </w:p>
          <w:p w14:paraId="251EEB3D" w14:textId="4FAAF708"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22%</w:t>
            </w:r>
          </w:p>
        </w:tc>
        <w:tc>
          <w:tcPr>
            <w:tcW w:w="1134" w:type="dxa"/>
            <w:shd w:val="clear" w:color="auto" w:fill="auto"/>
            <w:noWrap/>
            <w:vAlign w:val="bottom"/>
            <w:hideMark/>
          </w:tcPr>
          <w:p w14:paraId="116831A6" w14:textId="626378E3"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175</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238</w:t>
            </w:r>
          </w:p>
          <w:p w14:paraId="2E334D6A" w14:textId="5F38642E"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-6,64%</w:t>
            </w:r>
          </w:p>
        </w:tc>
      </w:tr>
      <w:tr w:rsidR="00E83DBC" w:rsidRPr="002A6C5D" w14:paraId="22A04664" w14:textId="77777777" w:rsidTr="001E1F97">
        <w:trPr>
          <w:trHeight w:val="300"/>
        </w:trPr>
        <w:tc>
          <w:tcPr>
            <w:tcW w:w="2650" w:type="dxa"/>
            <w:shd w:val="clear" w:color="auto" w:fill="auto"/>
            <w:noWrap/>
            <w:vAlign w:val="bottom"/>
            <w:hideMark/>
          </w:tcPr>
          <w:p w14:paraId="519B889D"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 xml:space="preserve">XVI. Algumas </w:t>
            </w:r>
            <w:proofErr w:type="spellStart"/>
            <w:r w:rsidRPr="002A6C5D">
              <w:rPr>
                <w:rFonts w:ascii="Calibri" w:eastAsia="Times New Roman" w:hAnsi="Calibri" w:cs="Calibri"/>
                <w:color w:val="000000"/>
              </w:rPr>
              <w:t>afec</w:t>
            </w:r>
            <w:proofErr w:type="spellEnd"/>
            <w:r w:rsidRPr="002A6C5D">
              <w:rPr>
                <w:rFonts w:ascii="Calibri" w:eastAsia="Times New Roman" w:hAnsi="Calibri" w:cs="Calibri"/>
                <w:color w:val="000000"/>
              </w:rPr>
              <w:t xml:space="preserve"> originadas no período perinatal</w:t>
            </w:r>
          </w:p>
        </w:tc>
        <w:tc>
          <w:tcPr>
            <w:tcW w:w="2694" w:type="dxa"/>
            <w:shd w:val="clear" w:color="auto" w:fill="auto"/>
            <w:noWrap/>
            <w:vAlign w:val="bottom"/>
            <w:hideMark/>
          </w:tcPr>
          <w:p w14:paraId="3EF3D893"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334908</w:t>
            </w:r>
          </w:p>
          <w:p w14:paraId="56D4E26D" w14:textId="2BC85AE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w:t>
            </w:r>
          </w:p>
        </w:tc>
        <w:tc>
          <w:tcPr>
            <w:tcW w:w="2693" w:type="dxa"/>
            <w:shd w:val="clear" w:color="auto" w:fill="auto"/>
            <w:noWrap/>
            <w:vAlign w:val="bottom"/>
            <w:hideMark/>
          </w:tcPr>
          <w:p w14:paraId="131310EA"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333143</w:t>
            </w:r>
          </w:p>
          <w:p w14:paraId="3FFF4A69" w14:textId="10B21B3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w:t>
            </w:r>
          </w:p>
        </w:tc>
        <w:tc>
          <w:tcPr>
            <w:tcW w:w="1134" w:type="dxa"/>
            <w:shd w:val="clear" w:color="auto" w:fill="auto"/>
            <w:noWrap/>
            <w:vAlign w:val="bottom"/>
            <w:hideMark/>
          </w:tcPr>
          <w:p w14:paraId="5D5FBE50" w14:textId="2DD1BD9A"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1</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765</w:t>
            </w:r>
          </w:p>
          <w:p w14:paraId="3FD67DAE" w14:textId="50EADE52"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-0,53%</w:t>
            </w:r>
          </w:p>
        </w:tc>
      </w:tr>
      <w:tr w:rsidR="00E83DBC" w:rsidRPr="002A6C5D" w14:paraId="59568B98" w14:textId="77777777" w:rsidTr="001E1F97">
        <w:trPr>
          <w:trHeight w:val="300"/>
        </w:trPr>
        <w:tc>
          <w:tcPr>
            <w:tcW w:w="2650" w:type="dxa"/>
            <w:shd w:val="clear" w:color="auto" w:fill="auto"/>
            <w:noWrap/>
            <w:vAlign w:val="bottom"/>
            <w:hideMark/>
          </w:tcPr>
          <w:p w14:paraId="79B93D6C" w14:textId="71611DE2"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XVII.</w:t>
            </w:r>
            <w:r w:rsidR="00D4396B"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Malf</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cong</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deformid</w:t>
            </w:r>
            <w:proofErr w:type="spellEnd"/>
            <w:r w:rsidRPr="002A6C5D">
              <w:rPr>
                <w:rFonts w:ascii="Calibri" w:eastAsia="Times New Roman" w:hAnsi="Calibri" w:cs="Calibri"/>
                <w:color w:val="000000"/>
              </w:rPr>
              <w:t xml:space="preserve"> e anomalias cromossômicas</w:t>
            </w:r>
          </w:p>
        </w:tc>
        <w:tc>
          <w:tcPr>
            <w:tcW w:w="2694" w:type="dxa"/>
            <w:shd w:val="clear" w:color="auto" w:fill="auto"/>
            <w:noWrap/>
            <w:vAlign w:val="bottom"/>
            <w:hideMark/>
          </w:tcPr>
          <w:p w14:paraId="65547E25"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97813</w:t>
            </w:r>
          </w:p>
          <w:p w14:paraId="527642EE" w14:textId="235F9E6F"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2693" w:type="dxa"/>
            <w:shd w:val="clear" w:color="auto" w:fill="auto"/>
            <w:noWrap/>
            <w:vAlign w:val="bottom"/>
            <w:hideMark/>
          </w:tcPr>
          <w:p w14:paraId="559AE31A"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63565</w:t>
            </w:r>
          </w:p>
          <w:p w14:paraId="1DF2977A" w14:textId="651491D4"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w:t>
            </w:r>
          </w:p>
        </w:tc>
        <w:tc>
          <w:tcPr>
            <w:tcW w:w="1134" w:type="dxa"/>
            <w:shd w:val="clear" w:color="auto" w:fill="auto"/>
            <w:noWrap/>
            <w:vAlign w:val="bottom"/>
            <w:hideMark/>
          </w:tcPr>
          <w:p w14:paraId="0B67F725" w14:textId="00ED61E8"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34</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248</w:t>
            </w:r>
          </w:p>
          <w:p w14:paraId="7EA9F630" w14:textId="28F99F7B"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-35,01%</w:t>
            </w:r>
          </w:p>
        </w:tc>
      </w:tr>
      <w:tr w:rsidR="00E83DBC" w:rsidRPr="002A6C5D" w14:paraId="2A84FA20" w14:textId="77777777" w:rsidTr="001E1F97">
        <w:trPr>
          <w:trHeight w:val="300"/>
        </w:trPr>
        <w:tc>
          <w:tcPr>
            <w:tcW w:w="2650" w:type="dxa"/>
            <w:shd w:val="clear" w:color="auto" w:fill="auto"/>
            <w:noWrap/>
            <w:vAlign w:val="bottom"/>
            <w:hideMark/>
          </w:tcPr>
          <w:p w14:paraId="68361F4E" w14:textId="35C4547F"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XVIII.</w:t>
            </w:r>
            <w:r w:rsidR="00D4396B"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Sint</w:t>
            </w:r>
            <w:proofErr w:type="spellEnd"/>
            <w:r w:rsidRPr="002A6C5D">
              <w:rPr>
                <w:rFonts w:ascii="Calibri" w:eastAsia="Times New Roman" w:hAnsi="Calibri" w:cs="Calibri"/>
                <w:color w:val="000000"/>
              </w:rPr>
              <w:t xml:space="preserve"> sinais e </w:t>
            </w:r>
            <w:proofErr w:type="spellStart"/>
            <w:r w:rsidRPr="002A6C5D">
              <w:rPr>
                <w:rFonts w:ascii="Calibri" w:eastAsia="Times New Roman" w:hAnsi="Calibri" w:cs="Calibri"/>
                <w:color w:val="000000"/>
              </w:rPr>
              <w:t>achad</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anorm</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ex</w:t>
            </w:r>
            <w:proofErr w:type="spellEnd"/>
            <w:r w:rsidRPr="002A6C5D">
              <w:rPr>
                <w:rFonts w:ascii="Calibri" w:eastAsia="Times New Roman" w:hAnsi="Calibri" w:cs="Calibri"/>
                <w:color w:val="000000"/>
              </w:rPr>
              <w:t xml:space="preserve"> </w:t>
            </w:r>
            <w:proofErr w:type="spellStart"/>
            <w:r w:rsidRPr="002A6C5D">
              <w:rPr>
                <w:rFonts w:ascii="Calibri" w:eastAsia="Times New Roman" w:hAnsi="Calibri" w:cs="Calibri"/>
                <w:color w:val="000000"/>
              </w:rPr>
              <w:t>clín</w:t>
            </w:r>
            <w:proofErr w:type="spellEnd"/>
            <w:r w:rsidRPr="002A6C5D">
              <w:rPr>
                <w:rFonts w:ascii="Calibri" w:eastAsia="Times New Roman" w:hAnsi="Calibri" w:cs="Calibri"/>
                <w:color w:val="000000"/>
              </w:rPr>
              <w:t xml:space="preserve"> e </w:t>
            </w:r>
            <w:proofErr w:type="spellStart"/>
            <w:r w:rsidRPr="002A6C5D">
              <w:rPr>
                <w:rFonts w:ascii="Calibri" w:eastAsia="Times New Roman" w:hAnsi="Calibri" w:cs="Calibri"/>
                <w:color w:val="000000"/>
              </w:rPr>
              <w:t>laborat</w:t>
            </w:r>
            <w:proofErr w:type="spellEnd"/>
          </w:p>
        </w:tc>
        <w:tc>
          <w:tcPr>
            <w:tcW w:w="2694" w:type="dxa"/>
            <w:shd w:val="clear" w:color="auto" w:fill="auto"/>
            <w:noWrap/>
            <w:vAlign w:val="bottom"/>
            <w:hideMark/>
          </w:tcPr>
          <w:p w14:paraId="5DFA8270"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235188</w:t>
            </w:r>
          </w:p>
          <w:p w14:paraId="7F5BF269" w14:textId="6E6AE4D7"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3E80ACF6"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194353</w:t>
            </w:r>
          </w:p>
          <w:p w14:paraId="056FA8C0" w14:textId="441A80DF"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085DFDF3" w14:textId="4998AB38" w:rsidR="000E3C94"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0E3C94" w:rsidRPr="002A6C5D">
              <w:rPr>
                <w:rFonts w:ascii="Calibri" w:eastAsia="Times New Roman" w:hAnsi="Calibri" w:cs="Calibri"/>
                <w:color w:val="000000"/>
              </w:rPr>
              <w:t>40</w:t>
            </w:r>
            <w:r w:rsidR="002A6C5D" w:rsidRPr="002A6C5D">
              <w:rPr>
                <w:rFonts w:ascii="Calibri" w:eastAsia="Times New Roman" w:hAnsi="Calibri" w:cs="Calibri"/>
                <w:color w:val="000000"/>
              </w:rPr>
              <w:t>.</w:t>
            </w:r>
            <w:r w:rsidR="000E3C94" w:rsidRPr="002A6C5D">
              <w:rPr>
                <w:rFonts w:ascii="Calibri" w:eastAsia="Times New Roman" w:hAnsi="Calibri" w:cs="Calibri"/>
                <w:color w:val="000000"/>
              </w:rPr>
              <w:t>835</w:t>
            </w:r>
          </w:p>
          <w:p w14:paraId="27A971F1" w14:textId="385DFA74"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-17,36%</w:t>
            </w:r>
          </w:p>
        </w:tc>
      </w:tr>
      <w:tr w:rsidR="00E83DBC" w:rsidRPr="002A6C5D" w14:paraId="0AF8A767" w14:textId="77777777" w:rsidTr="001E1F97">
        <w:trPr>
          <w:trHeight w:val="300"/>
        </w:trPr>
        <w:tc>
          <w:tcPr>
            <w:tcW w:w="2650" w:type="dxa"/>
            <w:shd w:val="clear" w:color="auto" w:fill="auto"/>
            <w:noWrap/>
            <w:vAlign w:val="bottom"/>
            <w:hideMark/>
          </w:tcPr>
          <w:p w14:paraId="4A7C73B8"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 xml:space="preserve">XIX. Lesões </w:t>
            </w:r>
            <w:proofErr w:type="spellStart"/>
            <w:r w:rsidRPr="002A6C5D">
              <w:rPr>
                <w:rFonts w:ascii="Calibri" w:eastAsia="Times New Roman" w:hAnsi="Calibri" w:cs="Calibri"/>
                <w:color w:val="000000"/>
              </w:rPr>
              <w:t>enven</w:t>
            </w:r>
            <w:proofErr w:type="spellEnd"/>
            <w:r w:rsidRPr="002A6C5D">
              <w:rPr>
                <w:rFonts w:ascii="Calibri" w:eastAsia="Times New Roman" w:hAnsi="Calibri" w:cs="Calibri"/>
                <w:color w:val="000000"/>
              </w:rPr>
              <w:t xml:space="preserve"> e </w:t>
            </w:r>
            <w:proofErr w:type="spellStart"/>
            <w:r w:rsidRPr="002A6C5D">
              <w:rPr>
                <w:rFonts w:ascii="Calibri" w:eastAsia="Times New Roman" w:hAnsi="Calibri" w:cs="Calibri"/>
                <w:color w:val="000000"/>
              </w:rPr>
              <w:t>alg</w:t>
            </w:r>
            <w:proofErr w:type="spellEnd"/>
            <w:r w:rsidRPr="002A6C5D">
              <w:rPr>
                <w:rFonts w:ascii="Calibri" w:eastAsia="Times New Roman" w:hAnsi="Calibri" w:cs="Calibri"/>
                <w:color w:val="000000"/>
              </w:rPr>
              <w:t xml:space="preserve"> out </w:t>
            </w:r>
            <w:proofErr w:type="spellStart"/>
            <w:r w:rsidRPr="002A6C5D">
              <w:rPr>
                <w:rFonts w:ascii="Calibri" w:eastAsia="Times New Roman" w:hAnsi="Calibri" w:cs="Calibri"/>
                <w:color w:val="000000"/>
              </w:rPr>
              <w:t>conseq</w:t>
            </w:r>
            <w:proofErr w:type="spellEnd"/>
            <w:r w:rsidRPr="002A6C5D">
              <w:rPr>
                <w:rFonts w:ascii="Calibri" w:eastAsia="Times New Roman" w:hAnsi="Calibri" w:cs="Calibri"/>
                <w:color w:val="000000"/>
              </w:rPr>
              <w:t xml:space="preserve"> causas externas</w:t>
            </w:r>
          </w:p>
        </w:tc>
        <w:tc>
          <w:tcPr>
            <w:tcW w:w="2694" w:type="dxa"/>
            <w:shd w:val="clear" w:color="auto" w:fill="auto"/>
            <w:noWrap/>
            <w:vAlign w:val="bottom"/>
            <w:hideMark/>
          </w:tcPr>
          <w:p w14:paraId="13E78292"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1347139</w:t>
            </w:r>
          </w:p>
          <w:p w14:paraId="2370285F" w14:textId="319D21C7"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w:t>
            </w:r>
          </w:p>
        </w:tc>
        <w:tc>
          <w:tcPr>
            <w:tcW w:w="2693" w:type="dxa"/>
            <w:shd w:val="clear" w:color="auto" w:fill="auto"/>
            <w:noWrap/>
            <w:vAlign w:val="bottom"/>
            <w:hideMark/>
          </w:tcPr>
          <w:p w14:paraId="424E83C9"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1262375</w:t>
            </w:r>
          </w:p>
          <w:p w14:paraId="20C985C7" w14:textId="0374F3A3"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11%</w:t>
            </w:r>
          </w:p>
        </w:tc>
        <w:tc>
          <w:tcPr>
            <w:tcW w:w="1134" w:type="dxa"/>
            <w:shd w:val="clear" w:color="auto" w:fill="auto"/>
            <w:noWrap/>
            <w:vAlign w:val="bottom"/>
            <w:hideMark/>
          </w:tcPr>
          <w:p w14:paraId="27A4FB5B" w14:textId="58FEFF65" w:rsidR="006C419B"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6C419B" w:rsidRPr="002A6C5D">
              <w:rPr>
                <w:rFonts w:ascii="Calibri" w:eastAsia="Times New Roman" w:hAnsi="Calibri" w:cs="Calibri"/>
                <w:color w:val="000000"/>
              </w:rPr>
              <w:t>84</w:t>
            </w:r>
            <w:r w:rsidR="002A6C5D" w:rsidRPr="002A6C5D">
              <w:rPr>
                <w:rFonts w:ascii="Calibri" w:eastAsia="Times New Roman" w:hAnsi="Calibri" w:cs="Calibri"/>
                <w:color w:val="000000"/>
              </w:rPr>
              <w:t>.</w:t>
            </w:r>
            <w:r w:rsidR="006C419B" w:rsidRPr="002A6C5D">
              <w:rPr>
                <w:rFonts w:ascii="Calibri" w:eastAsia="Times New Roman" w:hAnsi="Calibri" w:cs="Calibri"/>
                <w:color w:val="000000"/>
              </w:rPr>
              <w:t>764</w:t>
            </w:r>
          </w:p>
          <w:p w14:paraId="6E1DDEC9" w14:textId="08C92534"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-6,29%</w:t>
            </w:r>
          </w:p>
        </w:tc>
      </w:tr>
      <w:tr w:rsidR="00E83DBC" w:rsidRPr="002A6C5D" w14:paraId="360E007F" w14:textId="77777777" w:rsidTr="001E1F97">
        <w:trPr>
          <w:trHeight w:val="300"/>
        </w:trPr>
        <w:tc>
          <w:tcPr>
            <w:tcW w:w="2650" w:type="dxa"/>
            <w:shd w:val="clear" w:color="auto" w:fill="auto"/>
            <w:noWrap/>
            <w:vAlign w:val="bottom"/>
            <w:hideMark/>
          </w:tcPr>
          <w:p w14:paraId="003AE0EE"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XX.  Causas externas de morbidade e mortalidade</w:t>
            </w:r>
          </w:p>
        </w:tc>
        <w:tc>
          <w:tcPr>
            <w:tcW w:w="2694" w:type="dxa"/>
            <w:shd w:val="clear" w:color="auto" w:fill="auto"/>
            <w:noWrap/>
            <w:vAlign w:val="bottom"/>
            <w:hideMark/>
          </w:tcPr>
          <w:p w14:paraId="63B6B072"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p w14:paraId="6DD3BB03" w14:textId="61CD86E7"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tc>
        <w:tc>
          <w:tcPr>
            <w:tcW w:w="2693" w:type="dxa"/>
            <w:shd w:val="clear" w:color="auto" w:fill="auto"/>
            <w:noWrap/>
            <w:vAlign w:val="bottom"/>
            <w:hideMark/>
          </w:tcPr>
          <w:p w14:paraId="0A77B175"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p w14:paraId="6EBA56E7" w14:textId="188B005B"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tc>
        <w:tc>
          <w:tcPr>
            <w:tcW w:w="1134" w:type="dxa"/>
            <w:shd w:val="clear" w:color="auto" w:fill="auto"/>
            <w:noWrap/>
            <w:vAlign w:val="bottom"/>
            <w:hideMark/>
          </w:tcPr>
          <w:p w14:paraId="11F593B8" w14:textId="1530B62A"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w:t>
            </w:r>
          </w:p>
          <w:p w14:paraId="7DA4CB08" w14:textId="6140E748"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0,00%</w:t>
            </w:r>
          </w:p>
        </w:tc>
      </w:tr>
      <w:tr w:rsidR="00E83DBC" w:rsidRPr="002A6C5D" w14:paraId="246F8E34" w14:textId="77777777" w:rsidTr="001E1F97">
        <w:trPr>
          <w:trHeight w:val="300"/>
        </w:trPr>
        <w:tc>
          <w:tcPr>
            <w:tcW w:w="2650" w:type="dxa"/>
            <w:shd w:val="clear" w:color="auto" w:fill="auto"/>
            <w:noWrap/>
            <w:vAlign w:val="bottom"/>
            <w:hideMark/>
          </w:tcPr>
          <w:p w14:paraId="5235D516"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XXI. Contatos com serviços de saúde</w:t>
            </w:r>
          </w:p>
        </w:tc>
        <w:tc>
          <w:tcPr>
            <w:tcW w:w="2694" w:type="dxa"/>
            <w:shd w:val="clear" w:color="auto" w:fill="auto"/>
            <w:noWrap/>
            <w:vAlign w:val="bottom"/>
            <w:hideMark/>
          </w:tcPr>
          <w:p w14:paraId="43E39538"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294071</w:t>
            </w:r>
          </w:p>
          <w:p w14:paraId="763C9BBC" w14:textId="0CE067BA"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2693" w:type="dxa"/>
            <w:shd w:val="clear" w:color="auto" w:fill="auto"/>
            <w:noWrap/>
            <w:vAlign w:val="bottom"/>
            <w:hideMark/>
          </w:tcPr>
          <w:p w14:paraId="563A9485"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200303</w:t>
            </w:r>
          </w:p>
          <w:p w14:paraId="0E2F66F9" w14:textId="3663045F" w:rsidR="006C419B" w:rsidRPr="002A6C5D" w:rsidRDefault="006C419B"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2%</w:t>
            </w:r>
          </w:p>
        </w:tc>
        <w:tc>
          <w:tcPr>
            <w:tcW w:w="1134" w:type="dxa"/>
            <w:shd w:val="clear" w:color="auto" w:fill="auto"/>
            <w:noWrap/>
            <w:vAlign w:val="bottom"/>
            <w:hideMark/>
          </w:tcPr>
          <w:p w14:paraId="22B12350" w14:textId="7F0E0C68" w:rsidR="006C419B"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6C419B" w:rsidRPr="002A6C5D">
              <w:rPr>
                <w:rFonts w:ascii="Calibri" w:eastAsia="Times New Roman" w:hAnsi="Calibri" w:cs="Calibri"/>
                <w:color w:val="000000"/>
              </w:rPr>
              <w:t>91</w:t>
            </w:r>
            <w:r w:rsidR="002A6C5D" w:rsidRPr="002A6C5D">
              <w:rPr>
                <w:rFonts w:ascii="Calibri" w:eastAsia="Times New Roman" w:hAnsi="Calibri" w:cs="Calibri"/>
                <w:color w:val="000000"/>
              </w:rPr>
              <w:t>.</w:t>
            </w:r>
            <w:r w:rsidR="006C419B" w:rsidRPr="002A6C5D">
              <w:rPr>
                <w:rFonts w:ascii="Calibri" w:eastAsia="Times New Roman" w:hAnsi="Calibri" w:cs="Calibri"/>
                <w:color w:val="000000"/>
              </w:rPr>
              <w:t>474</w:t>
            </w:r>
          </w:p>
          <w:p w14:paraId="4B8E12AF" w14:textId="17F81101"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-31,89%</w:t>
            </w:r>
          </w:p>
        </w:tc>
      </w:tr>
      <w:tr w:rsidR="00E83DBC" w:rsidRPr="002A6C5D" w14:paraId="0F425A01" w14:textId="77777777" w:rsidTr="001E1F97">
        <w:trPr>
          <w:trHeight w:val="300"/>
        </w:trPr>
        <w:tc>
          <w:tcPr>
            <w:tcW w:w="2650" w:type="dxa"/>
            <w:shd w:val="clear" w:color="auto" w:fill="auto"/>
            <w:noWrap/>
            <w:vAlign w:val="bottom"/>
            <w:hideMark/>
          </w:tcPr>
          <w:p w14:paraId="66AF376E" w14:textId="77777777" w:rsidR="00E83DBC" w:rsidRPr="002A6C5D" w:rsidRDefault="00E83DBC" w:rsidP="00F92F84">
            <w:pPr>
              <w:spacing w:after="0" w:line="240" w:lineRule="auto"/>
              <w:rPr>
                <w:rFonts w:ascii="Calibri" w:eastAsia="Times New Roman" w:hAnsi="Calibri" w:cs="Calibri"/>
                <w:color w:val="000000"/>
              </w:rPr>
            </w:pPr>
            <w:r w:rsidRPr="002A6C5D">
              <w:rPr>
                <w:rFonts w:ascii="Calibri" w:eastAsia="Times New Roman" w:hAnsi="Calibri" w:cs="Calibri"/>
                <w:color w:val="000000"/>
              </w:rPr>
              <w:t>Total</w:t>
            </w:r>
          </w:p>
        </w:tc>
        <w:tc>
          <w:tcPr>
            <w:tcW w:w="2694" w:type="dxa"/>
            <w:shd w:val="clear" w:color="auto" w:fill="auto"/>
            <w:noWrap/>
            <w:vAlign w:val="bottom"/>
            <w:hideMark/>
          </w:tcPr>
          <w:p w14:paraId="7E3ACBED"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13177381</w:t>
            </w:r>
          </w:p>
          <w:p w14:paraId="6AEE6F4B" w14:textId="30AE32AB" w:rsidR="002A6C5D" w:rsidRPr="002A6C5D" w:rsidRDefault="002A6C5D"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100%</w:t>
            </w:r>
          </w:p>
        </w:tc>
        <w:tc>
          <w:tcPr>
            <w:tcW w:w="2693" w:type="dxa"/>
            <w:shd w:val="clear" w:color="auto" w:fill="auto"/>
            <w:noWrap/>
            <w:vAlign w:val="bottom"/>
            <w:hideMark/>
          </w:tcPr>
          <w:p w14:paraId="123FFF12" w14:textId="77777777"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11134522</w:t>
            </w:r>
          </w:p>
          <w:p w14:paraId="58308582" w14:textId="0C7F15B2" w:rsidR="002A6C5D" w:rsidRPr="002A6C5D" w:rsidRDefault="002A6C5D"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100%</w:t>
            </w:r>
          </w:p>
        </w:tc>
        <w:tc>
          <w:tcPr>
            <w:tcW w:w="1134" w:type="dxa"/>
            <w:shd w:val="clear" w:color="auto" w:fill="auto"/>
            <w:noWrap/>
            <w:vAlign w:val="bottom"/>
            <w:hideMark/>
          </w:tcPr>
          <w:p w14:paraId="36A37848" w14:textId="6A028DFD" w:rsidR="002A6C5D" w:rsidRPr="002A6C5D" w:rsidRDefault="00C752F4" w:rsidP="00F92F84">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2A6C5D" w:rsidRPr="002A6C5D">
              <w:rPr>
                <w:rFonts w:ascii="Calibri" w:eastAsia="Times New Roman" w:hAnsi="Calibri" w:cs="Calibri"/>
                <w:color w:val="000000"/>
              </w:rPr>
              <w:t>2.040.565</w:t>
            </w:r>
          </w:p>
          <w:p w14:paraId="587EB068" w14:textId="0D454CE4" w:rsidR="00E83DBC" w:rsidRPr="002A6C5D" w:rsidRDefault="00E83DBC" w:rsidP="00F92F84">
            <w:pPr>
              <w:spacing w:after="0" w:line="240" w:lineRule="auto"/>
              <w:jc w:val="center"/>
              <w:rPr>
                <w:rFonts w:ascii="Calibri" w:eastAsia="Times New Roman" w:hAnsi="Calibri" w:cs="Calibri"/>
                <w:color w:val="000000"/>
              </w:rPr>
            </w:pPr>
            <w:r w:rsidRPr="002A6C5D">
              <w:rPr>
                <w:rFonts w:ascii="Calibri" w:eastAsia="Times New Roman" w:hAnsi="Calibri" w:cs="Calibri"/>
                <w:color w:val="000000"/>
              </w:rPr>
              <w:t>-15,50%</w:t>
            </w:r>
          </w:p>
        </w:tc>
      </w:tr>
    </w:tbl>
    <w:p w14:paraId="720E3894" w14:textId="2AD49A1D" w:rsidR="00447D82" w:rsidRPr="002A6C5D" w:rsidRDefault="00E83DBC" w:rsidP="00F92F84">
      <w:pPr>
        <w:spacing w:line="480" w:lineRule="auto"/>
        <w:ind w:firstLine="709"/>
        <w:jc w:val="both"/>
        <w:rPr>
          <w:rFonts w:ascii="Arial" w:hAnsi="Arial" w:cs="Arial"/>
          <w:b/>
          <w:bCs/>
          <w:sz w:val="24"/>
          <w:szCs w:val="24"/>
        </w:rPr>
      </w:pPr>
      <w:r w:rsidRPr="002A6C5D">
        <w:rPr>
          <w:rFonts w:ascii="Arial" w:hAnsi="Arial" w:cs="Arial"/>
          <w:b/>
          <w:bCs/>
          <w:sz w:val="24"/>
          <w:szCs w:val="24"/>
        </w:rPr>
        <w:t xml:space="preserve"> </w:t>
      </w:r>
    </w:p>
    <w:p w14:paraId="1AA557D1" w14:textId="43F433F8" w:rsidR="002452ED" w:rsidRPr="002A6C5D" w:rsidRDefault="00DA682E" w:rsidP="002A6C5D">
      <w:pPr>
        <w:spacing w:after="0" w:line="480" w:lineRule="auto"/>
        <w:jc w:val="both"/>
        <w:rPr>
          <w:rFonts w:ascii="Arial" w:eastAsia="Times New Roman" w:hAnsi="Arial" w:cs="Arial"/>
          <w:color w:val="000000"/>
          <w:sz w:val="24"/>
          <w:szCs w:val="24"/>
        </w:rPr>
      </w:pPr>
      <w:r w:rsidRPr="002A6C5D">
        <w:rPr>
          <w:rFonts w:ascii="Arial" w:hAnsi="Arial" w:cs="Arial"/>
          <w:sz w:val="24"/>
          <w:szCs w:val="24"/>
        </w:rPr>
        <w:t>Podemos visualizar n</w:t>
      </w:r>
      <w:r w:rsidR="00012170" w:rsidRPr="002A6C5D">
        <w:rPr>
          <w:rFonts w:ascii="Arial" w:hAnsi="Arial" w:cs="Arial"/>
          <w:sz w:val="24"/>
          <w:szCs w:val="24"/>
        </w:rPr>
        <w:t>a</w:t>
      </w:r>
      <w:r w:rsidRPr="002A6C5D">
        <w:rPr>
          <w:rFonts w:ascii="Arial" w:hAnsi="Arial" w:cs="Arial"/>
          <w:sz w:val="24"/>
          <w:szCs w:val="24"/>
        </w:rPr>
        <w:t xml:space="preserve"> tabela</w:t>
      </w:r>
      <w:r w:rsidR="00012170" w:rsidRPr="002A6C5D">
        <w:rPr>
          <w:rFonts w:ascii="Arial" w:hAnsi="Arial" w:cs="Arial"/>
          <w:sz w:val="24"/>
          <w:szCs w:val="24"/>
        </w:rPr>
        <w:t xml:space="preserve"> acima</w:t>
      </w:r>
      <w:r w:rsidRPr="002A6C5D">
        <w:rPr>
          <w:rFonts w:ascii="Arial" w:hAnsi="Arial" w:cs="Arial"/>
          <w:sz w:val="24"/>
          <w:szCs w:val="24"/>
        </w:rPr>
        <w:t xml:space="preserve"> que </w:t>
      </w:r>
      <w:r w:rsidR="00F1252B" w:rsidRPr="002A6C5D">
        <w:rPr>
          <w:rFonts w:ascii="Arial" w:hAnsi="Arial" w:cs="Arial"/>
          <w:sz w:val="24"/>
          <w:szCs w:val="24"/>
        </w:rPr>
        <w:t xml:space="preserve">a maioria de dados houver bastante diminuições do uso do SUS com a maioria dos dados entre 10% </w:t>
      </w:r>
      <w:proofErr w:type="gramStart"/>
      <w:r w:rsidR="00F1252B" w:rsidRPr="002A6C5D">
        <w:rPr>
          <w:rFonts w:ascii="Arial" w:hAnsi="Arial" w:cs="Arial"/>
          <w:sz w:val="24"/>
          <w:szCs w:val="24"/>
        </w:rPr>
        <w:t>a</w:t>
      </w:r>
      <w:proofErr w:type="gramEnd"/>
      <w:r w:rsidR="00F1252B" w:rsidRPr="002A6C5D">
        <w:rPr>
          <w:rFonts w:ascii="Arial" w:hAnsi="Arial" w:cs="Arial"/>
          <w:sz w:val="24"/>
          <w:szCs w:val="24"/>
        </w:rPr>
        <w:t xml:space="preserve"> 35%. Com exceção dos dados do </w:t>
      </w:r>
      <w:r w:rsidR="00D4396B" w:rsidRPr="002A6C5D">
        <w:rPr>
          <w:rFonts w:ascii="Arial" w:hAnsi="Arial" w:cs="Arial"/>
          <w:sz w:val="24"/>
          <w:szCs w:val="24"/>
        </w:rPr>
        <w:t>Capítulo</w:t>
      </w:r>
      <w:r w:rsidR="00F1252B" w:rsidRPr="002A6C5D">
        <w:rPr>
          <w:rFonts w:ascii="Arial" w:hAnsi="Arial" w:cs="Arial"/>
          <w:sz w:val="24"/>
          <w:szCs w:val="24"/>
        </w:rPr>
        <w:t xml:space="preserve"> do CID I </w:t>
      </w:r>
      <w:r w:rsidR="00A93EFB" w:rsidRPr="002A6C5D">
        <w:rPr>
          <w:rFonts w:ascii="Arial" w:hAnsi="Arial" w:cs="Arial"/>
          <w:sz w:val="24"/>
          <w:szCs w:val="24"/>
        </w:rPr>
        <w:t>(Algumas</w:t>
      </w:r>
      <w:r w:rsidR="00F1252B" w:rsidRPr="002A6C5D">
        <w:rPr>
          <w:rFonts w:ascii="Arial" w:hAnsi="Arial" w:cs="Arial"/>
          <w:sz w:val="24"/>
          <w:szCs w:val="24"/>
        </w:rPr>
        <w:t xml:space="preserve"> doenças infecciosas e parasitárias) com um aumento de 54,28%. Tendo uma visão geral, os totais de internações entre março de 2019 e março de 2020, foi de </w:t>
      </w:r>
      <w:r w:rsidR="00CF5959" w:rsidRPr="002A6C5D">
        <w:rPr>
          <w:rFonts w:ascii="Arial" w:hAnsi="Arial" w:cs="Arial"/>
          <w:sz w:val="24"/>
          <w:szCs w:val="24"/>
        </w:rPr>
        <w:t xml:space="preserve">13.177.381 </w:t>
      </w:r>
      <w:r w:rsidR="00CF5959" w:rsidRPr="002A6C5D">
        <w:rPr>
          <w:rFonts w:ascii="Arial" w:hAnsi="Arial" w:cs="Arial"/>
          <w:sz w:val="24"/>
          <w:szCs w:val="24"/>
        </w:rPr>
        <w:lastRenderedPageBreak/>
        <w:t>internações</w:t>
      </w:r>
      <w:r w:rsidR="00F1252B" w:rsidRPr="002A6C5D">
        <w:rPr>
          <w:rFonts w:ascii="Arial" w:hAnsi="Arial" w:cs="Arial"/>
          <w:sz w:val="24"/>
          <w:szCs w:val="24"/>
        </w:rPr>
        <w:t xml:space="preserve">, e no período de março de 2020 a março de 2021, tiveram </w:t>
      </w:r>
      <w:r w:rsidR="00CF5959" w:rsidRPr="002A6C5D">
        <w:rPr>
          <w:rFonts w:ascii="Arial" w:hAnsi="Arial" w:cs="Arial"/>
          <w:sz w:val="24"/>
          <w:szCs w:val="24"/>
        </w:rPr>
        <w:t xml:space="preserve">11.134.522 internações, com uma redução de </w:t>
      </w:r>
      <w:r w:rsidR="002A6C5D" w:rsidRPr="002A6C5D">
        <w:rPr>
          <w:rFonts w:ascii="Arial" w:eastAsia="Times New Roman" w:hAnsi="Arial" w:cs="Arial"/>
          <w:color w:val="000000"/>
          <w:sz w:val="24"/>
          <w:szCs w:val="24"/>
        </w:rPr>
        <w:t>2.040.565 (</w:t>
      </w:r>
      <w:r w:rsidR="00CF5959" w:rsidRPr="002A6C5D">
        <w:rPr>
          <w:rFonts w:ascii="Arial" w:hAnsi="Arial" w:cs="Arial"/>
          <w:sz w:val="24"/>
          <w:szCs w:val="24"/>
        </w:rPr>
        <w:t>15,5%</w:t>
      </w:r>
      <w:r w:rsidR="002A6C5D" w:rsidRPr="002A6C5D">
        <w:rPr>
          <w:rFonts w:ascii="Arial" w:hAnsi="Arial" w:cs="Arial"/>
          <w:sz w:val="24"/>
          <w:szCs w:val="24"/>
        </w:rPr>
        <w:t>)</w:t>
      </w:r>
    </w:p>
    <w:p w14:paraId="7BC92F8C" w14:textId="77777777" w:rsidR="00C23403" w:rsidRPr="007A63A4" w:rsidRDefault="00C23403" w:rsidP="00F92F84">
      <w:pPr>
        <w:pStyle w:val="PargrafodaLista"/>
        <w:spacing w:line="480" w:lineRule="auto"/>
        <w:ind w:firstLine="709"/>
        <w:jc w:val="both"/>
        <w:rPr>
          <w:rFonts w:ascii="Arial" w:hAnsi="Arial" w:cs="Arial"/>
          <w:sz w:val="24"/>
          <w:szCs w:val="24"/>
          <w:highlight w:val="yellow"/>
        </w:rPr>
      </w:pPr>
    </w:p>
    <w:p w14:paraId="26E0286C" w14:textId="25479120" w:rsidR="00C23403" w:rsidRPr="002A6C5D" w:rsidRDefault="00C23403" w:rsidP="00F92F84">
      <w:pPr>
        <w:spacing w:line="480" w:lineRule="auto"/>
        <w:ind w:firstLine="709"/>
        <w:jc w:val="both"/>
        <w:rPr>
          <w:rFonts w:ascii="Arial" w:hAnsi="Arial" w:cs="Arial"/>
          <w:b/>
          <w:bCs/>
          <w:color w:val="000000" w:themeColor="text1"/>
          <w:sz w:val="24"/>
          <w:szCs w:val="24"/>
        </w:rPr>
      </w:pPr>
      <w:r w:rsidRPr="002A6C5D">
        <w:rPr>
          <w:rFonts w:ascii="Arial" w:hAnsi="Arial" w:cs="Arial"/>
          <w:b/>
          <w:bCs/>
          <w:color w:val="000000" w:themeColor="text1"/>
          <w:sz w:val="24"/>
          <w:szCs w:val="24"/>
        </w:rPr>
        <w:t>Valor</w:t>
      </w:r>
      <w:r w:rsidR="001E1F97" w:rsidRPr="002A6C5D">
        <w:rPr>
          <w:rFonts w:ascii="Arial" w:hAnsi="Arial" w:cs="Arial"/>
          <w:b/>
          <w:bCs/>
          <w:color w:val="000000" w:themeColor="text1"/>
          <w:sz w:val="24"/>
          <w:szCs w:val="24"/>
        </w:rPr>
        <w:t xml:space="preserve"> Total</w:t>
      </w:r>
    </w:p>
    <w:p w14:paraId="007B7D85" w14:textId="77777777" w:rsidR="00C23403" w:rsidRPr="002A6C5D" w:rsidRDefault="00C23403" w:rsidP="00F92F84">
      <w:pPr>
        <w:spacing w:line="480" w:lineRule="auto"/>
        <w:ind w:firstLine="709"/>
        <w:jc w:val="both"/>
        <w:rPr>
          <w:rFonts w:ascii="Arial" w:hAnsi="Arial" w:cs="Arial"/>
          <w:b/>
          <w:bCs/>
          <w:color w:val="000000" w:themeColor="text1"/>
          <w:sz w:val="24"/>
          <w:szCs w:val="24"/>
        </w:rPr>
      </w:pPr>
    </w:p>
    <w:p w14:paraId="1C8B1955" w14:textId="185C3994" w:rsidR="00C23403" w:rsidRPr="002A6C5D" w:rsidRDefault="00C23403" w:rsidP="00F92F84">
      <w:pPr>
        <w:pStyle w:val="PargrafodaLista"/>
        <w:spacing w:line="480" w:lineRule="auto"/>
        <w:ind w:left="0" w:firstLine="709"/>
        <w:jc w:val="both"/>
        <w:rPr>
          <w:rFonts w:ascii="Arial" w:hAnsi="Arial" w:cs="Arial"/>
          <w:color w:val="000000" w:themeColor="text1"/>
          <w:sz w:val="24"/>
          <w:szCs w:val="24"/>
        </w:rPr>
      </w:pPr>
      <w:r w:rsidRPr="002A6C5D">
        <w:rPr>
          <w:rFonts w:ascii="Arial" w:hAnsi="Arial" w:cs="Arial"/>
          <w:color w:val="000000" w:themeColor="text1"/>
          <w:sz w:val="24"/>
          <w:szCs w:val="24"/>
        </w:rPr>
        <w:t xml:space="preserve">Os dados colhidos sobre o custo de pacientes internados, mostram um valor extremamente alto, tendo como sua variação de </w:t>
      </w:r>
      <w:r w:rsidR="00F249DB" w:rsidRPr="002A6C5D">
        <w:rPr>
          <w:rFonts w:ascii="Arial" w:hAnsi="Arial" w:cs="Arial"/>
          <w:color w:val="000000" w:themeColor="text1"/>
          <w:sz w:val="24"/>
          <w:szCs w:val="24"/>
        </w:rPr>
        <w:t xml:space="preserve">R$ </w:t>
      </w:r>
      <w:r w:rsidR="002A6C5D">
        <w:rPr>
          <w:rFonts w:ascii="Arial" w:hAnsi="Arial" w:cs="Arial"/>
          <w:color w:val="000000" w:themeColor="text1"/>
          <w:sz w:val="24"/>
          <w:szCs w:val="24"/>
        </w:rPr>
        <w:t>2</w:t>
      </w:r>
      <w:r w:rsidRPr="002A6C5D">
        <w:rPr>
          <w:rFonts w:ascii="Arial" w:hAnsi="Arial" w:cs="Arial"/>
          <w:color w:val="000000" w:themeColor="text1"/>
          <w:sz w:val="24"/>
          <w:szCs w:val="24"/>
        </w:rPr>
        <w:t xml:space="preserve">.000.000 </w:t>
      </w:r>
      <w:proofErr w:type="gramStart"/>
      <w:r w:rsidRPr="002A6C5D">
        <w:rPr>
          <w:rFonts w:ascii="Arial" w:hAnsi="Arial" w:cs="Arial"/>
          <w:color w:val="000000" w:themeColor="text1"/>
          <w:sz w:val="24"/>
          <w:szCs w:val="24"/>
        </w:rPr>
        <w:t xml:space="preserve">a  </w:t>
      </w:r>
      <w:r w:rsidR="00F249DB" w:rsidRPr="002A6C5D">
        <w:rPr>
          <w:rFonts w:ascii="Arial" w:hAnsi="Arial" w:cs="Arial"/>
          <w:color w:val="000000" w:themeColor="text1"/>
          <w:sz w:val="24"/>
          <w:szCs w:val="24"/>
        </w:rPr>
        <w:t>R</w:t>
      </w:r>
      <w:proofErr w:type="gramEnd"/>
      <w:r w:rsidR="00F249DB" w:rsidRPr="002A6C5D">
        <w:rPr>
          <w:rFonts w:ascii="Arial" w:hAnsi="Arial" w:cs="Arial"/>
          <w:color w:val="000000" w:themeColor="text1"/>
          <w:sz w:val="24"/>
          <w:szCs w:val="24"/>
        </w:rPr>
        <w:t xml:space="preserve">$ </w:t>
      </w:r>
      <w:r w:rsidRPr="002A6C5D">
        <w:rPr>
          <w:rFonts w:ascii="Arial" w:hAnsi="Arial" w:cs="Arial"/>
          <w:color w:val="000000" w:themeColor="text1"/>
          <w:sz w:val="24"/>
          <w:szCs w:val="24"/>
        </w:rPr>
        <w:t>2.000.000.000 durante todo o período selecionado. Em termos de porcentagem no total de internações pelo capítulo do CID, temos uma variação de 5% a 15%.</w:t>
      </w:r>
    </w:p>
    <w:p w14:paraId="01FDE8FE" w14:textId="77777777" w:rsidR="00C23403" w:rsidRPr="00175373" w:rsidRDefault="00C23403" w:rsidP="00F92F84">
      <w:pPr>
        <w:pStyle w:val="PargrafodaLista"/>
        <w:spacing w:line="480" w:lineRule="auto"/>
        <w:ind w:firstLine="709"/>
        <w:jc w:val="both"/>
        <w:rPr>
          <w:rFonts w:ascii="Arial" w:hAnsi="Arial" w:cs="Arial"/>
          <w:b/>
          <w:bCs/>
          <w:color w:val="000000" w:themeColor="text1"/>
          <w:sz w:val="24"/>
          <w:szCs w:val="24"/>
        </w:rPr>
      </w:pPr>
    </w:p>
    <w:tbl>
      <w:tblPr>
        <w:tblpPr w:leftFromText="141" w:rightFromText="141" w:vertAnchor="text" w:horzAnchor="margin" w:tblpY="609"/>
        <w:tblW w:w="10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3"/>
        <w:gridCol w:w="2692"/>
        <w:gridCol w:w="2480"/>
        <w:gridCol w:w="2353"/>
      </w:tblGrid>
      <w:tr w:rsidR="001E1F97" w:rsidRPr="00175373" w14:paraId="7C66350E" w14:textId="77777777" w:rsidTr="002A6C5D">
        <w:trPr>
          <w:trHeight w:val="300"/>
        </w:trPr>
        <w:tc>
          <w:tcPr>
            <w:tcW w:w="10078" w:type="dxa"/>
            <w:gridSpan w:val="4"/>
            <w:tcBorders>
              <w:top w:val="nil"/>
              <w:left w:val="nil"/>
              <w:right w:val="nil"/>
            </w:tcBorders>
            <w:shd w:val="clear" w:color="auto" w:fill="auto"/>
            <w:noWrap/>
            <w:vAlign w:val="bottom"/>
          </w:tcPr>
          <w:p w14:paraId="0A6FC1B0" w14:textId="20F76803" w:rsidR="001E1F97" w:rsidRPr="00175373" w:rsidRDefault="001E1F97"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 xml:space="preserve">Tabela 2 – Valor total por capítulo do CID 10, Brasil,2019 </w:t>
            </w:r>
            <w:r w:rsidR="000E3C94" w:rsidRPr="00175373">
              <w:rPr>
                <w:rFonts w:ascii="Calibri" w:eastAsia="Times New Roman" w:hAnsi="Calibri" w:cs="Calibri"/>
                <w:color w:val="000000"/>
              </w:rPr>
              <w:t>–</w:t>
            </w:r>
            <w:r w:rsidRPr="00175373">
              <w:rPr>
                <w:rFonts w:ascii="Calibri" w:eastAsia="Times New Roman" w:hAnsi="Calibri" w:cs="Calibri"/>
                <w:color w:val="000000"/>
              </w:rPr>
              <w:t xml:space="preserve"> 2021</w:t>
            </w:r>
          </w:p>
        </w:tc>
      </w:tr>
      <w:tr w:rsidR="002452ED" w:rsidRPr="00175373" w14:paraId="3617AFEF" w14:textId="77777777" w:rsidTr="002A6C5D">
        <w:trPr>
          <w:trHeight w:val="300"/>
        </w:trPr>
        <w:tc>
          <w:tcPr>
            <w:tcW w:w="2553" w:type="dxa"/>
            <w:shd w:val="clear" w:color="auto" w:fill="auto"/>
            <w:noWrap/>
            <w:vAlign w:val="bottom"/>
            <w:hideMark/>
          </w:tcPr>
          <w:p w14:paraId="5426B96D" w14:textId="77777777" w:rsidR="002452ED" w:rsidRPr="00175373" w:rsidRDefault="002452ED" w:rsidP="00F249DB">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Capítulo CID-10</w:t>
            </w:r>
          </w:p>
        </w:tc>
        <w:tc>
          <w:tcPr>
            <w:tcW w:w="2692" w:type="dxa"/>
            <w:shd w:val="clear" w:color="auto" w:fill="auto"/>
            <w:noWrap/>
            <w:vAlign w:val="bottom"/>
            <w:hideMark/>
          </w:tcPr>
          <w:p w14:paraId="3E0A58C4" w14:textId="669FF041" w:rsidR="007231B0" w:rsidRPr="00175373" w:rsidRDefault="007231B0"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Valor Total </w:t>
            </w:r>
          </w:p>
          <w:p w14:paraId="1682E893" w14:textId="29414FC3" w:rsidR="007231B0" w:rsidRPr="00175373" w:rsidRDefault="002452ED" w:rsidP="003E2341">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mar/2019 - mar/2020</w:t>
            </w:r>
          </w:p>
          <w:p w14:paraId="3850B27A" w14:textId="4681A669" w:rsidR="007231B0" w:rsidRPr="00175373" w:rsidRDefault="007231B0"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N</w:t>
            </w:r>
          </w:p>
          <w:p w14:paraId="7F29468C" w14:textId="0D499C14" w:rsidR="007231B0" w:rsidRPr="00175373" w:rsidRDefault="007231B0" w:rsidP="007231B0">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w:t>
            </w:r>
          </w:p>
          <w:p w14:paraId="7C4BB039" w14:textId="2AD7F158" w:rsidR="002452ED" w:rsidRPr="00175373" w:rsidRDefault="002452ED" w:rsidP="00F92F84">
            <w:pPr>
              <w:spacing w:after="0" w:line="240" w:lineRule="auto"/>
              <w:jc w:val="center"/>
              <w:rPr>
                <w:rFonts w:ascii="Calibri" w:eastAsia="Times New Roman" w:hAnsi="Calibri" w:cs="Calibri"/>
                <w:color w:val="000000"/>
              </w:rPr>
            </w:pPr>
          </w:p>
        </w:tc>
        <w:tc>
          <w:tcPr>
            <w:tcW w:w="2480" w:type="dxa"/>
            <w:shd w:val="clear" w:color="auto" w:fill="auto"/>
            <w:noWrap/>
            <w:vAlign w:val="bottom"/>
            <w:hideMark/>
          </w:tcPr>
          <w:p w14:paraId="1D87B896" w14:textId="77777777" w:rsidR="00F249DB" w:rsidRPr="00175373" w:rsidRDefault="00F249DB"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Valor </w:t>
            </w:r>
            <w:r w:rsidR="002452ED" w:rsidRPr="00175373">
              <w:rPr>
                <w:rFonts w:ascii="Calibri" w:eastAsia="Times New Roman" w:hAnsi="Calibri" w:cs="Calibri"/>
                <w:color w:val="000000"/>
              </w:rPr>
              <w:t>Total</w:t>
            </w:r>
          </w:p>
          <w:p w14:paraId="3F94A601" w14:textId="499DAF5A" w:rsidR="00F249DB" w:rsidRPr="00175373" w:rsidRDefault="002452ED" w:rsidP="003E2341">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mar/2020 - mar/2021</w:t>
            </w:r>
          </w:p>
          <w:p w14:paraId="44B15BEA" w14:textId="77777777" w:rsidR="00F249DB" w:rsidRPr="00175373" w:rsidRDefault="00F249DB" w:rsidP="00F249DB">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N</w:t>
            </w:r>
          </w:p>
          <w:p w14:paraId="5BF776C7" w14:textId="5CE909B1" w:rsidR="00F249DB" w:rsidRPr="00175373" w:rsidRDefault="00F249DB" w:rsidP="00F249DB">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w:t>
            </w:r>
          </w:p>
          <w:p w14:paraId="6CA290FA" w14:textId="3952995B" w:rsidR="002452ED" w:rsidRPr="00175373" w:rsidRDefault="002452ED" w:rsidP="00F92F84">
            <w:pPr>
              <w:spacing w:after="0" w:line="240" w:lineRule="auto"/>
              <w:jc w:val="center"/>
              <w:rPr>
                <w:rFonts w:ascii="Calibri" w:eastAsia="Times New Roman" w:hAnsi="Calibri" w:cs="Calibri"/>
                <w:color w:val="000000"/>
              </w:rPr>
            </w:pPr>
          </w:p>
        </w:tc>
        <w:tc>
          <w:tcPr>
            <w:tcW w:w="2353" w:type="dxa"/>
            <w:shd w:val="clear" w:color="auto" w:fill="auto"/>
            <w:noWrap/>
            <w:vAlign w:val="bottom"/>
            <w:hideMark/>
          </w:tcPr>
          <w:p w14:paraId="7A064AEF" w14:textId="2D5F6F8F" w:rsidR="00F249DB" w:rsidRPr="00175373" w:rsidRDefault="007A63A4"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Variação entre os dois períodos</w:t>
            </w:r>
          </w:p>
          <w:p w14:paraId="5E75A1CB" w14:textId="77777777" w:rsidR="00F249DB" w:rsidRPr="00175373" w:rsidRDefault="00F249DB"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N</w:t>
            </w:r>
          </w:p>
          <w:p w14:paraId="1E81F0F9" w14:textId="07630564" w:rsidR="00F249DB" w:rsidRPr="00175373" w:rsidRDefault="00F249DB"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w:t>
            </w:r>
          </w:p>
          <w:p w14:paraId="33A0ACF3" w14:textId="77D660A1" w:rsidR="002452ED" w:rsidRPr="00175373" w:rsidRDefault="002452ED" w:rsidP="001B4589">
            <w:pPr>
              <w:spacing w:after="0" w:line="240" w:lineRule="auto"/>
              <w:jc w:val="center"/>
              <w:rPr>
                <w:rFonts w:ascii="Calibri" w:eastAsia="Times New Roman" w:hAnsi="Calibri" w:cs="Calibri"/>
                <w:color w:val="000000"/>
              </w:rPr>
            </w:pPr>
          </w:p>
        </w:tc>
      </w:tr>
      <w:tr w:rsidR="002452ED" w:rsidRPr="00175373" w14:paraId="7E8A650F" w14:textId="77777777" w:rsidTr="002A6C5D">
        <w:trPr>
          <w:trHeight w:val="300"/>
        </w:trPr>
        <w:tc>
          <w:tcPr>
            <w:tcW w:w="2553" w:type="dxa"/>
            <w:shd w:val="clear" w:color="auto" w:fill="auto"/>
            <w:noWrap/>
            <w:vAlign w:val="bottom"/>
            <w:hideMark/>
          </w:tcPr>
          <w:p w14:paraId="45C52C81"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I.   Algumas doenças infecciosas e parasitárias</w:t>
            </w:r>
          </w:p>
        </w:tc>
        <w:tc>
          <w:tcPr>
            <w:tcW w:w="2692" w:type="dxa"/>
            <w:shd w:val="clear" w:color="auto" w:fill="auto"/>
            <w:noWrap/>
            <w:vAlign w:val="bottom"/>
            <w:hideMark/>
          </w:tcPr>
          <w:p w14:paraId="492E5D0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1.200.655.486,91</w:t>
            </w:r>
          </w:p>
          <w:p w14:paraId="3849320C" w14:textId="4E5DEEDD" w:rsidR="007231B0" w:rsidRPr="00175373" w:rsidRDefault="000E3C94"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w:t>
            </w:r>
            <w:r w:rsidR="007231B0" w:rsidRPr="00175373">
              <w:rPr>
                <w:rFonts w:ascii="Calibri" w:eastAsia="Times New Roman" w:hAnsi="Calibri" w:cs="Calibri"/>
                <w:color w:val="000000"/>
              </w:rPr>
              <w:t>%</w:t>
            </w:r>
          </w:p>
        </w:tc>
        <w:tc>
          <w:tcPr>
            <w:tcW w:w="2480" w:type="dxa"/>
            <w:shd w:val="clear" w:color="auto" w:fill="auto"/>
            <w:noWrap/>
            <w:vAlign w:val="bottom"/>
            <w:hideMark/>
          </w:tcPr>
          <w:p w14:paraId="2F8F82E6"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4.696.019.660,46</w:t>
            </w:r>
          </w:p>
          <w:p w14:paraId="6B11C063" w14:textId="42FE9149" w:rsidR="007231B0" w:rsidRPr="00175373" w:rsidRDefault="000E3C94"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25</w:t>
            </w:r>
            <w:r w:rsidR="007231B0" w:rsidRPr="00175373">
              <w:rPr>
                <w:rFonts w:ascii="Calibri" w:eastAsia="Times New Roman" w:hAnsi="Calibri" w:cs="Calibri"/>
                <w:color w:val="000000"/>
              </w:rPr>
              <w:t>%</w:t>
            </w:r>
          </w:p>
        </w:tc>
        <w:tc>
          <w:tcPr>
            <w:tcW w:w="2353" w:type="dxa"/>
            <w:shd w:val="clear" w:color="auto" w:fill="auto"/>
            <w:noWrap/>
            <w:vAlign w:val="bottom"/>
            <w:hideMark/>
          </w:tcPr>
          <w:p w14:paraId="1ED8DA32" w14:textId="03297F3A" w:rsidR="000B043B" w:rsidRPr="00175373" w:rsidRDefault="00CA411E" w:rsidP="001B4589">
            <w:pPr>
              <w:spacing w:after="0" w:line="240" w:lineRule="auto"/>
              <w:ind w:right="440"/>
              <w:jc w:val="center"/>
              <w:rPr>
                <w:rFonts w:ascii="Calibri" w:eastAsia="Times New Roman" w:hAnsi="Calibri" w:cs="Calibri"/>
                <w:color w:val="000000"/>
              </w:rPr>
            </w:pPr>
            <w:r w:rsidRPr="00175373">
              <w:rPr>
                <w:rFonts w:ascii="Calibri" w:eastAsia="Times New Roman" w:hAnsi="Calibri" w:cs="Calibri"/>
                <w:color w:val="000000"/>
              </w:rPr>
              <w:t>3.495.364.174,55</w:t>
            </w:r>
          </w:p>
          <w:p w14:paraId="230E817D" w14:textId="53527ED7" w:rsidR="002452ED" w:rsidRPr="00175373" w:rsidRDefault="002452ED" w:rsidP="001B4589">
            <w:pPr>
              <w:spacing w:after="0" w:line="240" w:lineRule="auto"/>
              <w:ind w:right="440"/>
              <w:jc w:val="center"/>
              <w:rPr>
                <w:rFonts w:ascii="Calibri" w:eastAsia="Times New Roman" w:hAnsi="Calibri" w:cs="Calibri"/>
                <w:color w:val="000000"/>
              </w:rPr>
            </w:pPr>
            <w:r w:rsidRPr="00175373">
              <w:rPr>
                <w:rFonts w:ascii="Calibri" w:eastAsia="Times New Roman" w:hAnsi="Calibri" w:cs="Calibri"/>
                <w:color w:val="000000"/>
              </w:rPr>
              <w:t>291,12%</w:t>
            </w:r>
          </w:p>
        </w:tc>
      </w:tr>
      <w:tr w:rsidR="002452ED" w:rsidRPr="00175373" w14:paraId="57395B20" w14:textId="77777777" w:rsidTr="002A6C5D">
        <w:trPr>
          <w:trHeight w:val="300"/>
        </w:trPr>
        <w:tc>
          <w:tcPr>
            <w:tcW w:w="2553" w:type="dxa"/>
            <w:shd w:val="clear" w:color="auto" w:fill="auto"/>
            <w:noWrap/>
            <w:vAlign w:val="bottom"/>
            <w:hideMark/>
          </w:tcPr>
          <w:p w14:paraId="1E53E9B0"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II.  Neoplasias (tumores)</w:t>
            </w:r>
          </w:p>
        </w:tc>
        <w:tc>
          <w:tcPr>
            <w:tcW w:w="2692" w:type="dxa"/>
            <w:shd w:val="clear" w:color="auto" w:fill="auto"/>
            <w:noWrap/>
            <w:vAlign w:val="bottom"/>
            <w:hideMark/>
          </w:tcPr>
          <w:p w14:paraId="2B528545"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1.858.281.056,28</w:t>
            </w:r>
          </w:p>
          <w:p w14:paraId="1438B485" w14:textId="2CFE91B9"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12</w:t>
            </w:r>
            <w:r w:rsidR="000E3C94" w:rsidRPr="00175373">
              <w:rPr>
                <w:rFonts w:ascii="Calibri" w:eastAsia="Times New Roman" w:hAnsi="Calibri" w:cs="Calibri"/>
                <w:color w:val="000000"/>
              </w:rPr>
              <w:t>%</w:t>
            </w:r>
          </w:p>
        </w:tc>
        <w:tc>
          <w:tcPr>
            <w:tcW w:w="2480" w:type="dxa"/>
            <w:shd w:val="clear" w:color="auto" w:fill="auto"/>
            <w:noWrap/>
            <w:vAlign w:val="bottom"/>
            <w:hideMark/>
          </w:tcPr>
          <w:p w14:paraId="3323C78E"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1.817.414.592,92</w:t>
            </w:r>
          </w:p>
          <w:p w14:paraId="5E7212E7" w14:textId="6FB67E9E"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w:t>
            </w:r>
            <w:r w:rsidR="000E3C94" w:rsidRPr="00175373">
              <w:rPr>
                <w:rFonts w:ascii="Calibri" w:eastAsia="Times New Roman" w:hAnsi="Calibri" w:cs="Calibri"/>
                <w:color w:val="000000"/>
              </w:rPr>
              <w:t>%</w:t>
            </w:r>
          </w:p>
        </w:tc>
        <w:tc>
          <w:tcPr>
            <w:tcW w:w="2353" w:type="dxa"/>
            <w:shd w:val="clear" w:color="auto" w:fill="auto"/>
            <w:noWrap/>
            <w:vAlign w:val="bottom"/>
            <w:hideMark/>
          </w:tcPr>
          <w:p w14:paraId="69B728F6" w14:textId="484466D3"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40.866.463,36</w:t>
            </w:r>
          </w:p>
          <w:p w14:paraId="594C17C9" w14:textId="4CAED1E5"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-2,20%</w:t>
            </w:r>
          </w:p>
        </w:tc>
      </w:tr>
      <w:tr w:rsidR="002452ED" w:rsidRPr="00175373" w14:paraId="014B819C" w14:textId="77777777" w:rsidTr="002A6C5D">
        <w:trPr>
          <w:trHeight w:val="300"/>
        </w:trPr>
        <w:tc>
          <w:tcPr>
            <w:tcW w:w="2553" w:type="dxa"/>
            <w:shd w:val="clear" w:color="auto" w:fill="auto"/>
            <w:noWrap/>
            <w:vAlign w:val="bottom"/>
            <w:hideMark/>
          </w:tcPr>
          <w:p w14:paraId="4E69C40C"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 xml:space="preserve">III. Doenças sangue órgãos </w:t>
            </w:r>
            <w:proofErr w:type="spellStart"/>
            <w:r w:rsidRPr="00175373">
              <w:rPr>
                <w:rFonts w:ascii="Calibri" w:eastAsia="Times New Roman" w:hAnsi="Calibri" w:cs="Calibri"/>
                <w:color w:val="000000"/>
              </w:rPr>
              <w:t>hemat</w:t>
            </w:r>
            <w:proofErr w:type="spellEnd"/>
            <w:r w:rsidRPr="00175373">
              <w:rPr>
                <w:rFonts w:ascii="Calibri" w:eastAsia="Times New Roman" w:hAnsi="Calibri" w:cs="Calibri"/>
                <w:color w:val="000000"/>
              </w:rPr>
              <w:t xml:space="preserve"> e </w:t>
            </w:r>
            <w:proofErr w:type="spellStart"/>
            <w:r w:rsidRPr="00175373">
              <w:rPr>
                <w:rFonts w:ascii="Calibri" w:eastAsia="Times New Roman" w:hAnsi="Calibri" w:cs="Calibri"/>
                <w:color w:val="000000"/>
              </w:rPr>
              <w:t>transt</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imunitár</w:t>
            </w:r>
            <w:proofErr w:type="spellEnd"/>
          </w:p>
        </w:tc>
        <w:tc>
          <w:tcPr>
            <w:tcW w:w="2692" w:type="dxa"/>
            <w:shd w:val="clear" w:color="auto" w:fill="auto"/>
            <w:noWrap/>
            <w:vAlign w:val="bottom"/>
            <w:hideMark/>
          </w:tcPr>
          <w:p w14:paraId="1160AB54"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80.281.476,39</w:t>
            </w:r>
          </w:p>
          <w:p w14:paraId="4A92F001" w14:textId="5CC9E8D0"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0E3C94" w:rsidRPr="00175373">
              <w:rPr>
                <w:rFonts w:ascii="Calibri" w:eastAsia="Times New Roman" w:hAnsi="Calibri" w:cs="Calibri"/>
                <w:color w:val="000000"/>
              </w:rPr>
              <w:t>%</w:t>
            </w:r>
          </w:p>
        </w:tc>
        <w:tc>
          <w:tcPr>
            <w:tcW w:w="2480" w:type="dxa"/>
            <w:shd w:val="clear" w:color="auto" w:fill="auto"/>
            <w:noWrap/>
            <w:vAlign w:val="bottom"/>
            <w:hideMark/>
          </w:tcPr>
          <w:p w14:paraId="6556C41F" w14:textId="77777777" w:rsidR="000E3C94"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77.203.376,75</w:t>
            </w:r>
          </w:p>
          <w:p w14:paraId="020E2292" w14:textId="472475D9" w:rsidR="002452ED"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r w:rsidR="000E3C94" w:rsidRPr="00175373">
              <w:rPr>
                <w:rFonts w:ascii="Calibri" w:eastAsia="Times New Roman" w:hAnsi="Calibri" w:cs="Calibri"/>
                <w:color w:val="000000"/>
              </w:rPr>
              <w:t>%</w:t>
            </w:r>
          </w:p>
        </w:tc>
        <w:tc>
          <w:tcPr>
            <w:tcW w:w="2353" w:type="dxa"/>
            <w:shd w:val="clear" w:color="auto" w:fill="auto"/>
            <w:noWrap/>
            <w:vAlign w:val="bottom"/>
            <w:hideMark/>
          </w:tcPr>
          <w:p w14:paraId="0EBC183F" w14:textId="5306D5C9"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3.078.099,64</w:t>
            </w:r>
          </w:p>
          <w:p w14:paraId="7350E419" w14:textId="6411822E"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-3,83%</w:t>
            </w:r>
          </w:p>
        </w:tc>
      </w:tr>
      <w:tr w:rsidR="002452ED" w:rsidRPr="00175373" w14:paraId="51CCCD4B" w14:textId="77777777" w:rsidTr="002A6C5D">
        <w:trPr>
          <w:trHeight w:val="300"/>
        </w:trPr>
        <w:tc>
          <w:tcPr>
            <w:tcW w:w="2553" w:type="dxa"/>
            <w:shd w:val="clear" w:color="auto" w:fill="auto"/>
            <w:noWrap/>
            <w:vAlign w:val="bottom"/>
            <w:hideMark/>
          </w:tcPr>
          <w:p w14:paraId="48B7DEB7"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IV.  Doenças endócrinas nutricionais e metabólicas</w:t>
            </w:r>
          </w:p>
        </w:tc>
        <w:tc>
          <w:tcPr>
            <w:tcW w:w="2692" w:type="dxa"/>
            <w:shd w:val="clear" w:color="auto" w:fill="auto"/>
            <w:noWrap/>
            <w:vAlign w:val="bottom"/>
            <w:hideMark/>
          </w:tcPr>
          <w:p w14:paraId="759961BC"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253.969.738,53</w:t>
            </w:r>
          </w:p>
          <w:p w14:paraId="50E7F04B" w14:textId="48F54B61"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0E3C94" w:rsidRPr="00175373">
              <w:rPr>
                <w:rFonts w:ascii="Calibri" w:eastAsia="Times New Roman" w:hAnsi="Calibri" w:cs="Calibri"/>
                <w:color w:val="000000"/>
              </w:rPr>
              <w:t>%</w:t>
            </w:r>
          </w:p>
        </w:tc>
        <w:tc>
          <w:tcPr>
            <w:tcW w:w="2480" w:type="dxa"/>
            <w:shd w:val="clear" w:color="auto" w:fill="auto"/>
            <w:noWrap/>
            <w:vAlign w:val="bottom"/>
            <w:hideMark/>
          </w:tcPr>
          <w:p w14:paraId="77FBC505"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179.703.805,18</w:t>
            </w:r>
          </w:p>
          <w:p w14:paraId="6CFA3C11" w14:textId="3F4117E9"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0E3C94" w:rsidRPr="00175373">
              <w:rPr>
                <w:rFonts w:ascii="Calibri" w:eastAsia="Times New Roman" w:hAnsi="Calibri" w:cs="Calibri"/>
                <w:color w:val="000000"/>
              </w:rPr>
              <w:t>%</w:t>
            </w:r>
          </w:p>
        </w:tc>
        <w:tc>
          <w:tcPr>
            <w:tcW w:w="2353" w:type="dxa"/>
            <w:shd w:val="clear" w:color="auto" w:fill="auto"/>
            <w:noWrap/>
            <w:vAlign w:val="bottom"/>
            <w:hideMark/>
          </w:tcPr>
          <w:p w14:paraId="2367E6E4" w14:textId="02A36FDB"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74.265.933,35</w:t>
            </w:r>
          </w:p>
          <w:p w14:paraId="56DF5BAD" w14:textId="09A53ED3"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-29,24%</w:t>
            </w:r>
          </w:p>
        </w:tc>
      </w:tr>
      <w:tr w:rsidR="002452ED" w:rsidRPr="00175373" w14:paraId="45CDC36C" w14:textId="77777777" w:rsidTr="002A6C5D">
        <w:trPr>
          <w:trHeight w:val="300"/>
        </w:trPr>
        <w:tc>
          <w:tcPr>
            <w:tcW w:w="2553" w:type="dxa"/>
            <w:shd w:val="clear" w:color="auto" w:fill="auto"/>
            <w:noWrap/>
            <w:vAlign w:val="bottom"/>
            <w:hideMark/>
          </w:tcPr>
          <w:p w14:paraId="38ECA118"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V.   Transtornos mentais e comportamentais</w:t>
            </w:r>
          </w:p>
        </w:tc>
        <w:tc>
          <w:tcPr>
            <w:tcW w:w="2692" w:type="dxa"/>
            <w:shd w:val="clear" w:color="auto" w:fill="auto"/>
            <w:noWrap/>
            <w:vAlign w:val="bottom"/>
            <w:hideMark/>
          </w:tcPr>
          <w:p w14:paraId="27F6EA84"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348.660.652,28</w:t>
            </w:r>
          </w:p>
          <w:p w14:paraId="68ECF04E" w14:textId="05599D96"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0E3C94" w:rsidRPr="00175373">
              <w:rPr>
                <w:rFonts w:ascii="Calibri" w:eastAsia="Times New Roman" w:hAnsi="Calibri" w:cs="Calibri"/>
                <w:color w:val="000000"/>
              </w:rPr>
              <w:t>%</w:t>
            </w:r>
          </w:p>
        </w:tc>
        <w:tc>
          <w:tcPr>
            <w:tcW w:w="2480" w:type="dxa"/>
            <w:shd w:val="clear" w:color="auto" w:fill="auto"/>
            <w:noWrap/>
            <w:vAlign w:val="bottom"/>
            <w:hideMark/>
          </w:tcPr>
          <w:p w14:paraId="670A9FF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314.038.707,87</w:t>
            </w:r>
          </w:p>
          <w:p w14:paraId="64CBD153" w14:textId="4AB93C0A"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0E3C94" w:rsidRPr="00175373">
              <w:rPr>
                <w:rFonts w:ascii="Calibri" w:eastAsia="Times New Roman" w:hAnsi="Calibri" w:cs="Calibri"/>
                <w:color w:val="000000"/>
              </w:rPr>
              <w:t>%</w:t>
            </w:r>
          </w:p>
        </w:tc>
        <w:tc>
          <w:tcPr>
            <w:tcW w:w="2353" w:type="dxa"/>
            <w:shd w:val="clear" w:color="auto" w:fill="auto"/>
            <w:noWrap/>
            <w:vAlign w:val="bottom"/>
            <w:hideMark/>
          </w:tcPr>
          <w:p w14:paraId="6FA4335E" w14:textId="4E32819E"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34.621.944,41</w:t>
            </w:r>
          </w:p>
          <w:p w14:paraId="7A2A5A0E" w14:textId="4DB68F4C"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-9,93%</w:t>
            </w:r>
          </w:p>
        </w:tc>
      </w:tr>
      <w:tr w:rsidR="002452ED" w:rsidRPr="00175373" w14:paraId="733A365F" w14:textId="77777777" w:rsidTr="002A6C5D">
        <w:trPr>
          <w:trHeight w:val="300"/>
        </w:trPr>
        <w:tc>
          <w:tcPr>
            <w:tcW w:w="2553" w:type="dxa"/>
            <w:shd w:val="clear" w:color="auto" w:fill="auto"/>
            <w:noWrap/>
            <w:vAlign w:val="bottom"/>
            <w:hideMark/>
          </w:tcPr>
          <w:p w14:paraId="01CED54A"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VI.  Doenças do sistema nervoso</w:t>
            </w:r>
          </w:p>
        </w:tc>
        <w:tc>
          <w:tcPr>
            <w:tcW w:w="2692" w:type="dxa"/>
            <w:shd w:val="clear" w:color="auto" w:fill="auto"/>
            <w:noWrap/>
            <w:vAlign w:val="bottom"/>
            <w:hideMark/>
          </w:tcPr>
          <w:p w14:paraId="4CBD11EA" w14:textId="59FF32B2"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346.63</w:t>
            </w:r>
            <w:r w:rsidR="00473642" w:rsidRPr="00175373">
              <w:rPr>
                <w:rFonts w:ascii="Calibri" w:eastAsia="Times New Roman" w:hAnsi="Calibri" w:cs="Calibri"/>
                <w:color w:val="000000"/>
              </w:rPr>
              <w:t>2</w:t>
            </w:r>
            <w:r w:rsidRPr="00175373">
              <w:rPr>
                <w:rFonts w:ascii="Calibri" w:eastAsia="Times New Roman" w:hAnsi="Calibri" w:cs="Calibri"/>
                <w:color w:val="000000"/>
              </w:rPr>
              <w:t>4.409,95</w:t>
            </w:r>
          </w:p>
          <w:p w14:paraId="76D91D32" w14:textId="38552CF3"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0E3C94" w:rsidRPr="00175373">
              <w:rPr>
                <w:rFonts w:ascii="Calibri" w:eastAsia="Times New Roman" w:hAnsi="Calibri" w:cs="Calibri"/>
                <w:color w:val="000000"/>
              </w:rPr>
              <w:t>%</w:t>
            </w:r>
          </w:p>
        </w:tc>
        <w:tc>
          <w:tcPr>
            <w:tcW w:w="2480" w:type="dxa"/>
            <w:shd w:val="clear" w:color="auto" w:fill="auto"/>
            <w:noWrap/>
            <w:vAlign w:val="bottom"/>
            <w:hideMark/>
          </w:tcPr>
          <w:p w14:paraId="7275071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336.293.046,57</w:t>
            </w:r>
          </w:p>
          <w:p w14:paraId="0241F28B" w14:textId="64C73E98"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0E3C94" w:rsidRPr="00175373">
              <w:rPr>
                <w:rFonts w:ascii="Calibri" w:eastAsia="Times New Roman" w:hAnsi="Calibri" w:cs="Calibri"/>
                <w:color w:val="000000"/>
              </w:rPr>
              <w:t>%</w:t>
            </w:r>
          </w:p>
        </w:tc>
        <w:tc>
          <w:tcPr>
            <w:tcW w:w="2353" w:type="dxa"/>
            <w:shd w:val="clear" w:color="auto" w:fill="auto"/>
            <w:noWrap/>
            <w:vAlign w:val="bottom"/>
            <w:hideMark/>
          </w:tcPr>
          <w:p w14:paraId="3D24F422" w14:textId="3307D2E6"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10.341.363,38</w:t>
            </w:r>
          </w:p>
          <w:p w14:paraId="37026DC7" w14:textId="6C2406C7"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-2,98%</w:t>
            </w:r>
          </w:p>
        </w:tc>
      </w:tr>
      <w:tr w:rsidR="002452ED" w:rsidRPr="00175373" w14:paraId="305FB732" w14:textId="77777777" w:rsidTr="002A6C5D">
        <w:trPr>
          <w:trHeight w:val="300"/>
        </w:trPr>
        <w:tc>
          <w:tcPr>
            <w:tcW w:w="2553" w:type="dxa"/>
            <w:shd w:val="clear" w:color="auto" w:fill="auto"/>
            <w:noWrap/>
            <w:vAlign w:val="bottom"/>
            <w:hideMark/>
          </w:tcPr>
          <w:p w14:paraId="1B44CB82"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VII. Doenças do olho e anexos</w:t>
            </w:r>
          </w:p>
        </w:tc>
        <w:tc>
          <w:tcPr>
            <w:tcW w:w="2692" w:type="dxa"/>
            <w:shd w:val="clear" w:color="auto" w:fill="auto"/>
            <w:noWrap/>
            <w:vAlign w:val="bottom"/>
            <w:hideMark/>
          </w:tcPr>
          <w:p w14:paraId="3FA3607D"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184.285.710,09</w:t>
            </w:r>
          </w:p>
          <w:p w14:paraId="393FEA68" w14:textId="15766BEB"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0E3C94" w:rsidRPr="00175373">
              <w:rPr>
                <w:rFonts w:ascii="Calibri" w:eastAsia="Times New Roman" w:hAnsi="Calibri" w:cs="Calibri"/>
                <w:color w:val="000000"/>
              </w:rPr>
              <w:t>%</w:t>
            </w:r>
          </w:p>
        </w:tc>
        <w:tc>
          <w:tcPr>
            <w:tcW w:w="2480" w:type="dxa"/>
            <w:shd w:val="clear" w:color="auto" w:fill="auto"/>
            <w:noWrap/>
            <w:vAlign w:val="bottom"/>
            <w:hideMark/>
          </w:tcPr>
          <w:p w14:paraId="2226377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128.963.970,43</w:t>
            </w:r>
          </w:p>
          <w:p w14:paraId="641069C0" w14:textId="5D70FB49"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0E3C94" w:rsidRPr="00175373">
              <w:rPr>
                <w:rFonts w:ascii="Calibri" w:eastAsia="Times New Roman" w:hAnsi="Calibri" w:cs="Calibri"/>
                <w:color w:val="000000"/>
              </w:rPr>
              <w:t>%</w:t>
            </w:r>
          </w:p>
        </w:tc>
        <w:tc>
          <w:tcPr>
            <w:tcW w:w="2353" w:type="dxa"/>
            <w:shd w:val="clear" w:color="auto" w:fill="auto"/>
            <w:noWrap/>
            <w:vAlign w:val="bottom"/>
            <w:hideMark/>
          </w:tcPr>
          <w:p w14:paraId="26A0C619" w14:textId="74B7320B"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55.321.735,66</w:t>
            </w:r>
          </w:p>
          <w:p w14:paraId="64B5E003" w14:textId="1FD417C6"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-30,02%</w:t>
            </w:r>
          </w:p>
        </w:tc>
      </w:tr>
      <w:tr w:rsidR="002452ED" w:rsidRPr="00175373" w14:paraId="1F6BA386" w14:textId="77777777" w:rsidTr="002A6C5D">
        <w:trPr>
          <w:trHeight w:val="300"/>
        </w:trPr>
        <w:tc>
          <w:tcPr>
            <w:tcW w:w="2553" w:type="dxa"/>
            <w:shd w:val="clear" w:color="auto" w:fill="auto"/>
            <w:noWrap/>
            <w:vAlign w:val="bottom"/>
            <w:hideMark/>
          </w:tcPr>
          <w:p w14:paraId="6303C66A" w14:textId="47EA6D78"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VIII.</w:t>
            </w:r>
            <w:r w:rsidR="00D4396B" w:rsidRPr="00175373">
              <w:rPr>
                <w:rFonts w:ascii="Calibri" w:eastAsia="Times New Roman" w:hAnsi="Calibri" w:cs="Calibri"/>
                <w:color w:val="000000"/>
              </w:rPr>
              <w:t xml:space="preserve"> </w:t>
            </w:r>
            <w:r w:rsidRPr="00175373">
              <w:rPr>
                <w:rFonts w:ascii="Calibri" w:eastAsia="Times New Roman" w:hAnsi="Calibri" w:cs="Calibri"/>
                <w:color w:val="000000"/>
              </w:rPr>
              <w:t xml:space="preserve">Doenças do ouvido e da apófise </w:t>
            </w:r>
            <w:proofErr w:type="spellStart"/>
            <w:r w:rsidRPr="00175373">
              <w:rPr>
                <w:rFonts w:ascii="Calibri" w:eastAsia="Times New Roman" w:hAnsi="Calibri" w:cs="Calibri"/>
                <w:color w:val="000000"/>
              </w:rPr>
              <w:t>mastóide</w:t>
            </w:r>
            <w:proofErr w:type="spellEnd"/>
          </w:p>
        </w:tc>
        <w:tc>
          <w:tcPr>
            <w:tcW w:w="2692" w:type="dxa"/>
            <w:shd w:val="clear" w:color="auto" w:fill="auto"/>
            <w:noWrap/>
            <w:vAlign w:val="bottom"/>
            <w:hideMark/>
          </w:tcPr>
          <w:p w14:paraId="5DC03965"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62.032.892,50</w:t>
            </w:r>
          </w:p>
          <w:p w14:paraId="22DFB4C4" w14:textId="36AA260B"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r w:rsidR="000E3C94" w:rsidRPr="00175373">
              <w:rPr>
                <w:rFonts w:ascii="Calibri" w:eastAsia="Times New Roman" w:hAnsi="Calibri" w:cs="Calibri"/>
                <w:color w:val="000000"/>
              </w:rPr>
              <w:t>%</w:t>
            </w:r>
          </w:p>
        </w:tc>
        <w:tc>
          <w:tcPr>
            <w:tcW w:w="2480" w:type="dxa"/>
            <w:shd w:val="clear" w:color="auto" w:fill="auto"/>
            <w:noWrap/>
            <w:vAlign w:val="bottom"/>
            <w:hideMark/>
          </w:tcPr>
          <w:p w14:paraId="1F2AF56F"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38.377.486,10</w:t>
            </w:r>
          </w:p>
          <w:p w14:paraId="7B267806" w14:textId="4201E312"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r w:rsidR="000E3C94" w:rsidRPr="00175373">
              <w:rPr>
                <w:rFonts w:ascii="Calibri" w:eastAsia="Times New Roman" w:hAnsi="Calibri" w:cs="Calibri"/>
                <w:color w:val="000000"/>
              </w:rPr>
              <w:t>%</w:t>
            </w:r>
          </w:p>
        </w:tc>
        <w:tc>
          <w:tcPr>
            <w:tcW w:w="2353" w:type="dxa"/>
            <w:shd w:val="clear" w:color="auto" w:fill="auto"/>
            <w:noWrap/>
            <w:vAlign w:val="bottom"/>
            <w:hideMark/>
          </w:tcPr>
          <w:p w14:paraId="11BD2228" w14:textId="7E82A314"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23.655.406,40</w:t>
            </w:r>
          </w:p>
          <w:p w14:paraId="0DD7808F" w14:textId="4D069CE0"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-38,13%</w:t>
            </w:r>
          </w:p>
        </w:tc>
      </w:tr>
      <w:tr w:rsidR="002452ED" w:rsidRPr="00175373" w14:paraId="3D182E30" w14:textId="77777777" w:rsidTr="002A6C5D">
        <w:trPr>
          <w:trHeight w:val="300"/>
        </w:trPr>
        <w:tc>
          <w:tcPr>
            <w:tcW w:w="2553" w:type="dxa"/>
            <w:shd w:val="clear" w:color="auto" w:fill="auto"/>
            <w:noWrap/>
            <w:vAlign w:val="bottom"/>
            <w:hideMark/>
          </w:tcPr>
          <w:p w14:paraId="7F6D20A5"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IX.  Doenças do aparelho circulatório</w:t>
            </w:r>
          </w:p>
        </w:tc>
        <w:tc>
          <w:tcPr>
            <w:tcW w:w="2692" w:type="dxa"/>
            <w:shd w:val="clear" w:color="auto" w:fill="auto"/>
            <w:noWrap/>
            <w:vAlign w:val="bottom"/>
            <w:hideMark/>
          </w:tcPr>
          <w:p w14:paraId="02A834F3"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3.121.218.169,00</w:t>
            </w:r>
          </w:p>
          <w:p w14:paraId="188A5966" w14:textId="7781187A"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20</w:t>
            </w:r>
            <w:r w:rsidR="000E3C94" w:rsidRPr="00175373">
              <w:rPr>
                <w:rFonts w:ascii="Calibri" w:eastAsia="Times New Roman" w:hAnsi="Calibri" w:cs="Calibri"/>
                <w:color w:val="000000"/>
              </w:rPr>
              <w:t>%</w:t>
            </w:r>
          </w:p>
        </w:tc>
        <w:tc>
          <w:tcPr>
            <w:tcW w:w="2480" w:type="dxa"/>
            <w:shd w:val="clear" w:color="auto" w:fill="auto"/>
            <w:noWrap/>
            <w:vAlign w:val="bottom"/>
            <w:hideMark/>
          </w:tcPr>
          <w:p w14:paraId="69977942"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2.919.602.175,49</w:t>
            </w:r>
          </w:p>
          <w:p w14:paraId="0E94507C" w14:textId="6C2AD387"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16</w:t>
            </w:r>
            <w:r w:rsidR="000E3C94" w:rsidRPr="00175373">
              <w:rPr>
                <w:rFonts w:ascii="Calibri" w:eastAsia="Times New Roman" w:hAnsi="Calibri" w:cs="Calibri"/>
                <w:color w:val="000000"/>
              </w:rPr>
              <w:t>%</w:t>
            </w:r>
          </w:p>
        </w:tc>
        <w:tc>
          <w:tcPr>
            <w:tcW w:w="2353" w:type="dxa"/>
            <w:shd w:val="clear" w:color="auto" w:fill="auto"/>
            <w:noWrap/>
            <w:vAlign w:val="bottom"/>
            <w:hideMark/>
          </w:tcPr>
          <w:p w14:paraId="55FA6919" w14:textId="36232D03"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CA411E" w:rsidRPr="00175373">
              <w:rPr>
                <w:rFonts w:ascii="Calibri" w:eastAsia="Times New Roman" w:hAnsi="Calibri" w:cs="Calibri"/>
                <w:color w:val="000000"/>
              </w:rPr>
              <w:t>201.615.993,51</w:t>
            </w:r>
          </w:p>
          <w:p w14:paraId="6AE061E3" w14:textId="6AA84F63"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-6,46%</w:t>
            </w:r>
          </w:p>
        </w:tc>
      </w:tr>
      <w:tr w:rsidR="002452ED" w:rsidRPr="00175373" w14:paraId="49093802" w14:textId="77777777" w:rsidTr="002A6C5D">
        <w:trPr>
          <w:trHeight w:val="300"/>
        </w:trPr>
        <w:tc>
          <w:tcPr>
            <w:tcW w:w="2553" w:type="dxa"/>
            <w:shd w:val="clear" w:color="auto" w:fill="auto"/>
            <w:noWrap/>
            <w:vAlign w:val="bottom"/>
            <w:hideMark/>
          </w:tcPr>
          <w:p w14:paraId="63B0B07E"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 xml:space="preserve">X.   Doenças do aparelho </w:t>
            </w:r>
            <w:r w:rsidRPr="00175373">
              <w:rPr>
                <w:rFonts w:ascii="Calibri" w:eastAsia="Times New Roman" w:hAnsi="Calibri" w:cs="Calibri"/>
                <w:color w:val="000000"/>
              </w:rPr>
              <w:lastRenderedPageBreak/>
              <w:t>respiratório</w:t>
            </w:r>
          </w:p>
        </w:tc>
        <w:tc>
          <w:tcPr>
            <w:tcW w:w="2692" w:type="dxa"/>
            <w:shd w:val="clear" w:color="auto" w:fill="auto"/>
            <w:noWrap/>
            <w:vAlign w:val="bottom"/>
            <w:hideMark/>
          </w:tcPr>
          <w:p w14:paraId="6AA6C54D"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lastRenderedPageBreak/>
              <w:t xml:space="preserve"> 1.316.565.524,46</w:t>
            </w:r>
          </w:p>
          <w:p w14:paraId="0C6FAF70" w14:textId="2E94E5A0"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lastRenderedPageBreak/>
              <w:t>8</w:t>
            </w:r>
            <w:r w:rsidR="000E3C94" w:rsidRPr="00175373">
              <w:rPr>
                <w:rFonts w:ascii="Calibri" w:eastAsia="Times New Roman" w:hAnsi="Calibri" w:cs="Calibri"/>
                <w:color w:val="000000"/>
              </w:rPr>
              <w:t>%</w:t>
            </w:r>
          </w:p>
        </w:tc>
        <w:tc>
          <w:tcPr>
            <w:tcW w:w="2480" w:type="dxa"/>
            <w:shd w:val="clear" w:color="auto" w:fill="auto"/>
            <w:noWrap/>
            <w:vAlign w:val="bottom"/>
            <w:hideMark/>
          </w:tcPr>
          <w:p w14:paraId="2BA3F297"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lastRenderedPageBreak/>
              <w:t xml:space="preserve"> 1.139.080.753,97</w:t>
            </w:r>
          </w:p>
          <w:p w14:paraId="33AA111D" w14:textId="2D880013"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lastRenderedPageBreak/>
              <w:t>6</w:t>
            </w:r>
            <w:r w:rsidR="000E3C94" w:rsidRPr="00175373">
              <w:rPr>
                <w:rFonts w:ascii="Calibri" w:eastAsia="Times New Roman" w:hAnsi="Calibri" w:cs="Calibri"/>
                <w:color w:val="000000"/>
              </w:rPr>
              <w:t>%</w:t>
            </w:r>
          </w:p>
        </w:tc>
        <w:tc>
          <w:tcPr>
            <w:tcW w:w="2353" w:type="dxa"/>
            <w:shd w:val="clear" w:color="auto" w:fill="auto"/>
            <w:noWrap/>
            <w:vAlign w:val="bottom"/>
            <w:hideMark/>
          </w:tcPr>
          <w:p w14:paraId="727F1BDC" w14:textId="50786763"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w:t>
            </w:r>
            <w:r w:rsidR="00CA411E" w:rsidRPr="00175373">
              <w:rPr>
                <w:rFonts w:ascii="Calibri" w:eastAsia="Times New Roman" w:hAnsi="Calibri" w:cs="Calibri"/>
                <w:color w:val="000000"/>
              </w:rPr>
              <w:t>177.</w:t>
            </w:r>
            <w:r w:rsidR="009F2E2B" w:rsidRPr="00175373">
              <w:rPr>
                <w:rFonts w:ascii="Calibri" w:eastAsia="Times New Roman" w:hAnsi="Calibri" w:cs="Calibri"/>
                <w:color w:val="000000"/>
              </w:rPr>
              <w:t>484.770,49</w:t>
            </w:r>
          </w:p>
          <w:p w14:paraId="1E5F4C92" w14:textId="5AE7323C"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lastRenderedPageBreak/>
              <w:t>-13,48%</w:t>
            </w:r>
          </w:p>
        </w:tc>
      </w:tr>
      <w:tr w:rsidR="002452ED" w:rsidRPr="00175373" w14:paraId="039B6A27" w14:textId="77777777" w:rsidTr="002A6C5D">
        <w:trPr>
          <w:trHeight w:val="300"/>
        </w:trPr>
        <w:tc>
          <w:tcPr>
            <w:tcW w:w="2553" w:type="dxa"/>
            <w:shd w:val="clear" w:color="auto" w:fill="auto"/>
            <w:noWrap/>
            <w:vAlign w:val="bottom"/>
            <w:hideMark/>
          </w:tcPr>
          <w:p w14:paraId="01B67CB2"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lastRenderedPageBreak/>
              <w:t>XI.  Doenças do aparelho digestivo</w:t>
            </w:r>
          </w:p>
        </w:tc>
        <w:tc>
          <w:tcPr>
            <w:tcW w:w="2692" w:type="dxa"/>
            <w:shd w:val="clear" w:color="auto" w:fill="auto"/>
            <w:noWrap/>
            <w:vAlign w:val="bottom"/>
            <w:hideMark/>
          </w:tcPr>
          <w:p w14:paraId="77473FB6"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1.232.642.120,95</w:t>
            </w:r>
          </w:p>
          <w:p w14:paraId="50DA7594" w14:textId="2139F4C8" w:rsidR="000E3C94"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w:t>
            </w:r>
            <w:r w:rsidR="000E3C94" w:rsidRPr="00175373">
              <w:rPr>
                <w:rFonts w:ascii="Calibri" w:eastAsia="Times New Roman" w:hAnsi="Calibri" w:cs="Calibri"/>
                <w:color w:val="000000"/>
              </w:rPr>
              <w:t>%</w:t>
            </w:r>
          </w:p>
        </w:tc>
        <w:tc>
          <w:tcPr>
            <w:tcW w:w="2480" w:type="dxa"/>
            <w:shd w:val="clear" w:color="auto" w:fill="auto"/>
            <w:noWrap/>
            <w:vAlign w:val="bottom"/>
            <w:hideMark/>
          </w:tcPr>
          <w:p w14:paraId="1DBDA62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1.023.620.842,21</w:t>
            </w:r>
          </w:p>
          <w:p w14:paraId="67DDA275" w14:textId="43EE7193" w:rsidR="000E3C94"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6</w:t>
            </w:r>
            <w:r w:rsidR="000E3C94" w:rsidRPr="00175373">
              <w:rPr>
                <w:rFonts w:ascii="Calibri" w:eastAsia="Times New Roman" w:hAnsi="Calibri" w:cs="Calibri"/>
                <w:color w:val="000000"/>
              </w:rPr>
              <w:t>%</w:t>
            </w:r>
          </w:p>
        </w:tc>
        <w:tc>
          <w:tcPr>
            <w:tcW w:w="2353" w:type="dxa"/>
            <w:shd w:val="clear" w:color="auto" w:fill="auto"/>
            <w:noWrap/>
            <w:vAlign w:val="bottom"/>
            <w:hideMark/>
          </w:tcPr>
          <w:p w14:paraId="36F9812D" w14:textId="1ED79B95" w:rsidR="000E3C94"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9F2E2B" w:rsidRPr="00175373">
              <w:rPr>
                <w:rFonts w:ascii="Calibri" w:eastAsia="Times New Roman" w:hAnsi="Calibri" w:cs="Calibri"/>
                <w:color w:val="000000"/>
              </w:rPr>
              <w:t>209.021.278,74</w:t>
            </w:r>
          </w:p>
          <w:p w14:paraId="3CAE3E5E" w14:textId="7BCB07DC"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-16,96%</w:t>
            </w:r>
          </w:p>
        </w:tc>
      </w:tr>
      <w:tr w:rsidR="002452ED" w:rsidRPr="00175373" w14:paraId="0D0D1B0E" w14:textId="77777777" w:rsidTr="002A6C5D">
        <w:trPr>
          <w:trHeight w:val="300"/>
        </w:trPr>
        <w:tc>
          <w:tcPr>
            <w:tcW w:w="2553" w:type="dxa"/>
            <w:shd w:val="clear" w:color="auto" w:fill="auto"/>
            <w:noWrap/>
            <w:vAlign w:val="bottom"/>
            <w:hideMark/>
          </w:tcPr>
          <w:p w14:paraId="7C441103"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XII. Doenças da pele e do tecido subcutâneo</w:t>
            </w:r>
          </w:p>
        </w:tc>
        <w:tc>
          <w:tcPr>
            <w:tcW w:w="2692" w:type="dxa"/>
            <w:shd w:val="clear" w:color="auto" w:fill="auto"/>
            <w:noWrap/>
            <w:vAlign w:val="bottom"/>
            <w:hideMark/>
          </w:tcPr>
          <w:p w14:paraId="74894252"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162.800.193,58</w:t>
            </w:r>
          </w:p>
          <w:p w14:paraId="5A4D9ECB" w14:textId="47706556"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480" w:type="dxa"/>
            <w:shd w:val="clear" w:color="auto" w:fill="auto"/>
            <w:noWrap/>
            <w:vAlign w:val="bottom"/>
            <w:hideMark/>
          </w:tcPr>
          <w:p w14:paraId="6A23DF6D"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142.237.154,59</w:t>
            </w:r>
          </w:p>
          <w:p w14:paraId="6ED1B194" w14:textId="59F916D9"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353" w:type="dxa"/>
            <w:shd w:val="clear" w:color="auto" w:fill="auto"/>
            <w:noWrap/>
            <w:vAlign w:val="bottom"/>
            <w:hideMark/>
          </w:tcPr>
          <w:p w14:paraId="003F43BC" w14:textId="75F6F9BC"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9F2E2B" w:rsidRPr="00175373">
              <w:rPr>
                <w:rFonts w:ascii="Calibri" w:eastAsia="Times New Roman" w:hAnsi="Calibri" w:cs="Calibri"/>
                <w:color w:val="000000"/>
              </w:rPr>
              <w:t>20.563.038,99</w:t>
            </w:r>
          </w:p>
          <w:p w14:paraId="7D9660D1" w14:textId="48870E60"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-12,63%</w:t>
            </w:r>
          </w:p>
        </w:tc>
      </w:tr>
      <w:tr w:rsidR="002452ED" w:rsidRPr="00175373" w14:paraId="0269F1BF" w14:textId="77777777" w:rsidTr="002A6C5D">
        <w:trPr>
          <w:trHeight w:val="300"/>
        </w:trPr>
        <w:tc>
          <w:tcPr>
            <w:tcW w:w="2553" w:type="dxa"/>
            <w:shd w:val="clear" w:color="auto" w:fill="auto"/>
            <w:noWrap/>
            <w:vAlign w:val="bottom"/>
            <w:hideMark/>
          </w:tcPr>
          <w:p w14:paraId="4AD39591" w14:textId="07766C90"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XIII.</w:t>
            </w:r>
            <w:r w:rsidR="00D4396B" w:rsidRPr="00175373">
              <w:rPr>
                <w:rFonts w:ascii="Calibri" w:eastAsia="Times New Roman" w:hAnsi="Calibri" w:cs="Calibri"/>
                <w:color w:val="000000"/>
              </w:rPr>
              <w:t xml:space="preserve"> </w:t>
            </w:r>
            <w:r w:rsidRPr="00175373">
              <w:rPr>
                <w:rFonts w:ascii="Calibri" w:eastAsia="Times New Roman" w:hAnsi="Calibri" w:cs="Calibri"/>
                <w:color w:val="000000"/>
              </w:rPr>
              <w:t xml:space="preserve">Doenças </w:t>
            </w:r>
            <w:proofErr w:type="spellStart"/>
            <w:r w:rsidRPr="00175373">
              <w:rPr>
                <w:rFonts w:ascii="Calibri" w:eastAsia="Times New Roman" w:hAnsi="Calibri" w:cs="Calibri"/>
                <w:color w:val="000000"/>
              </w:rPr>
              <w:t>sist</w:t>
            </w:r>
            <w:proofErr w:type="spellEnd"/>
            <w:r w:rsidRPr="00175373">
              <w:rPr>
                <w:rFonts w:ascii="Calibri" w:eastAsia="Times New Roman" w:hAnsi="Calibri" w:cs="Calibri"/>
                <w:color w:val="000000"/>
              </w:rPr>
              <w:t xml:space="preserve"> osteomuscular e tec conjuntivo</w:t>
            </w:r>
          </w:p>
        </w:tc>
        <w:tc>
          <w:tcPr>
            <w:tcW w:w="2692" w:type="dxa"/>
            <w:shd w:val="clear" w:color="auto" w:fill="auto"/>
            <w:noWrap/>
            <w:vAlign w:val="bottom"/>
            <w:hideMark/>
          </w:tcPr>
          <w:p w14:paraId="72545A3F"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361.874.012,17</w:t>
            </w:r>
          </w:p>
          <w:p w14:paraId="321DBF55" w14:textId="3DEC756D"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3E2341" w:rsidRPr="00175373">
              <w:rPr>
                <w:rFonts w:ascii="Calibri" w:eastAsia="Times New Roman" w:hAnsi="Calibri" w:cs="Calibri"/>
                <w:color w:val="000000"/>
              </w:rPr>
              <w:t>%</w:t>
            </w:r>
          </w:p>
        </w:tc>
        <w:tc>
          <w:tcPr>
            <w:tcW w:w="2480" w:type="dxa"/>
            <w:shd w:val="clear" w:color="auto" w:fill="auto"/>
            <w:noWrap/>
            <w:vAlign w:val="bottom"/>
            <w:hideMark/>
          </w:tcPr>
          <w:p w14:paraId="3EBC6F7F"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229.381.676,78</w:t>
            </w:r>
          </w:p>
          <w:p w14:paraId="3A41E9AF" w14:textId="3914471E"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353" w:type="dxa"/>
            <w:shd w:val="clear" w:color="auto" w:fill="auto"/>
            <w:noWrap/>
            <w:vAlign w:val="bottom"/>
            <w:hideMark/>
          </w:tcPr>
          <w:p w14:paraId="47B89BB9" w14:textId="59AA511F"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9F2E2B" w:rsidRPr="00175373">
              <w:rPr>
                <w:rFonts w:ascii="Calibri" w:eastAsia="Times New Roman" w:hAnsi="Calibri" w:cs="Calibri"/>
                <w:color w:val="000000"/>
              </w:rPr>
              <w:t>132.492.335,39</w:t>
            </w:r>
          </w:p>
          <w:p w14:paraId="0DAEB532" w14:textId="3E0E5AA7"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-36,61%</w:t>
            </w:r>
          </w:p>
        </w:tc>
      </w:tr>
      <w:tr w:rsidR="002452ED" w:rsidRPr="00175373" w14:paraId="50BFE063" w14:textId="77777777" w:rsidTr="002A6C5D">
        <w:trPr>
          <w:trHeight w:val="300"/>
        </w:trPr>
        <w:tc>
          <w:tcPr>
            <w:tcW w:w="2553" w:type="dxa"/>
            <w:shd w:val="clear" w:color="auto" w:fill="auto"/>
            <w:noWrap/>
            <w:vAlign w:val="bottom"/>
            <w:hideMark/>
          </w:tcPr>
          <w:p w14:paraId="356BD0CE"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XIV. Doenças do aparelho geniturinário</w:t>
            </w:r>
          </w:p>
        </w:tc>
        <w:tc>
          <w:tcPr>
            <w:tcW w:w="2692" w:type="dxa"/>
            <w:shd w:val="clear" w:color="auto" w:fill="auto"/>
            <w:noWrap/>
            <w:vAlign w:val="bottom"/>
            <w:hideMark/>
          </w:tcPr>
          <w:p w14:paraId="29FACDC7"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839.275.178,45</w:t>
            </w:r>
          </w:p>
          <w:p w14:paraId="04362CF5" w14:textId="3C517DE2"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5</w:t>
            </w:r>
            <w:r w:rsidR="003E2341" w:rsidRPr="00175373">
              <w:rPr>
                <w:rFonts w:ascii="Calibri" w:eastAsia="Times New Roman" w:hAnsi="Calibri" w:cs="Calibri"/>
                <w:color w:val="000000"/>
              </w:rPr>
              <w:t>%</w:t>
            </w:r>
          </w:p>
        </w:tc>
        <w:tc>
          <w:tcPr>
            <w:tcW w:w="2480" w:type="dxa"/>
            <w:shd w:val="clear" w:color="auto" w:fill="auto"/>
            <w:noWrap/>
            <w:vAlign w:val="bottom"/>
            <w:hideMark/>
          </w:tcPr>
          <w:p w14:paraId="2E5134DA"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694.447.526,65</w:t>
            </w:r>
          </w:p>
          <w:p w14:paraId="2D676D60" w14:textId="6C5CA434"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4</w:t>
            </w:r>
            <w:r w:rsidR="003E2341" w:rsidRPr="00175373">
              <w:rPr>
                <w:rFonts w:ascii="Calibri" w:eastAsia="Times New Roman" w:hAnsi="Calibri" w:cs="Calibri"/>
                <w:color w:val="000000"/>
              </w:rPr>
              <w:t>%</w:t>
            </w:r>
          </w:p>
        </w:tc>
        <w:tc>
          <w:tcPr>
            <w:tcW w:w="2353" w:type="dxa"/>
            <w:shd w:val="clear" w:color="auto" w:fill="auto"/>
            <w:noWrap/>
            <w:vAlign w:val="bottom"/>
            <w:hideMark/>
          </w:tcPr>
          <w:p w14:paraId="26910164" w14:textId="03A12F90"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9F2E2B" w:rsidRPr="00175373">
              <w:rPr>
                <w:rFonts w:ascii="Calibri" w:eastAsia="Times New Roman" w:hAnsi="Calibri" w:cs="Calibri"/>
                <w:color w:val="000000"/>
              </w:rPr>
              <w:t>144.827.651,80</w:t>
            </w:r>
          </w:p>
          <w:p w14:paraId="73DBC274" w14:textId="54D2659C"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-17,26%</w:t>
            </w:r>
          </w:p>
        </w:tc>
      </w:tr>
      <w:tr w:rsidR="002452ED" w:rsidRPr="00175373" w14:paraId="6CCE86CA" w14:textId="77777777" w:rsidTr="002A6C5D">
        <w:trPr>
          <w:trHeight w:val="300"/>
        </w:trPr>
        <w:tc>
          <w:tcPr>
            <w:tcW w:w="2553" w:type="dxa"/>
            <w:shd w:val="clear" w:color="auto" w:fill="auto"/>
            <w:noWrap/>
            <w:vAlign w:val="bottom"/>
            <w:hideMark/>
          </w:tcPr>
          <w:p w14:paraId="6C1026BB"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XV.  Gravidez parto e puerpério</w:t>
            </w:r>
          </w:p>
        </w:tc>
        <w:tc>
          <w:tcPr>
            <w:tcW w:w="2692" w:type="dxa"/>
            <w:shd w:val="clear" w:color="auto" w:fill="auto"/>
            <w:noWrap/>
            <w:vAlign w:val="bottom"/>
            <w:hideMark/>
          </w:tcPr>
          <w:p w14:paraId="3866891C"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1.433.109.358,44</w:t>
            </w:r>
          </w:p>
          <w:p w14:paraId="42AABBEF" w14:textId="1D571302"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9</w:t>
            </w:r>
            <w:r w:rsidR="003E2341" w:rsidRPr="00175373">
              <w:rPr>
                <w:rFonts w:ascii="Calibri" w:eastAsia="Times New Roman" w:hAnsi="Calibri" w:cs="Calibri"/>
                <w:color w:val="000000"/>
              </w:rPr>
              <w:t>%</w:t>
            </w:r>
          </w:p>
        </w:tc>
        <w:tc>
          <w:tcPr>
            <w:tcW w:w="2480" w:type="dxa"/>
            <w:shd w:val="clear" w:color="auto" w:fill="auto"/>
            <w:noWrap/>
            <w:vAlign w:val="bottom"/>
            <w:hideMark/>
          </w:tcPr>
          <w:p w14:paraId="74BBF164"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1.476.578.663,38</w:t>
            </w:r>
          </w:p>
          <w:p w14:paraId="2AF89E29" w14:textId="6AF24C0E"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w:t>
            </w:r>
            <w:r w:rsidR="003E2341" w:rsidRPr="00175373">
              <w:rPr>
                <w:rFonts w:ascii="Calibri" w:eastAsia="Times New Roman" w:hAnsi="Calibri" w:cs="Calibri"/>
                <w:color w:val="000000"/>
              </w:rPr>
              <w:t>%</w:t>
            </w:r>
          </w:p>
        </w:tc>
        <w:tc>
          <w:tcPr>
            <w:tcW w:w="2353" w:type="dxa"/>
            <w:shd w:val="clear" w:color="auto" w:fill="auto"/>
            <w:noWrap/>
            <w:vAlign w:val="bottom"/>
            <w:hideMark/>
          </w:tcPr>
          <w:p w14:paraId="298AF5CE" w14:textId="63670E6C" w:rsidR="003E2341" w:rsidRPr="00175373" w:rsidRDefault="009F2E2B"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43.469.304,94</w:t>
            </w:r>
          </w:p>
          <w:p w14:paraId="1ED858AC" w14:textId="23EF2C80"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3,03%</w:t>
            </w:r>
          </w:p>
        </w:tc>
      </w:tr>
      <w:tr w:rsidR="002452ED" w:rsidRPr="00175373" w14:paraId="3E6CC5BD" w14:textId="77777777" w:rsidTr="002A6C5D">
        <w:trPr>
          <w:trHeight w:val="300"/>
        </w:trPr>
        <w:tc>
          <w:tcPr>
            <w:tcW w:w="2553" w:type="dxa"/>
            <w:shd w:val="clear" w:color="auto" w:fill="auto"/>
            <w:noWrap/>
            <w:vAlign w:val="bottom"/>
            <w:hideMark/>
          </w:tcPr>
          <w:p w14:paraId="4A15D816"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 xml:space="preserve">XVI. Algumas </w:t>
            </w:r>
            <w:proofErr w:type="spellStart"/>
            <w:r w:rsidRPr="00175373">
              <w:rPr>
                <w:rFonts w:ascii="Calibri" w:eastAsia="Times New Roman" w:hAnsi="Calibri" w:cs="Calibri"/>
                <w:color w:val="000000"/>
              </w:rPr>
              <w:t>afec</w:t>
            </w:r>
            <w:proofErr w:type="spellEnd"/>
            <w:r w:rsidRPr="00175373">
              <w:rPr>
                <w:rFonts w:ascii="Calibri" w:eastAsia="Times New Roman" w:hAnsi="Calibri" w:cs="Calibri"/>
                <w:color w:val="000000"/>
              </w:rPr>
              <w:t xml:space="preserve"> originadas no período perinatal</w:t>
            </w:r>
          </w:p>
        </w:tc>
        <w:tc>
          <w:tcPr>
            <w:tcW w:w="2692" w:type="dxa"/>
            <w:shd w:val="clear" w:color="auto" w:fill="auto"/>
            <w:noWrap/>
            <w:vAlign w:val="bottom"/>
            <w:hideMark/>
          </w:tcPr>
          <w:p w14:paraId="472A2C5B"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823.746.694,16</w:t>
            </w:r>
          </w:p>
          <w:p w14:paraId="430FA2A0" w14:textId="3080E747"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5</w:t>
            </w:r>
            <w:r w:rsidR="003E2341" w:rsidRPr="00175373">
              <w:rPr>
                <w:rFonts w:ascii="Calibri" w:eastAsia="Times New Roman" w:hAnsi="Calibri" w:cs="Calibri"/>
                <w:color w:val="000000"/>
              </w:rPr>
              <w:t>%</w:t>
            </w:r>
          </w:p>
        </w:tc>
        <w:tc>
          <w:tcPr>
            <w:tcW w:w="2480" w:type="dxa"/>
            <w:shd w:val="clear" w:color="auto" w:fill="auto"/>
            <w:noWrap/>
            <w:vAlign w:val="bottom"/>
            <w:hideMark/>
          </w:tcPr>
          <w:p w14:paraId="16E7E971"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912.358.227,05</w:t>
            </w:r>
          </w:p>
          <w:p w14:paraId="49DEBDC6" w14:textId="3CE9A882"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5</w:t>
            </w:r>
            <w:r w:rsidR="003E2341" w:rsidRPr="00175373">
              <w:rPr>
                <w:rFonts w:ascii="Calibri" w:eastAsia="Times New Roman" w:hAnsi="Calibri" w:cs="Calibri"/>
                <w:color w:val="000000"/>
              </w:rPr>
              <w:t>%</w:t>
            </w:r>
          </w:p>
        </w:tc>
        <w:tc>
          <w:tcPr>
            <w:tcW w:w="2353" w:type="dxa"/>
            <w:shd w:val="clear" w:color="auto" w:fill="auto"/>
            <w:noWrap/>
            <w:vAlign w:val="bottom"/>
            <w:hideMark/>
          </w:tcPr>
          <w:p w14:paraId="7C3C7118" w14:textId="549496B9" w:rsidR="003E2341" w:rsidRPr="00175373" w:rsidRDefault="009F2E2B"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88</w:t>
            </w:r>
            <w:r w:rsidR="001B4589" w:rsidRPr="00175373">
              <w:rPr>
                <w:rFonts w:ascii="Calibri" w:eastAsia="Times New Roman" w:hAnsi="Calibri" w:cs="Calibri"/>
                <w:color w:val="000000"/>
              </w:rPr>
              <w:t>.611.532,89</w:t>
            </w:r>
          </w:p>
          <w:p w14:paraId="0123331E" w14:textId="67E5F6DD"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10,76%</w:t>
            </w:r>
          </w:p>
        </w:tc>
      </w:tr>
      <w:tr w:rsidR="002452ED" w:rsidRPr="00175373" w14:paraId="70318B81" w14:textId="77777777" w:rsidTr="002A6C5D">
        <w:trPr>
          <w:trHeight w:val="300"/>
        </w:trPr>
        <w:tc>
          <w:tcPr>
            <w:tcW w:w="2553" w:type="dxa"/>
            <w:shd w:val="clear" w:color="auto" w:fill="auto"/>
            <w:noWrap/>
            <w:vAlign w:val="bottom"/>
            <w:hideMark/>
          </w:tcPr>
          <w:p w14:paraId="6DEAB435" w14:textId="652F8D3A"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XVII.</w:t>
            </w:r>
            <w:r w:rsidR="00D4396B"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Malf</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cong</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deformid</w:t>
            </w:r>
            <w:proofErr w:type="spellEnd"/>
            <w:r w:rsidRPr="00175373">
              <w:rPr>
                <w:rFonts w:ascii="Calibri" w:eastAsia="Times New Roman" w:hAnsi="Calibri" w:cs="Calibri"/>
                <w:color w:val="000000"/>
              </w:rPr>
              <w:t xml:space="preserve"> e anomalias cromossômicas</w:t>
            </w:r>
          </w:p>
        </w:tc>
        <w:tc>
          <w:tcPr>
            <w:tcW w:w="2692" w:type="dxa"/>
            <w:shd w:val="clear" w:color="auto" w:fill="auto"/>
            <w:noWrap/>
            <w:vAlign w:val="bottom"/>
            <w:hideMark/>
          </w:tcPr>
          <w:p w14:paraId="091CF848"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310.168.153,05</w:t>
            </w:r>
          </w:p>
          <w:p w14:paraId="601044AC" w14:textId="5C35676F"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3E2341" w:rsidRPr="00175373">
              <w:rPr>
                <w:rFonts w:ascii="Calibri" w:eastAsia="Times New Roman" w:hAnsi="Calibri" w:cs="Calibri"/>
                <w:color w:val="000000"/>
              </w:rPr>
              <w:t>%</w:t>
            </w:r>
          </w:p>
        </w:tc>
        <w:tc>
          <w:tcPr>
            <w:tcW w:w="2480" w:type="dxa"/>
            <w:shd w:val="clear" w:color="auto" w:fill="auto"/>
            <w:noWrap/>
            <w:vAlign w:val="bottom"/>
            <w:hideMark/>
          </w:tcPr>
          <w:p w14:paraId="56F92F71"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284.825.050,62</w:t>
            </w:r>
          </w:p>
          <w:p w14:paraId="6B275838" w14:textId="551C6208"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w:t>
            </w:r>
            <w:r w:rsidR="003E2341" w:rsidRPr="00175373">
              <w:rPr>
                <w:rFonts w:ascii="Calibri" w:eastAsia="Times New Roman" w:hAnsi="Calibri" w:cs="Calibri"/>
                <w:color w:val="000000"/>
              </w:rPr>
              <w:t>%</w:t>
            </w:r>
          </w:p>
        </w:tc>
        <w:tc>
          <w:tcPr>
            <w:tcW w:w="2353" w:type="dxa"/>
            <w:shd w:val="clear" w:color="auto" w:fill="auto"/>
            <w:noWrap/>
            <w:vAlign w:val="bottom"/>
            <w:hideMark/>
          </w:tcPr>
          <w:p w14:paraId="61AEB4C9" w14:textId="2FB8835F"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1B4589" w:rsidRPr="00175373">
              <w:rPr>
                <w:rFonts w:ascii="Calibri" w:eastAsia="Times New Roman" w:hAnsi="Calibri" w:cs="Calibri"/>
                <w:color w:val="000000"/>
              </w:rPr>
              <w:t>25.343.102,43</w:t>
            </w:r>
          </w:p>
          <w:p w14:paraId="5F703F19" w14:textId="35CBACBE"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-8,17%</w:t>
            </w:r>
          </w:p>
        </w:tc>
      </w:tr>
      <w:tr w:rsidR="002452ED" w:rsidRPr="00175373" w14:paraId="1243FB70" w14:textId="77777777" w:rsidTr="002A6C5D">
        <w:trPr>
          <w:trHeight w:val="300"/>
        </w:trPr>
        <w:tc>
          <w:tcPr>
            <w:tcW w:w="2553" w:type="dxa"/>
            <w:shd w:val="clear" w:color="auto" w:fill="auto"/>
            <w:noWrap/>
            <w:vAlign w:val="bottom"/>
            <w:hideMark/>
          </w:tcPr>
          <w:p w14:paraId="37C1C382" w14:textId="6C49DDC2"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XVIII.</w:t>
            </w:r>
            <w:r w:rsidR="00D4396B"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Sint</w:t>
            </w:r>
            <w:proofErr w:type="spellEnd"/>
            <w:r w:rsidRPr="00175373">
              <w:rPr>
                <w:rFonts w:ascii="Calibri" w:eastAsia="Times New Roman" w:hAnsi="Calibri" w:cs="Calibri"/>
                <w:color w:val="000000"/>
              </w:rPr>
              <w:t xml:space="preserve"> sinais e </w:t>
            </w:r>
            <w:proofErr w:type="spellStart"/>
            <w:r w:rsidRPr="00175373">
              <w:rPr>
                <w:rFonts w:ascii="Calibri" w:eastAsia="Times New Roman" w:hAnsi="Calibri" w:cs="Calibri"/>
                <w:color w:val="000000"/>
              </w:rPr>
              <w:t>achad</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anorm</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ex</w:t>
            </w:r>
            <w:proofErr w:type="spellEnd"/>
            <w:r w:rsidRPr="00175373">
              <w:rPr>
                <w:rFonts w:ascii="Calibri" w:eastAsia="Times New Roman" w:hAnsi="Calibri" w:cs="Calibri"/>
                <w:color w:val="000000"/>
              </w:rPr>
              <w:t xml:space="preserve"> </w:t>
            </w:r>
            <w:proofErr w:type="spellStart"/>
            <w:r w:rsidRPr="00175373">
              <w:rPr>
                <w:rFonts w:ascii="Calibri" w:eastAsia="Times New Roman" w:hAnsi="Calibri" w:cs="Calibri"/>
                <w:color w:val="000000"/>
              </w:rPr>
              <w:t>clín</w:t>
            </w:r>
            <w:proofErr w:type="spellEnd"/>
            <w:r w:rsidRPr="00175373">
              <w:rPr>
                <w:rFonts w:ascii="Calibri" w:eastAsia="Times New Roman" w:hAnsi="Calibri" w:cs="Calibri"/>
                <w:color w:val="000000"/>
              </w:rPr>
              <w:t xml:space="preserve"> e </w:t>
            </w:r>
            <w:proofErr w:type="spellStart"/>
            <w:r w:rsidRPr="00175373">
              <w:rPr>
                <w:rFonts w:ascii="Calibri" w:eastAsia="Times New Roman" w:hAnsi="Calibri" w:cs="Calibri"/>
                <w:color w:val="000000"/>
              </w:rPr>
              <w:t>laborat</w:t>
            </w:r>
            <w:proofErr w:type="spellEnd"/>
          </w:p>
        </w:tc>
        <w:tc>
          <w:tcPr>
            <w:tcW w:w="2692" w:type="dxa"/>
            <w:shd w:val="clear" w:color="auto" w:fill="auto"/>
            <w:noWrap/>
            <w:vAlign w:val="bottom"/>
            <w:hideMark/>
          </w:tcPr>
          <w:p w14:paraId="773A5688"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232.287.085,73</w:t>
            </w:r>
          </w:p>
          <w:p w14:paraId="1F761E95" w14:textId="07CDE299"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480" w:type="dxa"/>
            <w:shd w:val="clear" w:color="auto" w:fill="auto"/>
            <w:noWrap/>
            <w:vAlign w:val="bottom"/>
            <w:hideMark/>
          </w:tcPr>
          <w:p w14:paraId="194E475F"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230.520.805,78</w:t>
            </w:r>
          </w:p>
          <w:p w14:paraId="117FF121" w14:textId="2D0FE04B"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353" w:type="dxa"/>
            <w:shd w:val="clear" w:color="auto" w:fill="auto"/>
            <w:noWrap/>
            <w:vAlign w:val="bottom"/>
            <w:hideMark/>
          </w:tcPr>
          <w:p w14:paraId="784ED028" w14:textId="0F8D02FE"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1B4589" w:rsidRPr="00175373">
              <w:rPr>
                <w:rFonts w:ascii="Calibri" w:eastAsia="Times New Roman" w:hAnsi="Calibri" w:cs="Calibri"/>
                <w:color w:val="000000"/>
              </w:rPr>
              <w:t>1.766.279,95</w:t>
            </w:r>
          </w:p>
          <w:p w14:paraId="74523EE6" w14:textId="34C157B7"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-0,76%</w:t>
            </w:r>
          </w:p>
        </w:tc>
      </w:tr>
      <w:tr w:rsidR="002452ED" w:rsidRPr="00175373" w14:paraId="2C223F82" w14:textId="77777777" w:rsidTr="002A6C5D">
        <w:trPr>
          <w:trHeight w:val="300"/>
        </w:trPr>
        <w:tc>
          <w:tcPr>
            <w:tcW w:w="2553" w:type="dxa"/>
            <w:shd w:val="clear" w:color="auto" w:fill="auto"/>
            <w:noWrap/>
            <w:vAlign w:val="bottom"/>
            <w:hideMark/>
          </w:tcPr>
          <w:p w14:paraId="5511B128"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 xml:space="preserve">XIX. Lesões </w:t>
            </w:r>
            <w:proofErr w:type="spellStart"/>
            <w:r w:rsidRPr="00175373">
              <w:rPr>
                <w:rFonts w:ascii="Calibri" w:eastAsia="Times New Roman" w:hAnsi="Calibri" w:cs="Calibri"/>
                <w:color w:val="000000"/>
              </w:rPr>
              <w:t>enven</w:t>
            </w:r>
            <w:proofErr w:type="spellEnd"/>
            <w:r w:rsidRPr="00175373">
              <w:rPr>
                <w:rFonts w:ascii="Calibri" w:eastAsia="Times New Roman" w:hAnsi="Calibri" w:cs="Calibri"/>
                <w:color w:val="000000"/>
              </w:rPr>
              <w:t xml:space="preserve"> e </w:t>
            </w:r>
            <w:proofErr w:type="spellStart"/>
            <w:r w:rsidRPr="00175373">
              <w:rPr>
                <w:rFonts w:ascii="Calibri" w:eastAsia="Times New Roman" w:hAnsi="Calibri" w:cs="Calibri"/>
                <w:color w:val="000000"/>
              </w:rPr>
              <w:t>alg</w:t>
            </w:r>
            <w:proofErr w:type="spellEnd"/>
            <w:r w:rsidRPr="00175373">
              <w:rPr>
                <w:rFonts w:ascii="Calibri" w:eastAsia="Times New Roman" w:hAnsi="Calibri" w:cs="Calibri"/>
                <w:color w:val="000000"/>
              </w:rPr>
              <w:t xml:space="preserve"> out </w:t>
            </w:r>
            <w:proofErr w:type="spellStart"/>
            <w:r w:rsidRPr="00175373">
              <w:rPr>
                <w:rFonts w:ascii="Calibri" w:eastAsia="Times New Roman" w:hAnsi="Calibri" w:cs="Calibri"/>
                <w:color w:val="000000"/>
              </w:rPr>
              <w:t>conseq</w:t>
            </w:r>
            <w:proofErr w:type="spellEnd"/>
            <w:r w:rsidRPr="00175373">
              <w:rPr>
                <w:rFonts w:ascii="Calibri" w:eastAsia="Times New Roman" w:hAnsi="Calibri" w:cs="Calibri"/>
                <w:color w:val="000000"/>
              </w:rPr>
              <w:t xml:space="preserve"> causas externas</w:t>
            </w:r>
          </w:p>
        </w:tc>
        <w:tc>
          <w:tcPr>
            <w:tcW w:w="2692" w:type="dxa"/>
            <w:shd w:val="clear" w:color="auto" w:fill="auto"/>
            <w:noWrap/>
            <w:vAlign w:val="bottom"/>
            <w:hideMark/>
          </w:tcPr>
          <w:p w14:paraId="7DB7D384"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1.555.516.381,61</w:t>
            </w:r>
          </w:p>
          <w:p w14:paraId="22C63196" w14:textId="56A9698C" w:rsidR="00473642"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w:t>
            </w:r>
          </w:p>
        </w:tc>
        <w:tc>
          <w:tcPr>
            <w:tcW w:w="2480" w:type="dxa"/>
            <w:shd w:val="clear" w:color="auto" w:fill="auto"/>
            <w:noWrap/>
            <w:vAlign w:val="bottom"/>
            <w:hideMark/>
          </w:tcPr>
          <w:p w14:paraId="4F628CAE"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1.659.714.028,70</w:t>
            </w:r>
          </w:p>
          <w:p w14:paraId="28690A1B" w14:textId="013D7075"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9</w:t>
            </w:r>
            <w:r w:rsidR="003E2341" w:rsidRPr="00175373">
              <w:rPr>
                <w:rFonts w:ascii="Calibri" w:eastAsia="Times New Roman" w:hAnsi="Calibri" w:cs="Calibri"/>
                <w:color w:val="000000"/>
              </w:rPr>
              <w:t>%</w:t>
            </w:r>
          </w:p>
        </w:tc>
        <w:tc>
          <w:tcPr>
            <w:tcW w:w="2353" w:type="dxa"/>
            <w:shd w:val="clear" w:color="auto" w:fill="auto"/>
            <w:noWrap/>
            <w:vAlign w:val="bottom"/>
            <w:hideMark/>
          </w:tcPr>
          <w:p w14:paraId="66DBB4FE" w14:textId="64B85B22" w:rsidR="003E2341" w:rsidRPr="00175373" w:rsidRDefault="001B4589"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104.197.647,09</w:t>
            </w:r>
          </w:p>
          <w:p w14:paraId="60B573A4" w14:textId="19081A0A" w:rsidR="002452ED" w:rsidRPr="00175373" w:rsidRDefault="002452ED"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6,70%</w:t>
            </w:r>
          </w:p>
        </w:tc>
      </w:tr>
      <w:tr w:rsidR="002452ED" w:rsidRPr="00175373" w14:paraId="7E5DBE37" w14:textId="77777777" w:rsidTr="002A6C5D">
        <w:trPr>
          <w:trHeight w:val="300"/>
        </w:trPr>
        <w:tc>
          <w:tcPr>
            <w:tcW w:w="2553" w:type="dxa"/>
            <w:shd w:val="clear" w:color="auto" w:fill="auto"/>
            <w:noWrap/>
            <w:vAlign w:val="bottom"/>
            <w:hideMark/>
          </w:tcPr>
          <w:p w14:paraId="38EB2B67"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XX.  Causas externas de morbidade e mortalidade</w:t>
            </w:r>
          </w:p>
        </w:tc>
        <w:tc>
          <w:tcPr>
            <w:tcW w:w="2692" w:type="dxa"/>
            <w:shd w:val="clear" w:color="auto" w:fill="auto"/>
            <w:noWrap/>
            <w:vAlign w:val="bottom"/>
            <w:hideMark/>
          </w:tcPr>
          <w:p w14:paraId="690400CE"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8.574,63</w:t>
            </w:r>
          </w:p>
          <w:p w14:paraId="30ECEBB4" w14:textId="658F56DE"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r w:rsidR="003E2341" w:rsidRPr="00175373">
              <w:rPr>
                <w:rFonts w:ascii="Calibri" w:eastAsia="Times New Roman" w:hAnsi="Calibri" w:cs="Calibri"/>
                <w:color w:val="000000"/>
              </w:rPr>
              <w:t>%</w:t>
            </w:r>
          </w:p>
        </w:tc>
        <w:tc>
          <w:tcPr>
            <w:tcW w:w="2480" w:type="dxa"/>
            <w:shd w:val="clear" w:color="auto" w:fill="auto"/>
            <w:noWrap/>
            <w:vAlign w:val="bottom"/>
            <w:hideMark/>
          </w:tcPr>
          <w:p w14:paraId="2DABC818" w14:textId="77777777" w:rsidR="002452ED" w:rsidRPr="00175373" w:rsidRDefault="000B043B"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p>
          <w:p w14:paraId="0C1B37B4" w14:textId="7FEE4D6F" w:rsidR="003E2341" w:rsidRPr="00175373" w:rsidRDefault="00473642"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0</w:t>
            </w:r>
            <w:r w:rsidR="003E2341" w:rsidRPr="00175373">
              <w:rPr>
                <w:rFonts w:ascii="Calibri" w:eastAsia="Times New Roman" w:hAnsi="Calibri" w:cs="Calibri"/>
                <w:color w:val="000000"/>
              </w:rPr>
              <w:t>%</w:t>
            </w:r>
          </w:p>
        </w:tc>
        <w:tc>
          <w:tcPr>
            <w:tcW w:w="2353" w:type="dxa"/>
            <w:shd w:val="clear" w:color="auto" w:fill="auto"/>
            <w:noWrap/>
            <w:vAlign w:val="bottom"/>
            <w:hideMark/>
          </w:tcPr>
          <w:p w14:paraId="0D994CA0" w14:textId="79FFC869"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3E2341" w:rsidRPr="00175373">
              <w:rPr>
                <w:rFonts w:ascii="Calibri" w:eastAsia="Times New Roman" w:hAnsi="Calibri" w:cs="Calibri"/>
                <w:color w:val="000000"/>
              </w:rPr>
              <w:t>8.574,63</w:t>
            </w:r>
          </w:p>
          <w:p w14:paraId="0B34A9AB" w14:textId="2C9FE823" w:rsidR="002452ED" w:rsidRPr="00175373" w:rsidRDefault="000B043B"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-100%</w:t>
            </w:r>
          </w:p>
        </w:tc>
      </w:tr>
      <w:tr w:rsidR="002452ED" w:rsidRPr="00175373" w14:paraId="26368ABA" w14:textId="77777777" w:rsidTr="002A6C5D">
        <w:trPr>
          <w:trHeight w:val="300"/>
        </w:trPr>
        <w:tc>
          <w:tcPr>
            <w:tcW w:w="2553" w:type="dxa"/>
            <w:shd w:val="clear" w:color="auto" w:fill="auto"/>
            <w:noWrap/>
            <w:vAlign w:val="bottom"/>
            <w:hideMark/>
          </w:tcPr>
          <w:p w14:paraId="6D572D8D"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XXI. Contatos com serviços de saúde</w:t>
            </w:r>
          </w:p>
        </w:tc>
        <w:tc>
          <w:tcPr>
            <w:tcW w:w="2692" w:type="dxa"/>
            <w:shd w:val="clear" w:color="auto" w:fill="auto"/>
            <w:noWrap/>
            <w:vAlign w:val="bottom"/>
            <w:hideMark/>
          </w:tcPr>
          <w:p w14:paraId="605AD95D"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w:t>
            </w:r>
            <w:r w:rsidR="00F249DB" w:rsidRPr="00175373">
              <w:rPr>
                <w:rFonts w:ascii="Calibri" w:eastAsia="Times New Roman" w:hAnsi="Calibri" w:cs="Calibri"/>
                <w:color w:val="000000"/>
              </w:rPr>
              <w:t>206.056.203</w:t>
            </w:r>
          </w:p>
          <w:p w14:paraId="447B77E1" w14:textId="4704737E"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480" w:type="dxa"/>
            <w:shd w:val="clear" w:color="auto" w:fill="auto"/>
            <w:noWrap/>
            <w:vAlign w:val="bottom"/>
            <w:hideMark/>
          </w:tcPr>
          <w:p w14:paraId="22F6DDAB"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w:t>
            </w:r>
            <w:r w:rsidR="00F249DB" w:rsidRPr="00175373">
              <w:rPr>
                <w:rFonts w:ascii="Calibri" w:eastAsia="Times New Roman" w:hAnsi="Calibri" w:cs="Calibri"/>
                <w:color w:val="000000"/>
              </w:rPr>
              <w:t>150.490.310</w:t>
            </w:r>
          </w:p>
          <w:p w14:paraId="4FB2BDBE" w14:textId="10CF7162" w:rsidR="003E2341" w:rsidRPr="00175373" w:rsidRDefault="00CA411E"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w:t>
            </w:r>
            <w:r w:rsidR="003E2341" w:rsidRPr="00175373">
              <w:rPr>
                <w:rFonts w:ascii="Calibri" w:eastAsia="Times New Roman" w:hAnsi="Calibri" w:cs="Calibri"/>
                <w:color w:val="000000"/>
              </w:rPr>
              <w:t>%</w:t>
            </w:r>
          </w:p>
        </w:tc>
        <w:tc>
          <w:tcPr>
            <w:tcW w:w="2353" w:type="dxa"/>
            <w:shd w:val="clear" w:color="auto" w:fill="auto"/>
            <w:noWrap/>
            <w:vAlign w:val="bottom"/>
            <w:hideMark/>
          </w:tcPr>
          <w:p w14:paraId="5AAC114C" w14:textId="025B0C9E" w:rsidR="003E2341" w:rsidRPr="00175373" w:rsidRDefault="00C752F4" w:rsidP="001B4589">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1B4589" w:rsidRPr="00175373">
              <w:rPr>
                <w:rFonts w:ascii="Calibri" w:eastAsia="Times New Roman" w:hAnsi="Calibri" w:cs="Calibri"/>
                <w:color w:val="000000"/>
              </w:rPr>
              <w:t>55.565.892,95</w:t>
            </w:r>
          </w:p>
          <w:p w14:paraId="1725F50C" w14:textId="21573C45" w:rsidR="002452ED" w:rsidRPr="00175373" w:rsidRDefault="001B4589"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-27</w:t>
            </w:r>
            <w:r w:rsidR="003E2341" w:rsidRPr="00175373">
              <w:rPr>
                <w:rFonts w:ascii="Calibri" w:eastAsia="Times New Roman" w:hAnsi="Calibri" w:cs="Calibri"/>
                <w:color w:val="000000"/>
              </w:rPr>
              <w:t>%</w:t>
            </w:r>
          </w:p>
        </w:tc>
      </w:tr>
      <w:tr w:rsidR="002452ED" w:rsidRPr="007A63A4" w14:paraId="009CE2C7" w14:textId="77777777" w:rsidTr="002A6C5D">
        <w:trPr>
          <w:trHeight w:val="300"/>
        </w:trPr>
        <w:tc>
          <w:tcPr>
            <w:tcW w:w="2553" w:type="dxa"/>
            <w:shd w:val="clear" w:color="auto" w:fill="auto"/>
            <w:noWrap/>
            <w:vAlign w:val="bottom"/>
            <w:hideMark/>
          </w:tcPr>
          <w:p w14:paraId="1574D259" w14:textId="77777777" w:rsidR="002452ED" w:rsidRPr="00175373" w:rsidRDefault="002452ED" w:rsidP="00F92F84">
            <w:pPr>
              <w:spacing w:after="0" w:line="240" w:lineRule="auto"/>
              <w:rPr>
                <w:rFonts w:ascii="Calibri" w:eastAsia="Times New Roman" w:hAnsi="Calibri" w:cs="Calibri"/>
                <w:color w:val="000000"/>
              </w:rPr>
            </w:pPr>
            <w:r w:rsidRPr="00175373">
              <w:rPr>
                <w:rFonts w:ascii="Calibri" w:eastAsia="Times New Roman" w:hAnsi="Calibri" w:cs="Calibri"/>
                <w:color w:val="000000"/>
              </w:rPr>
              <w:t>Total</w:t>
            </w:r>
          </w:p>
        </w:tc>
        <w:tc>
          <w:tcPr>
            <w:tcW w:w="2692" w:type="dxa"/>
            <w:shd w:val="clear" w:color="auto" w:fill="auto"/>
            <w:noWrap/>
            <w:vAlign w:val="bottom"/>
            <w:hideMark/>
          </w:tcPr>
          <w:p w14:paraId="005FE7BF"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15.9</w:t>
            </w:r>
            <w:r w:rsidR="001B4589" w:rsidRPr="00175373">
              <w:rPr>
                <w:rFonts w:ascii="Calibri" w:eastAsia="Times New Roman" w:hAnsi="Calibri" w:cs="Calibri"/>
                <w:color w:val="000000"/>
              </w:rPr>
              <w:t>30</w:t>
            </w:r>
            <w:r w:rsidRPr="00175373">
              <w:rPr>
                <w:rFonts w:ascii="Calibri" w:eastAsia="Times New Roman" w:hAnsi="Calibri" w:cs="Calibri"/>
                <w:color w:val="000000"/>
              </w:rPr>
              <w:t>.</w:t>
            </w:r>
            <w:r w:rsidR="001B4589" w:rsidRPr="00175373">
              <w:rPr>
                <w:rFonts w:ascii="Calibri" w:eastAsia="Times New Roman" w:hAnsi="Calibri" w:cs="Calibri"/>
                <w:color w:val="000000"/>
              </w:rPr>
              <w:t>069</w:t>
            </w:r>
            <w:r w:rsidRPr="00175373">
              <w:rPr>
                <w:rFonts w:ascii="Calibri" w:eastAsia="Times New Roman" w:hAnsi="Calibri" w:cs="Calibri"/>
                <w:color w:val="000000"/>
              </w:rPr>
              <w:t>.</w:t>
            </w:r>
            <w:r w:rsidR="001B4589" w:rsidRPr="00175373">
              <w:rPr>
                <w:rFonts w:ascii="Calibri" w:eastAsia="Times New Roman" w:hAnsi="Calibri" w:cs="Calibri"/>
                <w:color w:val="000000"/>
              </w:rPr>
              <w:t>0</w:t>
            </w:r>
            <w:r w:rsidRPr="00175373">
              <w:rPr>
                <w:rFonts w:ascii="Calibri" w:eastAsia="Times New Roman" w:hAnsi="Calibri" w:cs="Calibri"/>
                <w:color w:val="000000"/>
              </w:rPr>
              <w:t>7</w:t>
            </w:r>
            <w:r w:rsidR="001B4589" w:rsidRPr="00175373">
              <w:rPr>
                <w:rFonts w:ascii="Calibri" w:eastAsia="Times New Roman" w:hAnsi="Calibri" w:cs="Calibri"/>
                <w:color w:val="000000"/>
              </w:rPr>
              <w:t>2</w:t>
            </w:r>
            <w:r w:rsidRPr="00175373">
              <w:rPr>
                <w:rFonts w:ascii="Calibri" w:eastAsia="Times New Roman" w:hAnsi="Calibri" w:cs="Calibri"/>
                <w:color w:val="000000"/>
              </w:rPr>
              <w:t>,</w:t>
            </w:r>
            <w:r w:rsidR="001B4589" w:rsidRPr="00175373">
              <w:rPr>
                <w:rFonts w:ascii="Calibri" w:eastAsia="Times New Roman" w:hAnsi="Calibri" w:cs="Calibri"/>
                <w:color w:val="000000"/>
              </w:rPr>
              <w:t>11</w:t>
            </w:r>
          </w:p>
          <w:p w14:paraId="3DB64C77" w14:textId="4553EA85" w:rsidR="001B4589" w:rsidRPr="00175373" w:rsidRDefault="001B4589"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100%</w:t>
            </w:r>
          </w:p>
        </w:tc>
        <w:tc>
          <w:tcPr>
            <w:tcW w:w="2480" w:type="dxa"/>
            <w:shd w:val="clear" w:color="auto" w:fill="auto"/>
            <w:noWrap/>
            <w:vAlign w:val="bottom"/>
            <w:hideMark/>
          </w:tcPr>
          <w:p w14:paraId="2A085548" w14:textId="77777777" w:rsidR="002452ED" w:rsidRPr="00175373" w:rsidRDefault="002452ED"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 xml:space="preserve"> </w:t>
            </w:r>
            <w:r w:rsidR="001B4589" w:rsidRPr="00175373">
              <w:rPr>
                <w:rFonts w:ascii="Calibri" w:eastAsia="Times New Roman" w:hAnsi="Calibri" w:cs="Calibri"/>
                <w:color w:val="000000"/>
              </w:rPr>
              <w:t>18</w:t>
            </w:r>
            <w:r w:rsidRPr="00175373">
              <w:rPr>
                <w:rFonts w:ascii="Calibri" w:eastAsia="Times New Roman" w:hAnsi="Calibri" w:cs="Calibri"/>
                <w:color w:val="000000"/>
              </w:rPr>
              <w:t>.</w:t>
            </w:r>
            <w:r w:rsidR="001B4589" w:rsidRPr="00175373">
              <w:rPr>
                <w:rFonts w:ascii="Calibri" w:eastAsia="Times New Roman" w:hAnsi="Calibri" w:cs="Calibri"/>
                <w:color w:val="000000"/>
              </w:rPr>
              <w:t>450</w:t>
            </w:r>
            <w:r w:rsidRPr="00175373">
              <w:rPr>
                <w:rFonts w:ascii="Calibri" w:eastAsia="Times New Roman" w:hAnsi="Calibri" w:cs="Calibri"/>
                <w:color w:val="000000"/>
              </w:rPr>
              <w:t>.</w:t>
            </w:r>
            <w:r w:rsidR="001B4589" w:rsidRPr="00175373">
              <w:rPr>
                <w:rFonts w:ascii="Calibri" w:eastAsia="Times New Roman" w:hAnsi="Calibri" w:cs="Calibri"/>
                <w:color w:val="000000"/>
              </w:rPr>
              <w:t>871</w:t>
            </w:r>
            <w:r w:rsidRPr="00175373">
              <w:rPr>
                <w:rFonts w:ascii="Calibri" w:eastAsia="Times New Roman" w:hAnsi="Calibri" w:cs="Calibri"/>
                <w:color w:val="000000"/>
              </w:rPr>
              <w:t>.</w:t>
            </w:r>
            <w:r w:rsidR="001B4589" w:rsidRPr="00175373">
              <w:rPr>
                <w:rFonts w:ascii="Calibri" w:eastAsia="Times New Roman" w:hAnsi="Calibri" w:cs="Calibri"/>
                <w:color w:val="000000"/>
              </w:rPr>
              <w:t>861</w:t>
            </w:r>
            <w:r w:rsidRPr="00175373">
              <w:rPr>
                <w:rFonts w:ascii="Calibri" w:eastAsia="Times New Roman" w:hAnsi="Calibri" w:cs="Calibri"/>
                <w:color w:val="000000"/>
              </w:rPr>
              <w:t>,</w:t>
            </w:r>
            <w:r w:rsidR="001B4589" w:rsidRPr="00175373">
              <w:rPr>
                <w:rFonts w:ascii="Calibri" w:eastAsia="Times New Roman" w:hAnsi="Calibri" w:cs="Calibri"/>
                <w:color w:val="000000"/>
              </w:rPr>
              <w:t>50</w:t>
            </w:r>
          </w:p>
          <w:p w14:paraId="15A04A8C" w14:textId="1CBC6168" w:rsidR="001B4589" w:rsidRPr="00175373" w:rsidRDefault="001B4589" w:rsidP="00F92F84">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100%</w:t>
            </w:r>
          </w:p>
        </w:tc>
        <w:tc>
          <w:tcPr>
            <w:tcW w:w="2353" w:type="dxa"/>
            <w:shd w:val="clear" w:color="auto" w:fill="auto"/>
            <w:noWrap/>
            <w:vAlign w:val="bottom"/>
            <w:hideMark/>
          </w:tcPr>
          <w:p w14:paraId="7C3CB416" w14:textId="51C80B01" w:rsidR="001B4589" w:rsidRPr="00175373" w:rsidRDefault="001B4589"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2.520.802.789,39</w:t>
            </w:r>
          </w:p>
          <w:p w14:paraId="4158A41E" w14:textId="6BB0E48C" w:rsidR="002452ED" w:rsidRPr="00175373" w:rsidRDefault="001B4589" w:rsidP="001B4589">
            <w:pPr>
              <w:spacing w:after="0" w:line="240" w:lineRule="auto"/>
              <w:jc w:val="center"/>
              <w:rPr>
                <w:rFonts w:ascii="Calibri" w:eastAsia="Times New Roman" w:hAnsi="Calibri" w:cs="Calibri"/>
                <w:color w:val="000000"/>
              </w:rPr>
            </w:pPr>
            <w:r w:rsidRPr="00175373">
              <w:rPr>
                <w:rFonts w:ascii="Calibri" w:eastAsia="Times New Roman" w:hAnsi="Calibri" w:cs="Calibri"/>
                <w:color w:val="000000"/>
              </w:rPr>
              <w:t>16%</w:t>
            </w:r>
          </w:p>
        </w:tc>
      </w:tr>
    </w:tbl>
    <w:p w14:paraId="5B2921E4" w14:textId="77777777" w:rsidR="00FA14E1" w:rsidRPr="007A63A4" w:rsidRDefault="00FA14E1" w:rsidP="00F92F84">
      <w:pPr>
        <w:pStyle w:val="PargrafodaLista"/>
        <w:spacing w:line="480" w:lineRule="auto"/>
        <w:ind w:firstLine="709"/>
        <w:jc w:val="both"/>
        <w:rPr>
          <w:rFonts w:ascii="Arial" w:hAnsi="Arial" w:cs="Arial"/>
          <w:b/>
          <w:bCs/>
          <w:color w:val="000000" w:themeColor="text1"/>
          <w:sz w:val="24"/>
          <w:szCs w:val="24"/>
          <w:highlight w:val="yellow"/>
        </w:rPr>
      </w:pPr>
    </w:p>
    <w:p w14:paraId="4727599D" w14:textId="56DB664B" w:rsidR="00CF5959" w:rsidRPr="00B12F39" w:rsidRDefault="00CF5959" w:rsidP="00F92F84">
      <w:pPr>
        <w:pStyle w:val="PargrafodaLista"/>
        <w:spacing w:line="480" w:lineRule="auto"/>
        <w:ind w:left="0" w:firstLine="709"/>
        <w:jc w:val="both"/>
        <w:rPr>
          <w:rFonts w:ascii="Arial" w:hAnsi="Arial" w:cs="Arial"/>
          <w:color w:val="000000" w:themeColor="text1"/>
          <w:sz w:val="24"/>
          <w:szCs w:val="24"/>
        </w:rPr>
      </w:pPr>
      <w:r w:rsidRPr="004E7180">
        <w:rPr>
          <w:rFonts w:ascii="Arial" w:hAnsi="Arial" w:cs="Arial"/>
          <w:color w:val="000000" w:themeColor="text1"/>
          <w:sz w:val="24"/>
          <w:szCs w:val="24"/>
        </w:rPr>
        <w:t>Podemos visualizar nesta tabela que a maioria de dados houve</w:t>
      </w:r>
      <w:r w:rsidR="00ED3106" w:rsidRPr="004E7180">
        <w:rPr>
          <w:rFonts w:ascii="Arial" w:hAnsi="Arial" w:cs="Arial"/>
          <w:color w:val="000000" w:themeColor="text1"/>
          <w:sz w:val="24"/>
          <w:szCs w:val="24"/>
        </w:rPr>
        <w:t xml:space="preserve"> </w:t>
      </w:r>
      <w:r w:rsidRPr="004E7180">
        <w:rPr>
          <w:rFonts w:ascii="Arial" w:hAnsi="Arial" w:cs="Arial"/>
          <w:color w:val="000000" w:themeColor="text1"/>
          <w:sz w:val="24"/>
          <w:szCs w:val="24"/>
        </w:rPr>
        <w:t xml:space="preserve">diminuições </w:t>
      </w:r>
      <w:r w:rsidR="00ED3106" w:rsidRPr="004E7180">
        <w:rPr>
          <w:rFonts w:ascii="Arial" w:hAnsi="Arial" w:cs="Arial"/>
          <w:color w:val="000000" w:themeColor="text1"/>
          <w:sz w:val="24"/>
          <w:szCs w:val="24"/>
        </w:rPr>
        <w:t xml:space="preserve">na </w:t>
      </w:r>
      <w:r w:rsidR="00A93EFB" w:rsidRPr="004E7180">
        <w:rPr>
          <w:rFonts w:ascii="Arial" w:hAnsi="Arial" w:cs="Arial"/>
          <w:color w:val="000000" w:themeColor="text1"/>
          <w:sz w:val="24"/>
          <w:szCs w:val="24"/>
        </w:rPr>
        <w:t>utilização</w:t>
      </w:r>
      <w:r w:rsidRPr="004E7180">
        <w:rPr>
          <w:rFonts w:ascii="Arial" w:hAnsi="Arial" w:cs="Arial"/>
          <w:color w:val="000000" w:themeColor="text1"/>
          <w:sz w:val="24"/>
          <w:szCs w:val="24"/>
        </w:rPr>
        <w:t xml:space="preserve"> do SUS com a maioria dos dados entre 1% </w:t>
      </w:r>
      <w:proofErr w:type="gramStart"/>
      <w:r w:rsidRPr="004E7180">
        <w:rPr>
          <w:rFonts w:ascii="Arial" w:hAnsi="Arial" w:cs="Arial"/>
          <w:color w:val="000000" w:themeColor="text1"/>
          <w:sz w:val="24"/>
          <w:szCs w:val="24"/>
        </w:rPr>
        <w:t>a</w:t>
      </w:r>
      <w:proofErr w:type="gramEnd"/>
      <w:r w:rsidRPr="004E7180">
        <w:rPr>
          <w:rFonts w:ascii="Arial" w:hAnsi="Arial" w:cs="Arial"/>
          <w:color w:val="000000" w:themeColor="text1"/>
          <w:sz w:val="24"/>
          <w:szCs w:val="24"/>
        </w:rPr>
        <w:t xml:space="preserve"> </w:t>
      </w:r>
      <w:r w:rsidR="00FA14E1" w:rsidRPr="004E7180">
        <w:rPr>
          <w:rFonts w:ascii="Arial" w:hAnsi="Arial" w:cs="Arial"/>
          <w:color w:val="000000" w:themeColor="text1"/>
          <w:sz w:val="24"/>
          <w:szCs w:val="24"/>
        </w:rPr>
        <w:t>30</w:t>
      </w:r>
      <w:r w:rsidRPr="004E7180">
        <w:rPr>
          <w:rFonts w:ascii="Arial" w:hAnsi="Arial" w:cs="Arial"/>
          <w:color w:val="000000" w:themeColor="text1"/>
          <w:sz w:val="24"/>
          <w:szCs w:val="24"/>
        </w:rPr>
        <w:t xml:space="preserve">%. </w:t>
      </w:r>
      <w:r w:rsidR="002A6C5D" w:rsidRPr="004E7180">
        <w:rPr>
          <w:rFonts w:ascii="Arial" w:hAnsi="Arial" w:cs="Arial"/>
          <w:color w:val="000000" w:themeColor="text1"/>
          <w:sz w:val="24"/>
          <w:szCs w:val="24"/>
        </w:rPr>
        <w:t>4</w:t>
      </w:r>
      <w:r w:rsidR="00A94E77" w:rsidRPr="004E7180">
        <w:rPr>
          <w:rFonts w:ascii="Arial" w:hAnsi="Arial" w:cs="Arial"/>
          <w:color w:val="000000" w:themeColor="text1"/>
          <w:sz w:val="24"/>
          <w:szCs w:val="24"/>
        </w:rPr>
        <w:t xml:space="preserve"> </w:t>
      </w:r>
      <w:r w:rsidR="00ED3106" w:rsidRPr="004E7180">
        <w:rPr>
          <w:rFonts w:ascii="Arial" w:hAnsi="Arial" w:cs="Arial"/>
          <w:color w:val="000000" w:themeColor="text1"/>
          <w:sz w:val="24"/>
          <w:szCs w:val="24"/>
        </w:rPr>
        <w:t>destes</w:t>
      </w:r>
      <w:r w:rsidRPr="004E7180">
        <w:rPr>
          <w:rFonts w:ascii="Arial" w:hAnsi="Arial" w:cs="Arial"/>
          <w:color w:val="000000" w:themeColor="text1"/>
          <w:sz w:val="24"/>
          <w:szCs w:val="24"/>
        </w:rPr>
        <w:t xml:space="preserve"> dados </w:t>
      </w:r>
      <w:r w:rsidR="00ED3106" w:rsidRPr="004E7180">
        <w:rPr>
          <w:rFonts w:ascii="Arial" w:hAnsi="Arial" w:cs="Arial"/>
          <w:color w:val="000000" w:themeColor="text1"/>
          <w:sz w:val="24"/>
          <w:szCs w:val="24"/>
        </w:rPr>
        <w:t>estão contra o padrão dos outros capítulos citados, entre eles estão:</w:t>
      </w:r>
      <w:r w:rsidRPr="004E7180">
        <w:rPr>
          <w:rFonts w:ascii="Arial" w:hAnsi="Arial" w:cs="Arial"/>
          <w:color w:val="000000" w:themeColor="text1"/>
          <w:sz w:val="24"/>
          <w:szCs w:val="24"/>
        </w:rPr>
        <w:t xml:space="preserve"> I </w:t>
      </w:r>
      <w:r w:rsidR="00A94E77" w:rsidRPr="004E7180">
        <w:rPr>
          <w:rFonts w:ascii="Arial" w:hAnsi="Arial" w:cs="Arial"/>
          <w:color w:val="000000" w:themeColor="text1"/>
          <w:sz w:val="24"/>
          <w:szCs w:val="24"/>
        </w:rPr>
        <w:t>-</w:t>
      </w:r>
      <w:r w:rsidRPr="004E7180">
        <w:rPr>
          <w:rFonts w:ascii="Arial" w:hAnsi="Arial" w:cs="Arial"/>
          <w:color w:val="000000" w:themeColor="text1"/>
          <w:sz w:val="24"/>
          <w:szCs w:val="24"/>
        </w:rPr>
        <w:t xml:space="preserve"> Algumas doenças infecciosas e parasitárias</w:t>
      </w:r>
      <w:r w:rsidR="00A94E77" w:rsidRPr="004E7180">
        <w:rPr>
          <w:rFonts w:ascii="Arial" w:hAnsi="Arial" w:cs="Arial"/>
          <w:color w:val="000000" w:themeColor="text1"/>
          <w:sz w:val="24"/>
          <w:szCs w:val="24"/>
        </w:rPr>
        <w:t xml:space="preserve"> (</w:t>
      </w:r>
      <w:bookmarkStart w:id="0" w:name="_Hlk74558220"/>
      <w:r w:rsidR="00A94E77" w:rsidRPr="004E7180">
        <w:rPr>
          <w:rFonts w:ascii="Arial" w:hAnsi="Arial" w:cs="Arial"/>
          <w:color w:val="000000" w:themeColor="text1"/>
          <w:sz w:val="24"/>
          <w:szCs w:val="24"/>
        </w:rPr>
        <w:t>aumento de</w:t>
      </w:r>
      <w:bookmarkEnd w:id="0"/>
      <w:r w:rsidR="00A94E77" w:rsidRPr="004E7180">
        <w:rPr>
          <w:rFonts w:ascii="Arial" w:hAnsi="Arial" w:cs="Arial"/>
          <w:color w:val="000000" w:themeColor="text1"/>
          <w:sz w:val="24"/>
          <w:szCs w:val="24"/>
        </w:rPr>
        <w:t xml:space="preserve"> 291,12%)</w:t>
      </w:r>
      <w:r w:rsidR="00FA14E1" w:rsidRPr="004E7180">
        <w:rPr>
          <w:rFonts w:ascii="Arial" w:hAnsi="Arial" w:cs="Arial"/>
          <w:color w:val="000000" w:themeColor="text1"/>
          <w:sz w:val="24"/>
          <w:szCs w:val="24"/>
        </w:rPr>
        <w:t>,</w:t>
      </w:r>
      <w:r w:rsidR="00A94E77" w:rsidRPr="004E7180">
        <w:rPr>
          <w:rFonts w:ascii="Arial" w:hAnsi="Arial" w:cs="Arial"/>
          <w:color w:val="000000" w:themeColor="text1"/>
          <w:sz w:val="24"/>
          <w:szCs w:val="24"/>
        </w:rPr>
        <w:t xml:space="preserve"> XV. -  Gravidez parto e puerpério (aumento de 3,03%), XVI. - Algumas afecções originadas no período perinatal (aumento de 10,76%)</w:t>
      </w:r>
      <w:r w:rsidR="002A6C5D" w:rsidRPr="004E7180">
        <w:rPr>
          <w:rFonts w:ascii="Arial" w:hAnsi="Arial" w:cs="Arial"/>
          <w:color w:val="000000" w:themeColor="text1"/>
          <w:sz w:val="24"/>
          <w:szCs w:val="24"/>
        </w:rPr>
        <w:t xml:space="preserve"> e</w:t>
      </w:r>
      <w:r w:rsidR="00A94E77" w:rsidRPr="004E7180">
        <w:rPr>
          <w:rFonts w:ascii="Arial" w:hAnsi="Arial" w:cs="Arial"/>
          <w:color w:val="000000" w:themeColor="text1"/>
          <w:sz w:val="24"/>
          <w:szCs w:val="24"/>
        </w:rPr>
        <w:t xml:space="preserve"> XIX. Lesões, envenenamento e algumas outras consequências de causas externas (aumentou 6,7%)</w:t>
      </w:r>
      <w:r w:rsidR="002A6C5D" w:rsidRPr="004E7180">
        <w:rPr>
          <w:rFonts w:ascii="Arial" w:hAnsi="Arial" w:cs="Arial"/>
          <w:color w:val="000000" w:themeColor="text1"/>
          <w:sz w:val="24"/>
          <w:szCs w:val="24"/>
        </w:rPr>
        <w:t>.</w:t>
      </w:r>
      <w:r w:rsidRPr="004E7180">
        <w:rPr>
          <w:rFonts w:ascii="Arial" w:hAnsi="Arial" w:cs="Arial"/>
          <w:color w:val="000000" w:themeColor="text1"/>
          <w:sz w:val="24"/>
          <w:szCs w:val="24"/>
        </w:rPr>
        <w:t xml:space="preserve"> </w:t>
      </w:r>
      <w:r w:rsidR="00ED3106" w:rsidRPr="004E7180">
        <w:rPr>
          <w:rFonts w:ascii="Arial" w:hAnsi="Arial" w:cs="Arial"/>
          <w:color w:val="000000" w:themeColor="text1"/>
          <w:sz w:val="24"/>
          <w:szCs w:val="24"/>
        </w:rPr>
        <w:t>Ao todo</w:t>
      </w:r>
      <w:r w:rsidRPr="004E7180">
        <w:rPr>
          <w:rFonts w:ascii="Arial" w:hAnsi="Arial" w:cs="Arial"/>
          <w:color w:val="000000" w:themeColor="text1"/>
          <w:sz w:val="24"/>
          <w:szCs w:val="24"/>
        </w:rPr>
        <w:t xml:space="preserve">, </w:t>
      </w:r>
      <w:r w:rsidR="00ED3106" w:rsidRPr="004E7180">
        <w:rPr>
          <w:rFonts w:ascii="Arial" w:hAnsi="Arial" w:cs="Arial"/>
          <w:color w:val="000000" w:themeColor="text1"/>
          <w:sz w:val="24"/>
          <w:szCs w:val="24"/>
        </w:rPr>
        <w:t>as somas de todos os valore</w:t>
      </w:r>
      <w:r w:rsidRPr="004E7180">
        <w:rPr>
          <w:rFonts w:ascii="Arial" w:hAnsi="Arial" w:cs="Arial"/>
          <w:color w:val="000000" w:themeColor="text1"/>
          <w:sz w:val="24"/>
          <w:szCs w:val="24"/>
        </w:rPr>
        <w:t>s</w:t>
      </w:r>
      <w:r w:rsidR="00A93EFB" w:rsidRPr="004E7180">
        <w:rPr>
          <w:rFonts w:ascii="Arial" w:hAnsi="Arial" w:cs="Arial"/>
          <w:color w:val="000000" w:themeColor="text1"/>
          <w:sz w:val="24"/>
          <w:szCs w:val="24"/>
        </w:rPr>
        <w:t xml:space="preserve"> encontrados</w:t>
      </w:r>
      <w:r w:rsidRPr="004E7180">
        <w:rPr>
          <w:rFonts w:ascii="Arial" w:hAnsi="Arial" w:cs="Arial"/>
          <w:color w:val="000000" w:themeColor="text1"/>
          <w:sz w:val="24"/>
          <w:szCs w:val="24"/>
        </w:rPr>
        <w:t xml:space="preserve"> entre março de 2019 e março de 2020, foi de </w:t>
      </w:r>
      <w:r w:rsidR="00F249DB" w:rsidRPr="004E7180">
        <w:rPr>
          <w:rFonts w:ascii="Arial" w:hAnsi="Arial" w:cs="Arial"/>
          <w:color w:val="000000" w:themeColor="text1"/>
          <w:sz w:val="24"/>
          <w:szCs w:val="24"/>
        </w:rPr>
        <w:t xml:space="preserve">R$ </w:t>
      </w:r>
      <w:r w:rsidR="005330F2" w:rsidRPr="004E7180">
        <w:rPr>
          <w:rFonts w:ascii="Arial" w:hAnsi="Arial" w:cs="Arial"/>
          <w:color w:val="000000" w:themeColor="text1"/>
          <w:sz w:val="24"/>
          <w:szCs w:val="24"/>
        </w:rPr>
        <w:t>15.9</w:t>
      </w:r>
      <w:r w:rsidR="002A6C5D" w:rsidRPr="004E7180">
        <w:rPr>
          <w:rFonts w:ascii="Arial" w:hAnsi="Arial" w:cs="Arial"/>
          <w:color w:val="000000" w:themeColor="text1"/>
          <w:sz w:val="24"/>
          <w:szCs w:val="24"/>
        </w:rPr>
        <w:t>30</w:t>
      </w:r>
      <w:r w:rsidR="005330F2" w:rsidRPr="004E7180">
        <w:rPr>
          <w:rFonts w:ascii="Arial" w:hAnsi="Arial" w:cs="Arial"/>
          <w:color w:val="000000" w:themeColor="text1"/>
          <w:sz w:val="24"/>
          <w:szCs w:val="24"/>
        </w:rPr>
        <w:t>.</w:t>
      </w:r>
      <w:r w:rsidR="004E7180" w:rsidRPr="004E7180">
        <w:rPr>
          <w:rFonts w:ascii="Arial" w:hAnsi="Arial" w:cs="Arial"/>
          <w:color w:val="000000" w:themeColor="text1"/>
          <w:sz w:val="24"/>
          <w:szCs w:val="24"/>
        </w:rPr>
        <w:t>069</w:t>
      </w:r>
      <w:r w:rsidR="005330F2" w:rsidRPr="004E7180">
        <w:rPr>
          <w:rFonts w:ascii="Arial" w:hAnsi="Arial" w:cs="Arial"/>
          <w:color w:val="000000" w:themeColor="text1"/>
          <w:sz w:val="24"/>
          <w:szCs w:val="24"/>
        </w:rPr>
        <w:t>.</w:t>
      </w:r>
      <w:r w:rsidR="004E7180" w:rsidRPr="004E7180">
        <w:rPr>
          <w:rFonts w:ascii="Arial" w:hAnsi="Arial" w:cs="Arial"/>
          <w:color w:val="000000" w:themeColor="text1"/>
          <w:sz w:val="24"/>
          <w:szCs w:val="24"/>
        </w:rPr>
        <w:t>072</w:t>
      </w:r>
      <w:r w:rsidR="005330F2" w:rsidRPr="004E7180">
        <w:rPr>
          <w:rFonts w:ascii="Arial" w:hAnsi="Arial" w:cs="Arial"/>
          <w:color w:val="000000" w:themeColor="text1"/>
          <w:sz w:val="24"/>
          <w:szCs w:val="24"/>
        </w:rPr>
        <w:t>,</w:t>
      </w:r>
      <w:r w:rsidR="004E7180" w:rsidRPr="004E7180">
        <w:rPr>
          <w:rFonts w:ascii="Arial" w:hAnsi="Arial" w:cs="Arial"/>
          <w:color w:val="000000" w:themeColor="text1"/>
          <w:sz w:val="24"/>
          <w:szCs w:val="24"/>
        </w:rPr>
        <w:t>11</w:t>
      </w:r>
      <w:r w:rsidRPr="004E7180">
        <w:rPr>
          <w:rFonts w:ascii="Arial" w:hAnsi="Arial" w:cs="Arial"/>
          <w:color w:val="000000" w:themeColor="text1"/>
          <w:sz w:val="24"/>
          <w:szCs w:val="24"/>
        </w:rPr>
        <w:t xml:space="preserve">, e no período de </w:t>
      </w:r>
      <w:r w:rsidRPr="00B12F39">
        <w:rPr>
          <w:rFonts w:ascii="Arial" w:hAnsi="Arial" w:cs="Arial"/>
          <w:color w:val="000000" w:themeColor="text1"/>
          <w:sz w:val="24"/>
          <w:szCs w:val="24"/>
        </w:rPr>
        <w:t xml:space="preserve">março de 2020 a março de 2021, tiveram </w:t>
      </w:r>
      <w:r w:rsidR="00F249DB" w:rsidRPr="00B12F39">
        <w:rPr>
          <w:rFonts w:ascii="Arial" w:hAnsi="Arial" w:cs="Arial"/>
          <w:color w:val="000000" w:themeColor="text1"/>
          <w:sz w:val="24"/>
          <w:szCs w:val="24"/>
        </w:rPr>
        <w:t xml:space="preserve">R$ </w:t>
      </w:r>
      <w:r w:rsidR="004E7180" w:rsidRPr="00B12F39">
        <w:rPr>
          <w:rFonts w:ascii="Arial" w:eastAsia="Times New Roman" w:hAnsi="Arial" w:cs="Arial"/>
          <w:color w:val="000000"/>
          <w:sz w:val="24"/>
          <w:szCs w:val="24"/>
        </w:rPr>
        <w:t>18.450.871.861,50</w:t>
      </w:r>
      <w:r w:rsidRPr="00B12F39">
        <w:rPr>
          <w:rFonts w:ascii="Arial" w:hAnsi="Arial" w:cs="Arial"/>
          <w:color w:val="000000" w:themeColor="text1"/>
          <w:sz w:val="24"/>
          <w:szCs w:val="24"/>
        </w:rPr>
        <w:t xml:space="preserve">, com um </w:t>
      </w:r>
      <w:r w:rsidR="005330F2" w:rsidRPr="00B12F39">
        <w:rPr>
          <w:rFonts w:ascii="Arial" w:hAnsi="Arial" w:cs="Arial"/>
          <w:color w:val="000000" w:themeColor="text1"/>
          <w:sz w:val="24"/>
          <w:szCs w:val="24"/>
        </w:rPr>
        <w:t>aumento</w:t>
      </w:r>
      <w:r w:rsidRPr="00B12F39">
        <w:rPr>
          <w:rFonts w:ascii="Arial" w:hAnsi="Arial" w:cs="Arial"/>
          <w:color w:val="000000" w:themeColor="text1"/>
          <w:sz w:val="24"/>
          <w:szCs w:val="24"/>
        </w:rPr>
        <w:t xml:space="preserve"> de </w:t>
      </w:r>
      <w:r w:rsidR="004E7180" w:rsidRPr="00B12F39">
        <w:rPr>
          <w:rFonts w:ascii="Arial" w:hAnsi="Arial" w:cs="Arial"/>
          <w:color w:val="000000" w:themeColor="text1"/>
          <w:sz w:val="24"/>
          <w:szCs w:val="24"/>
        </w:rPr>
        <w:t xml:space="preserve">R$ </w:t>
      </w:r>
      <w:r w:rsidR="004E7180" w:rsidRPr="00B12F39">
        <w:rPr>
          <w:rFonts w:ascii="Arial" w:eastAsia="Times New Roman" w:hAnsi="Arial" w:cs="Arial"/>
          <w:color w:val="000000"/>
          <w:sz w:val="24"/>
          <w:szCs w:val="24"/>
        </w:rPr>
        <w:t>2.520.802.789,39 (</w:t>
      </w:r>
      <w:r w:rsidRPr="00B12F39">
        <w:rPr>
          <w:rFonts w:ascii="Arial" w:hAnsi="Arial" w:cs="Arial"/>
          <w:color w:val="000000" w:themeColor="text1"/>
          <w:sz w:val="24"/>
          <w:szCs w:val="24"/>
        </w:rPr>
        <w:t>1</w:t>
      </w:r>
      <w:r w:rsidR="005330F2" w:rsidRPr="00B12F39">
        <w:rPr>
          <w:rFonts w:ascii="Arial" w:hAnsi="Arial" w:cs="Arial"/>
          <w:color w:val="000000" w:themeColor="text1"/>
          <w:sz w:val="24"/>
          <w:szCs w:val="24"/>
        </w:rPr>
        <w:t>6</w:t>
      </w:r>
      <w:r w:rsidRPr="00B12F39">
        <w:rPr>
          <w:rFonts w:ascii="Arial" w:hAnsi="Arial" w:cs="Arial"/>
          <w:color w:val="000000" w:themeColor="text1"/>
          <w:sz w:val="24"/>
          <w:szCs w:val="24"/>
        </w:rPr>
        <w:t>,</w:t>
      </w:r>
      <w:r w:rsidR="005330F2" w:rsidRPr="00B12F39">
        <w:rPr>
          <w:rFonts w:ascii="Arial" w:hAnsi="Arial" w:cs="Arial"/>
          <w:color w:val="000000" w:themeColor="text1"/>
          <w:sz w:val="24"/>
          <w:szCs w:val="24"/>
        </w:rPr>
        <w:t>19</w:t>
      </w:r>
      <w:r w:rsidRPr="00B12F39">
        <w:rPr>
          <w:rFonts w:ascii="Arial" w:hAnsi="Arial" w:cs="Arial"/>
          <w:color w:val="000000" w:themeColor="text1"/>
          <w:sz w:val="24"/>
          <w:szCs w:val="24"/>
        </w:rPr>
        <w:t>%</w:t>
      </w:r>
      <w:r w:rsidR="004E7180" w:rsidRPr="00B12F39">
        <w:rPr>
          <w:rFonts w:ascii="Arial" w:hAnsi="Arial" w:cs="Arial"/>
          <w:color w:val="000000" w:themeColor="text1"/>
          <w:sz w:val="24"/>
          <w:szCs w:val="24"/>
        </w:rPr>
        <w:t>)</w:t>
      </w:r>
    </w:p>
    <w:p w14:paraId="458E620F" w14:textId="7D0617B2" w:rsidR="00F562A1" w:rsidRPr="00B12F39" w:rsidRDefault="00F562A1" w:rsidP="00F92F84">
      <w:pPr>
        <w:pStyle w:val="PargrafodaLista"/>
        <w:spacing w:line="480" w:lineRule="auto"/>
        <w:ind w:left="0" w:firstLine="709"/>
        <w:jc w:val="both"/>
        <w:rPr>
          <w:rFonts w:ascii="Arial" w:hAnsi="Arial" w:cs="Arial"/>
          <w:color w:val="000000" w:themeColor="text1"/>
          <w:sz w:val="24"/>
          <w:szCs w:val="24"/>
        </w:rPr>
      </w:pPr>
    </w:p>
    <w:p w14:paraId="2AF18348" w14:textId="77777777" w:rsidR="00E20470" w:rsidRPr="00B12F39" w:rsidRDefault="00E20470" w:rsidP="00E20470">
      <w:pPr>
        <w:spacing w:line="480" w:lineRule="auto"/>
        <w:ind w:firstLine="709"/>
        <w:jc w:val="both"/>
        <w:rPr>
          <w:rFonts w:ascii="Arial" w:hAnsi="Arial" w:cs="Arial"/>
          <w:b/>
          <w:bCs/>
          <w:color w:val="000000" w:themeColor="text1"/>
          <w:sz w:val="24"/>
          <w:szCs w:val="24"/>
        </w:rPr>
      </w:pPr>
      <w:r w:rsidRPr="00B12F39">
        <w:rPr>
          <w:rFonts w:ascii="Arial" w:hAnsi="Arial" w:cs="Arial"/>
          <w:b/>
          <w:bCs/>
          <w:color w:val="000000" w:themeColor="text1"/>
          <w:sz w:val="24"/>
          <w:szCs w:val="24"/>
        </w:rPr>
        <w:t>Óbitos</w:t>
      </w:r>
    </w:p>
    <w:p w14:paraId="6DC7F43C" w14:textId="75E7D194" w:rsidR="00E20470" w:rsidRDefault="00E20470" w:rsidP="00F92F84">
      <w:pPr>
        <w:pStyle w:val="PargrafodaLista"/>
        <w:spacing w:line="480" w:lineRule="auto"/>
        <w:ind w:left="0" w:firstLine="709"/>
        <w:jc w:val="both"/>
        <w:rPr>
          <w:rFonts w:ascii="Arial" w:hAnsi="Arial" w:cs="Arial"/>
          <w:color w:val="000000" w:themeColor="text1"/>
          <w:sz w:val="24"/>
          <w:szCs w:val="24"/>
          <w:highlight w:val="yellow"/>
        </w:rPr>
      </w:pPr>
    </w:p>
    <w:p w14:paraId="5814011C" w14:textId="77777777" w:rsidR="004E7180" w:rsidRPr="004E7180" w:rsidRDefault="004E7180" w:rsidP="004E7180">
      <w:pPr>
        <w:pStyle w:val="PargrafodaLista"/>
        <w:spacing w:line="480" w:lineRule="auto"/>
        <w:ind w:left="0" w:firstLine="709"/>
        <w:jc w:val="both"/>
        <w:rPr>
          <w:rFonts w:ascii="Arial" w:hAnsi="Arial" w:cs="Arial"/>
          <w:color w:val="000000" w:themeColor="text1"/>
          <w:sz w:val="24"/>
          <w:szCs w:val="24"/>
        </w:rPr>
      </w:pPr>
      <w:r w:rsidRPr="004E7180">
        <w:rPr>
          <w:rFonts w:ascii="Arial" w:hAnsi="Arial" w:cs="Arial"/>
          <w:color w:val="000000" w:themeColor="text1"/>
          <w:sz w:val="24"/>
          <w:szCs w:val="24"/>
        </w:rPr>
        <w:t>Os dados colhidos sobre o número de óbitos, mostram uma enorme quantidade de óbitos, tendo valores extremos de 1 a 10.000 mortes pacientes internados durante todo o período selecionado. Em termos de porcentagem no total de internações pelo capítulo do CID, temos uma variação de 5% a 10% do total de sua doença.</w:t>
      </w:r>
    </w:p>
    <w:p w14:paraId="59602262" w14:textId="77777777" w:rsidR="004E7180" w:rsidRPr="004E7180" w:rsidRDefault="004E7180" w:rsidP="00F92F84">
      <w:pPr>
        <w:pStyle w:val="PargrafodaLista"/>
        <w:spacing w:line="480" w:lineRule="auto"/>
        <w:ind w:left="0" w:firstLine="709"/>
        <w:jc w:val="both"/>
        <w:rPr>
          <w:rFonts w:ascii="Arial" w:hAnsi="Arial" w:cs="Arial"/>
          <w:color w:val="000000" w:themeColor="text1"/>
          <w:sz w:val="24"/>
          <w:szCs w:val="24"/>
        </w:rPr>
      </w:pPr>
    </w:p>
    <w:tbl>
      <w:tblPr>
        <w:tblStyle w:val="Tabelacomgrade"/>
        <w:tblpPr w:leftFromText="141" w:rightFromText="141" w:vertAnchor="text" w:horzAnchor="margin" w:tblpY="79"/>
        <w:tblW w:w="8897" w:type="dxa"/>
        <w:tblLook w:val="04A0" w:firstRow="1" w:lastRow="0" w:firstColumn="1" w:lastColumn="0" w:noHBand="0" w:noVBand="1"/>
      </w:tblPr>
      <w:tblGrid>
        <w:gridCol w:w="2802"/>
        <w:gridCol w:w="2268"/>
        <w:gridCol w:w="2693"/>
        <w:gridCol w:w="1134"/>
      </w:tblGrid>
      <w:tr w:rsidR="0085395F" w:rsidRPr="004E7180" w14:paraId="02C46C87" w14:textId="77777777" w:rsidTr="003F1552">
        <w:trPr>
          <w:trHeight w:val="300"/>
        </w:trPr>
        <w:tc>
          <w:tcPr>
            <w:tcW w:w="8897" w:type="dxa"/>
            <w:gridSpan w:val="4"/>
            <w:tcBorders>
              <w:top w:val="nil"/>
              <w:left w:val="nil"/>
              <w:right w:val="nil"/>
            </w:tcBorders>
            <w:noWrap/>
          </w:tcPr>
          <w:p w14:paraId="4BE74810" w14:textId="2E5BEEDA" w:rsidR="0085395F" w:rsidRPr="004E7180" w:rsidRDefault="0085395F" w:rsidP="0085395F">
            <w:pPr>
              <w:rPr>
                <w:rFonts w:ascii="Calibri" w:hAnsi="Calibri" w:cs="Calibri"/>
                <w:color w:val="000000"/>
              </w:rPr>
            </w:pPr>
            <w:r w:rsidRPr="004E7180">
              <w:rPr>
                <w:rFonts w:ascii="Calibri" w:eastAsia="Times New Roman" w:hAnsi="Calibri" w:cs="Calibri"/>
                <w:color w:val="000000"/>
              </w:rPr>
              <w:t xml:space="preserve">Tabela 3 – Óbitos por capítulo do CID 10, Brasil,2019 </w:t>
            </w:r>
            <w:r w:rsidR="003E2341" w:rsidRPr="004E7180">
              <w:rPr>
                <w:rFonts w:ascii="Calibri" w:eastAsia="Times New Roman" w:hAnsi="Calibri" w:cs="Calibri"/>
                <w:color w:val="000000"/>
              </w:rPr>
              <w:t>–</w:t>
            </w:r>
            <w:r w:rsidRPr="004E7180">
              <w:rPr>
                <w:rFonts w:ascii="Calibri" w:eastAsia="Times New Roman" w:hAnsi="Calibri" w:cs="Calibri"/>
                <w:color w:val="000000"/>
              </w:rPr>
              <w:t xml:space="preserve"> 2021</w:t>
            </w:r>
          </w:p>
        </w:tc>
      </w:tr>
      <w:tr w:rsidR="0085395F" w:rsidRPr="004E7180" w14:paraId="3EC272DE" w14:textId="77777777" w:rsidTr="003F1552">
        <w:trPr>
          <w:trHeight w:val="300"/>
        </w:trPr>
        <w:tc>
          <w:tcPr>
            <w:tcW w:w="2802" w:type="dxa"/>
            <w:noWrap/>
            <w:hideMark/>
          </w:tcPr>
          <w:p w14:paraId="5F4E4BCF" w14:textId="77777777" w:rsidR="0085395F" w:rsidRPr="004E7180" w:rsidRDefault="0085395F" w:rsidP="0085395F">
            <w:pPr>
              <w:rPr>
                <w:rFonts w:ascii="Calibri" w:hAnsi="Calibri" w:cs="Calibri"/>
                <w:color w:val="000000"/>
              </w:rPr>
            </w:pPr>
            <w:r w:rsidRPr="004E7180">
              <w:rPr>
                <w:rFonts w:ascii="Calibri" w:hAnsi="Calibri" w:cs="Calibri"/>
                <w:color w:val="000000"/>
              </w:rPr>
              <w:t>Capítulo CID-10</w:t>
            </w:r>
          </w:p>
        </w:tc>
        <w:tc>
          <w:tcPr>
            <w:tcW w:w="2268" w:type="dxa"/>
            <w:noWrap/>
            <w:hideMark/>
          </w:tcPr>
          <w:p w14:paraId="15943EA9" w14:textId="0F05DDA5" w:rsidR="003E2341" w:rsidRPr="004E7180" w:rsidRDefault="003E2341" w:rsidP="0085395F">
            <w:pPr>
              <w:rPr>
                <w:rFonts w:ascii="Calibri" w:hAnsi="Calibri" w:cs="Calibri"/>
                <w:color w:val="000000"/>
              </w:rPr>
            </w:pPr>
            <w:r w:rsidRPr="004E7180">
              <w:rPr>
                <w:rFonts w:ascii="Calibri" w:hAnsi="Calibri" w:cs="Calibri"/>
                <w:color w:val="000000"/>
              </w:rPr>
              <w:t>Número de óbitos</w:t>
            </w:r>
          </w:p>
          <w:p w14:paraId="45C76DBF" w14:textId="52835C3F" w:rsidR="0085395F" w:rsidRPr="004E7180" w:rsidRDefault="0085395F" w:rsidP="0085395F">
            <w:pPr>
              <w:rPr>
                <w:rFonts w:ascii="Calibri" w:hAnsi="Calibri" w:cs="Calibri"/>
                <w:color w:val="000000"/>
              </w:rPr>
            </w:pPr>
            <w:r w:rsidRPr="004E7180">
              <w:rPr>
                <w:rFonts w:ascii="Calibri" w:hAnsi="Calibri" w:cs="Calibri"/>
                <w:color w:val="000000"/>
              </w:rPr>
              <w:t>mar/2019 - mar/2020</w:t>
            </w:r>
          </w:p>
          <w:p w14:paraId="7087ED5F" w14:textId="77777777" w:rsidR="003E2341" w:rsidRPr="004E7180" w:rsidRDefault="003E2341" w:rsidP="003E2341">
            <w:pPr>
              <w:jc w:val="center"/>
              <w:rPr>
                <w:rFonts w:ascii="Calibri" w:eastAsia="Times New Roman" w:hAnsi="Calibri" w:cs="Calibri"/>
                <w:color w:val="000000"/>
              </w:rPr>
            </w:pPr>
            <w:r w:rsidRPr="004E7180">
              <w:rPr>
                <w:rFonts w:ascii="Calibri" w:eastAsia="Times New Roman" w:hAnsi="Calibri" w:cs="Calibri"/>
                <w:color w:val="000000"/>
              </w:rPr>
              <w:t>N</w:t>
            </w:r>
          </w:p>
          <w:p w14:paraId="59BF302B" w14:textId="0470D8C9" w:rsidR="003E2341" w:rsidRPr="004E7180" w:rsidRDefault="003E2341" w:rsidP="003E2341">
            <w:pPr>
              <w:jc w:val="center"/>
              <w:rPr>
                <w:rFonts w:ascii="Calibri" w:eastAsia="Times New Roman" w:hAnsi="Calibri" w:cs="Calibri"/>
                <w:color w:val="000000"/>
              </w:rPr>
            </w:pPr>
            <w:r w:rsidRPr="004E7180">
              <w:rPr>
                <w:rFonts w:ascii="Calibri" w:eastAsia="Times New Roman" w:hAnsi="Calibri" w:cs="Calibri"/>
                <w:color w:val="000000"/>
              </w:rPr>
              <w:t>%</w:t>
            </w:r>
          </w:p>
        </w:tc>
        <w:tc>
          <w:tcPr>
            <w:tcW w:w="2693" w:type="dxa"/>
            <w:noWrap/>
            <w:hideMark/>
          </w:tcPr>
          <w:p w14:paraId="7B0CF703" w14:textId="77D929EB" w:rsidR="003E2341" w:rsidRPr="004E7180" w:rsidRDefault="003E2341" w:rsidP="003E2341">
            <w:pPr>
              <w:rPr>
                <w:rFonts w:ascii="Calibri" w:hAnsi="Calibri" w:cs="Calibri"/>
                <w:color w:val="000000"/>
              </w:rPr>
            </w:pPr>
            <w:r w:rsidRPr="004E7180">
              <w:rPr>
                <w:rFonts w:ascii="Calibri" w:hAnsi="Calibri" w:cs="Calibri"/>
                <w:color w:val="000000"/>
              </w:rPr>
              <w:t>Número de óbitos</w:t>
            </w:r>
          </w:p>
          <w:p w14:paraId="249A678D" w14:textId="4846AB93" w:rsidR="0085395F" w:rsidRPr="004E7180" w:rsidRDefault="0085395F" w:rsidP="0085395F">
            <w:pPr>
              <w:rPr>
                <w:rFonts w:ascii="Calibri" w:hAnsi="Calibri" w:cs="Calibri"/>
                <w:color w:val="000000"/>
              </w:rPr>
            </w:pPr>
            <w:r w:rsidRPr="004E7180">
              <w:rPr>
                <w:rFonts w:ascii="Calibri" w:hAnsi="Calibri" w:cs="Calibri"/>
                <w:color w:val="000000"/>
              </w:rPr>
              <w:t>mar/2020 - mar/2021</w:t>
            </w:r>
          </w:p>
          <w:p w14:paraId="24D1DCF9" w14:textId="77777777" w:rsidR="003E2341" w:rsidRPr="004E7180" w:rsidRDefault="003E2341" w:rsidP="003E2341">
            <w:pPr>
              <w:jc w:val="center"/>
              <w:rPr>
                <w:rFonts w:ascii="Calibri" w:eastAsia="Times New Roman" w:hAnsi="Calibri" w:cs="Calibri"/>
                <w:color w:val="000000"/>
              </w:rPr>
            </w:pPr>
            <w:r w:rsidRPr="004E7180">
              <w:rPr>
                <w:rFonts w:ascii="Calibri" w:eastAsia="Times New Roman" w:hAnsi="Calibri" w:cs="Calibri"/>
                <w:color w:val="000000"/>
              </w:rPr>
              <w:t>N</w:t>
            </w:r>
          </w:p>
          <w:p w14:paraId="5A30FFCA" w14:textId="68A2CB98" w:rsidR="003E2341" w:rsidRPr="004E7180" w:rsidRDefault="003E2341" w:rsidP="003E2341">
            <w:pPr>
              <w:jc w:val="center"/>
              <w:rPr>
                <w:rFonts w:ascii="Calibri" w:eastAsia="Times New Roman" w:hAnsi="Calibri" w:cs="Calibri"/>
                <w:color w:val="000000"/>
              </w:rPr>
            </w:pPr>
            <w:r w:rsidRPr="004E7180">
              <w:rPr>
                <w:rFonts w:ascii="Calibri" w:eastAsia="Times New Roman" w:hAnsi="Calibri" w:cs="Calibri"/>
                <w:color w:val="000000"/>
              </w:rPr>
              <w:t>%</w:t>
            </w:r>
          </w:p>
          <w:p w14:paraId="16A7D803" w14:textId="612A08A4" w:rsidR="003E2341" w:rsidRPr="004E7180" w:rsidRDefault="003E2341" w:rsidP="0085395F">
            <w:pPr>
              <w:rPr>
                <w:rFonts w:ascii="Calibri" w:hAnsi="Calibri" w:cs="Calibri"/>
                <w:color w:val="000000"/>
              </w:rPr>
            </w:pPr>
          </w:p>
        </w:tc>
        <w:tc>
          <w:tcPr>
            <w:tcW w:w="1134" w:type="dxa"/>
            <w:noWrap/>
            <w:hideMark/>
          </w:tcPr>
          <w:p w14:paraId="424F48EC" w14:textId="77777777" w:rsidR="00473642" w:rsidRPr="004E7180" w:rsidRDefault="00473642" w:rsidP="00473642">
            <w:pPr>
              <w:jc w:val="center"/>
              <w:rPr>
                <w:rFonts w:ascii="Calibri" w:eastAsia="Times New Roman" w:hAnsi="Calibri" w:cs="Calibri"/>
                <w:color w:val="000000"/>
              </w:rPr>
            </w:pPr>
            <w:r w:rsidRPr="004E7180">
              <w:rPr>
                <w:rFonts w:ascii="Calibri" w:eastAsia="Times New Roman" w:hAnsi="Calibri" w:cs="Calibri"/>
                <w:color w:val="000000"/>
              </w:rPr>
              <w:t>Variação entre os dois períodos</w:t>
            </w:r>
          </w:p>
          <w:p w14:paraId="76AD6B69" w14:textId="77777777" w:rsidR="00473642" w:rsidRPr="004E7180" w:rsidRDefault="00473642" w:rsidP="00473642">
            <w:pPr>
              <w:jc w:val="center"/>
              <w:rPr>
                <w:rFonts w:ascii="Calibri" w:eastAsia="Times New Roman" w:hAnsi="Calibri" w:cs="Calibri"/>
                <w:color w:val="000000"/>
              </w:rPr>
            </w:pPr>
            <w:r w:rsidRPr="004E7180">
              <w:rPr>
                <w:rFonts w:ascii="Calibri" w:eastAsia="Times New Roman" w:hAnsi="Calibri" w:cs="Calibri"/>
                <w:color w:val="000000"/>
              </w:rPr>
              <w:t>N</w:t>
            </w:r>
          </w:p>
          <w:p w14:paraId="40169E44" w14:textId="40A67904" w:rsidR="0085395F" w:rsidRPr="004E7180" w:rsidRDefault="00473642" w:rsidP="00473642">
            <w:pPr>
              <w:jc w:val="center"/>
              <w:rPr>
                <w:rFonts w:ascii="Calibri" w:eastAsia="Times New Roman" w:hAnsi="Calibri" w:cs="Calibri"/>
                <w:color w:val="000000"/>
              </w:rPr>
            </w:pPr>
            <w:r w:rsidRPr="004E7180">
              <w:rPr>
                <w:rFonts w:ascii="Calibri" w:eastAsia="Times New Roman" w:hAnsi="Calibri" w:cs="Calibri"/>
                <w:color w:val="000000"/>
              </w:rPr>
              <w:t>%</w:t>
            </w:r>
          </w:p>
        </w:tc>
      </w:tr>
      <w:tr w:rsidR="0085395F" w:rsidRPr="004E7180" w14:paraId="4FE053CA" w14:textId="77777777" w:rsidTr="003F1552">
        <w:trPr>
          <w:trHeight w:val="300"/>
        </w:trPr>
        <w:tc>
          <w:tcPr>
            <w:tcW w:w="2802" w:type="dxa"/>
            <w:noWrap/>
            <w:hideMark/>
          </w:tcPr>
          <w:p w14:paraId="44BD7229" w14:textId="77777777" w:rsidR="0085395F" w:rsidRPr="004E7180" w:rsidRDefault="0085395F" w:rsidP="0085395F">
            <w:pPr>
              <w:rPr>
                <w:rFonts w:ascii="Calibri" w:hAnsi="Calibri" w:cs="Calibri"/>
                <w:color w:val="000000"/>
              </w:rPr>
            </w:pPr>
            <w:r w:rsidRPr="004E7180">
              <w:rPr>
                <w:rFonts w:ascii="Calibri" w:hAnsi="Calibri" w:cs="Calibri"/>
                <w:color w:val="000000"/>
              </w:rPr>
              <w:t>I.   Algumas doenças infecciosas e parasitárias</w:t>
            </w:r>
          </w:p>
        </w:tc>
        <w:tc>
          <w:tcPr>
            <w:tcW w:w="2268" w:type="dxa"/>
            <w:noWrap/>
            <w:hideMark/>
          </w:tcPr>
          <w:p w14:paraId="3E14F616"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99.216</w:t>
            </w:r>
          </w:p>
          <w:p w14:paraId="32D15B9F" w14:textId="0CA11D4E"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19</w:t>
            </w:r>
            <w:r w:rsidR="003E2341" w:rsidRPr="004E7180">
              <w:rPr>
                <w:rFonts w:ascii="Calibri" w:eastAsia="Times New Roman" w:hAnsi="Calibri" w:cs="Calibri"/>
                <w:color w:val="000000"/>
              </w:rPr>
              <w:t>%</w:t>
            </w:r>
          </w:p>
        </w:tc>
        <w:tc>
          <w:tcPr>
            <w:tcW w:w="2693" w:type="dxa"/>
            <w:noWrap/>
            <w:hideMark/>
          </w:tcPr>
          <w:p w14:paraId="10D2359F"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252.147</w:t>
            </w:r>
          </w:p>
          <w:p w14:paraId="24B4BC9A" w14:textId="40455ADA"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37</w:t>
            </w:r>
            <w:r w:rsidR="003E2341" w:rsidRPr="004E7180">
              <w:rPr>
                <w:rFonts w:ascii="Calibri" w:eastAsia="Times New Roman" w:hAnsi="Calibri" w:cs="Calibri"/>
                <w:color w:val="000000"/>
              </w:rPr>
              <w:t>%</w:t>
            </w:r>
          </w:p>
        </w:tc>
        <w:tc>
          <w:tcPr>
            <w:tcW w:w="1134" w:type="dxa"/>
            <w:noWrap/>
            <w:hideMark/>
          </w:tcPr>
          <w:p w14:paraId="4613D73B" w14:textId="5DB05C0B" w:rsidR="003E2341" w:rsidRPr="004E7180" w:rsidRDefault="00E20470" w:rsidP="0085395F">
            <w:pPr>
              <w:jc w:val="right"/>
              <w:rPr>
                <w:rFonts w:ascii="Calibri" w:hAnsi="Calibri" w:cs="Calibri"/>
                <w:color w:val="000000"/>
              </w:rPr>
            </w:pPr>
            <w:r w:rsidRPr="004E7180">
              <w:rPr>
                <w:rFonts w:ascii="Calibri" w:hAnsi="Calibri" w:cs="Calibri"/>
                <w:color w:val="000000"/>
              </w:rPr>
              <w:t>152.931</w:t>
            </w:r>
          </w:p>
          <w:p w14:paraId="44B4319E" w14:textId="546F1F62" w:rsidR="0085395F" w:rsidRPr="004E7180" w:rsidRDefault="0085395F" w:rsidP="0085395F">
            <w:pPr>
              <w:jc w:val="right"/>
              <w:rPr>
                <w:rFonts w:ascii="Calibri" w:hAnsi="Calibri" w:cs="Calibri"/>
                <w:color w:val="000000"/>
              </w:rPr>
            </w:pPr>
            <w:r w:rsidRPr="004E7180">
              <w:rPr>
                <w:rFonts w:ascii="Calibri" w:hAnsi="Calibri" w:cs="Calibri"/>
                <w:color w:val="000000"/>
              </w:rPr>
              <w:t>154,14%</w:t>
            </w:r>
          </w:p>
        </w:tc>
      </w:tr>
      <w:tr w:rsidR="0085395F" w:rsidRPr="004E7180" w14:paraId="083D95EF" w14:textId="77777777" w:rsidTr="003F1552">
        <w:trPr>
          <w:trHeight w:val="300"/>
        </w:trPr>
        <w:tc>
          <w:tcPr>
            <w:tcW w:w="2802" w:type="dxa"/>
            <w:noWrap/>
            <w:hideMark/>
          </w:tcPr>
          <w:p w14:paraId="6BFB3A9B" w14:textId="77777777" w:rsidR="0085395F" w:rsidRPr="004E7180" w:rsidRDefault="0085395F" w:rsidP="0085395F">
            <w:pPr>
              <w:rPr>
                <w:rFonts w:ascii="Calibri" w:hAnsi="Calibri" w:cs="Calibri"/>
                <w:color w:val="000000"/>
              </w:rPr>
            </w:pPr>
            <w:r w:rsidRPr="004E7180">
              <w:rPr>
                <w:rFonts w:ascii="Calibri" w:hAnsi="Calibri" w:cs="Calibri"/>
                <w:color w:val="000000"/>
              </w:rPr>
              <w:t>II.  Neoplasias (tumores)</w:t>
            </w:r>
          </w:p>
        </w:tc>
        <w:tc>
          <w:tcPr>
            <w:tcW w:w="2268" w:type="dxa"/>
            <w:noWrap/>
            <w:hideMark/>
          </w:tcPr>
          <w:p w14:paraId="75A939AC"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72.183</w:t>
            </w:r>
          </w:p>
          <w:p w14:paraId="20043E6D" w14:textId="1221338C"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14</w:t>
            </w:r>
            <w:r w:rsidR="003E2341" w:rsidRPr="004E7180">
              <w:rPr>
                <w:rFonts w:ascii="Calibri" w:eastAsia="Times New Roman" w:hAnsi="Calibri" w:cs="Calibri"/>
                <w:color w:val="000000"/>
              </w:rPr>
              <w:t>%</w:t>
            </w:r>
          </w:p>
        </w:tc>
        <w:tc>
          <w:tcPr>
            <w:tcW w:w="2693" w:type="dxa"/>
            <w:noWrap/>
            <w:hideMark/>
          </w:tcPr>
          <w:p w14:paraId="66D8EA17"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71.901</w:t>
            </w:r>
          </w:p>
          <w:p w14:paraId="5DDBA7A6" w14:textId="4816D5F6"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11</w:t>
            </w:r>
            <w:r w:rsidR="003E2341" w:rsidRPr="004E7180">
              <w:rPr>
                <w:rFonts w:ascii="Calibri" w:eastAsia="Times New Roman" w:hAnsi="Calibri" w:cs="Calibri"/>
                <w:color w:val="000000"/>
              </w:rPr>
              <w:t>%</w:t>
            </w:r>
          </w:p>
        </w:tc>
        <w:tc>
          <w:tcPr>
            <w:tcW w:w="1134" w:type="dxa"/>
            <w:noWrap/>
            <w:hideMark/>
          </w:tcPr>
          <w:p w14:paraId="3E3A0EDA" w14:textId="569999DB"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282</w:t>
            </w:r>
          </w:p>
          <w:p w14:paraId="4EBB7328" w14:textId="0234CA1B" w:rsidR="0085395F" w:rsidRPr="004E7180" w:rsidRDefault="0085395F" w:rsidP="0085395F">
            <w:pPr>
              <w:jc w:val="right"/>
              <w:rPr>
                <w:rFonts w:ascii="Calibri" w:hAnsi="Calibri" w:cs="Calibri"/>
                <w:color w:val="000000"/>
              </w:rPr>
            </w:pPr>
            <w:r w:rsidRPr="004E7180">
              <w:rPr>
                <w:rFonts w:ascii="Calibri" w:hAnsi="Calibri" w:cs="Calibri"/>
                <w:color w:val="000000"/>
              </w:rPr>
              <w:t>-0,39%</w:t>
            </w:r>
          </w:p>
        </w:tc>
      </w:tr>
      <w:tr w:rsidR="0085395F" w:rsidRPr="004E7180" w14:paraId="0EAF55BF" w14:textId="77777777" w:rsidTr="003F1552">
        <w:trPr>
          <w:trHeight w:val="300"/>
        </w:trPr>
        <w:tc>
          <w:tcPr>
            <w:tcW w:w="2802" w:type="dxa"/>
            <w:noWrap/>
            <w:hideMark/>
          </w:tcPr>
          <w:p w14:paraId="3DADA17B" w14:textId="77777777" w:rsidR="0085395F" w:rsidRPr="004E7180" w:rsidRDefault="0085395F" w:rsidP="0085395F">
            <w:pPr>
              <w:rPr>
                <w:rFonts w:ascii="Calibri" w:hAnsi="Calibri" w:cs="Calibri"/>
                <w:color w:val="000000"/>
              </w:rPr>
            </w:pPr>
            <w:r w:rsidRPr="004E7180">
              <w:rPr>
                <w:rFonts w:ascii="Calibri" w:hAnsi="Calibri" w:cs="Calibri"/>
                <w:color w:val="000000"/>
              </w:rPr>
              <w:t xml:space="preserve">III. Doenças sangue órgãos </w:t>
            </w:r>
            <w:proofErr w:type="spellStart"/>
            <w:r w:rsidRPr="004E7180">
              <w:rPr>
                <w:rFonts w:ascii="Calibri" w:hAnsi="Calibri" w:cs="Calibri"/>
                <w:color w:val="000000"/>
              </w:rPr>
              <w:t>hemat</w:t>
            </w:r>
            <w:proofErr w:type="spellEnd"/>
            <w:r w:rsidRPr="004E7180">
              <w:rPr>
                <w:rFonts w:ascii="Calibri" w:hAnsi="Calibri" w:cs="Calibri"/>
                <w:color w:val="000000"/>
              </w:rPr>
              <w:t xml:space="preserve"> e </w:t>
            </w:r>
            <w:proofErr w:type="spellStart"/>
            <w:r w:rsidRPr="004E7180">
              <w:rPr>
                <w:rFonts w:ascii="Calibri" w:hAnsi="Calibri" w:cs="Calibri"/>
                <w:color w:val="000000"/>
              </w:rPr>
              <w:t>transt</w:t>
            </w:r>
            <w:proofErr w:type="spellEnd"/>
            <w:r w:rsidRPr="004E7180">
              <w:rPr>
                <w:rFonts w:ascii="Calibri" w:hAnsi="Calibri" w:cs="Calibri"/>
                <w:color w:val="000000"/>
              </w:rPr>
              <w:t xml:space="preserve"> </w:t>
            </w:r>
            <w:proofErr w:type="spellStart"/>
            <w:r w:rsidRPr="004E7180">
              <w:rPr>
                <w:rFonts w:ascii="Calibri" w:hAnsi="Calibri" w:cs="Calibri"/>
                <w:color w:val="000000"/>
              </w:rPr>
              <w:t>imunitár</w:t>
            </w:r>
            <w:proofErr w:type="spellEnd"/>
          </w:p>
        </w:tc>
        <w:tc>
          <w:tcPr>
            <w:tcW w:w="2268" w:type="dxa"/>
            <w:noWrap/>
            <w:hideMark/>
          </w:tcPr>
          <w:p w14:paraId="32DE7700" w14:textId="43632496" w:rsidR="0085395F" w:rsidRPr="004E7180" w:rsidRDefault="0085395F" w:rsidP="0085395F">
            <w:pPr>
              <w:jc w:val="right"/>
              <w:rPr>
                <w:rFonts w:ascii="Calibri" w:hAnsi="Calibri" w:cs="Calibri"/>
                <w:color w:val="000000"/>
              </w:rPr>
            </w:pPr>
            <w:r w:rsidRPr="004E7180">
              <w:rPr>
                <w:rFonts w:ascii="Calibri" w:hAnsi="Calibri" w:cs="Calibri"/>
                <w:color w:val="000000"/>
              </w:rPr>
              <w:t>5.183</w:t>
            </w:r>
          </w:p>
          <w:p w14:paraId="4918B33D" w14:textId="4D7F58BF"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w:t>
            </w:r>
            <w:r w:rsidR="003E2341" w:rsidRPr="004E7180">
              <w:rPr>
                <w:rFonts w:ascii="Calibri" w:eastAsia="Times New Roman" w:hAnsi="Calibri" w:cs="Calibri"/>
                <w:color w:val="000000"/>
              </w:rPr>
              <w:t>%</w:t>
            </w:r>
          </w:p>
        </w:tc>
        <w:tc>
          <w:tcPr>
            <w:tcW w:w="2693" w:type="dxa"/>
            <w:noWrap/>
            <w:hideMark/>
          </w:tcPr>
          <w:p w14:paraId="347C44D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5.035</w:t>
            </w:r>
          </w:p>
          <w:p w14:paraId="53A116E8" w14:textId="07A8848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w:t>
            </w:r>
            <w:r w:rsidR="003E2341" w:rsidRPr="004E7180">
              <w:rPr>
                <w:rFonts w:ascii="Calibri" w:eastAsia="Times New Roman" w:hAnsi="Calibri" w:cs="Calibri"/>
                <w:color w:val="000000"/>
              </w:rPr>
              <w:t>%</w:t>
            </w:r>
          </w:p>
        </w:tc>
        <w:tc>
          <w:tcPr>
            <w:tcW w:w="1134" w:type="dxa"/>
            <w:noWrap/>
            <w:hideMark/>
          </w:tcPr>
          <w:p w14:paraId="36ADE87D" w14:textId="48E00E83"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148</w:t>
            </w:r>
          </w:p>
          <w:p w14:paraId="65F8A3C3" w14:textId="6C0C8096" w:rsidR="0085395F" w:rsidRPr="004E7180" w:rsidRDefault="0085395F" w:rsidP="0085395F">
            <w:pPr>
              <w:jc w:val="right"/>
              <w:rPr>
                <w:rFonts w:ascii="Calibri" w:hAnsi="Calibri" w:cs="Calibri"/>
                <w:color w:val="000000"/>
              </w:rPr>
            </w:pPr>
            <w:r w:rsidRPr="004E7180">
              <w:rPr>
                <w:rFonts w:ascii="Calibri" w:hAnsi="Calibri" w:cs="Calibri"/>
                <w:color w:val="000000"/>
              </w:rPr>
              <w:t>-2,86%</w:t>
            </w:r>
          </w:p>
        </w:tc>
      </w:tr>
      <w:tr w:rsidR="0085395F" w:rsidRPr="004E7180" w14:paraId="56E2BAAE" w14:textId="77777777" w:rsidTr="003F1552">
        <w:trPr>
          <w:trHeight w:val="300"/>
        </w:trPr>
        <w:tc>
          <w:tcPr>
            <w:tcW w:w="2802" w:type="dxa"/>
            <w:noWrap/>
            <w:hideMark/>
          </w:tcPr>
          <w:p w14:paraId="7779350F" w14:textId="77777777" w:rsidR="0085395F" w:rsidRPr="004E7180" w:rsidRDefault="0085395F" w:rsidP="0085395F">
            <w:pPr>
              <w:rPr>
                <w:rFonts w:ascii="Calibri" w:hAnsi="Calibri" w:cs="Calibri"/>
                <w:color w:val="000000"/>
              </w:rPr>
            </w:pPr>
            <w:r w:rsidRPr="004E7180">
              <w:rPr>
                <w:rFonts w:ascii="Calibri" w:hAnsi="Calibri" w:cs="Calibri"/>
                <w:color w:val="000000"/>
              </w:rPr>
              <w:t>IV.  Doenças endócrinas nutricionais e metabólicas</w:t>
            </w:r>
          </w:p>
        </w:tc>
        <w:tc>
          <w:tcPr>
            <w:tcW w:w="2268" w:type="dxa"/>
            <w:noWrap/>
            <w:hideMark/>
          </w:tcPr>
          <w:p w14:paraId="30942525"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13.393</w:t>
            </w:r>
          </w:p>
          <w:p w14:paraId="7FF574E2" w14:textId="297C7174"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3</w:t>
            </w:r>
            <w:r w:rsidR="003E2341" w:rsidRPr="004E7180">
              <w:rPr>
                <w:rFonts w:ascii="Calibri" w:eastAsia="Times New Roman" w:hAnsi="Calibri" w:cs="Calibri"/>
                <w:color w:val="000000"/>
              </w:rPr>
              <w:t>%</w:t>
            </w:r>
          </w:p>
        </w:tc>
        <w:tc>
          <w:tcPr>
            <w:tcW w:w="2693" w:type="dxa"/>
            <w:noWrap/>
            <w:hideMark/>
          </w:tcPr>
          <w:p w14:paraId="58CF295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12.818</w:t>
            </w:r>
          </w:p>
          <w:p w14:paraId="06920CCC" w14:textId="47D52FCE"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2</w:t>
            </w:r>
            <w:r w:rsidR="003E2341" w:rsidRPr="004E7180">
              <w:rPr>
                <w:rFonts w:ascii="Calibri" w:eastAsia="Times New Roman" w:hAnsi="Calibri" w:cs="Calibri"/>
                <w:color w:val="000000"/>
              </w:rPr>
              <w:t>%</w:t>
            </w:r>
          </w:p>
        </w:tc>
        <w:tc>
          <w:tcPr>
            <w:tcW w:w="1134" w:type="dxa"/>
            <w:noWrap/>
            <w:hideMark/>
          </w:tcPr>
          <w:p w14:paraId="0E7B4934" w14:textId="2B8FDB62"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575</w:t>
            </w:r>
          </w:p>
          <w:p w14:paraId="2C01A9FB" w14:textId="48BCCFC3" w:rsidR="0085395F" w:rsidRPr="004E7180" w:rsidRDefault="0085395F" w:rsidP="0085395F">
            <w:pPr>
              <w:jc w:val="right"/>
              <w:rPr>
                <w:rFonts w:ascii="Calibri" w:hAnsi="Calibri" w:cs="Calibri"/>
                <w:color w:val="000000"/>
              </w:rPr>
            </w:pPr>
            <w:r w:rsidRPr="004E7180">
              <w:rPr>
                <w:rFonts w:ascii="Calibri" w:hAnsi="Calibri" w:cs="Calibri"/>
                <w:color w:val="000000"/>
              </w:rPr>
              <w:t>-4,29%</w:t>
            </w:r>
          </w:p>
        </w:tc>
      </w:tr>
      <w:tr w:rsidR="0085395F" w:rsidRPr="004E7180" w14:paraId="1F47C132" w14:textId="77777777" w:rsidTr="003F1552">
        <w:trPr>
          <w:trHeight w:val="300"/>
        </w:trPr>
        <w:tc>
          <w:tcPr>
            <w:tcW w:w="2802" w:type="dxa"/>
            <w:noWrap/>
            <w:hideMark/>
          </w:tcPr>
          <w:p w14:paraId="53207D67" w14:textId="77777777" w:rsidR="0085395F" w:rsidRPr="004E7180" w:rsidRDefault="0085395F" w:rsidP="0085395F">
            <w:pPr>
              <w:rPr>
                <w:rFonts w:ascii="Calibri" w:hAnsi="Calibri" w:cs="Calibri"/>
                <w:color w:val="000000"/>
              </w:rPr>
            </w:pPr>
            <w:r w:rsidRPr="004E7180">
              <w:rPr>
                <w:rFonts w:ascii="Calibri" w:hAnsi="Calibri" w:cs="Calibri"/>
                <w:color w:val="000000"/>
              </w:rPr>
              <w:t>V.   Transtornos mentais e comportamentais</w:t>
            </w:r>
          </w:p>
        </w:tc>
        <w:tc>
          <w:tcPr>
            <w:tcW w:w="2268" w:type="dxa"/>
            <w:noWrap/>
            <w:hideMark/>
          </w:tcPr>
          <w:p w14:paraId="497F05C9"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1.193</w:t>
            </w:r>
          </w:p>
          <w:p w14:paraId="2077AA3E" w14:textId="26192F5B"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21B187B2"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1.184</w:t>
            </w:r>
          </w:p>
          <w:p w14:paraId="29CACD7D" w14:textId="4C2523A4"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50E8975A" w14:textId="1786DB18"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9</w:t>
            </w:r>
          </w:p>
          <w:p w14:paraId="6439FA64" w14:textId="116E5611" w:rsidR="0085395F" w:rsidRPr="004E7180" w:rsidRDefault="0085395F" w:rsidP="0085395F">
            <w:pPr>
              <w:jc w:val="right"/>
              <w:rPr>
                <w:rFonts w:ascii="Calibri" w:hAnsi="Calibri" w:cs="Calibri"/>
                <w:color w:val="000000"/>
              </w:rPr>
            </w:pPr>
            <w:r w:rsidRPr="004E7180">
              <w:rPr>
                <w:rFonts w:ascii="Calibri" w:hAnsi="Calibri" w:cs="Calibri"/>
                <w:color w:val="000000"/>
              </w:rPr>
              <w:t>-0,75%</w:t>
            </w:r>
          </w:p>
        </w:tc>
      </w:tr>
      <w:tr w:rsidR="0085395F" w:rsidRPr="004E7180" w14:paraId="1FDD434F" w14:textId="77777777" w:rsidTr="003F1552">
        <w:trPr>
          <w:trHeight w:val="300"/>
        </w:trPr>
        <w:tc>
          <w:tcPr>
            <w:tcW w:w="2802" w:type="dxa"/>
            <w:noWrap/>
            <w:hideMark/>
          </w:tcPr>
          <w:p w14:paraId="1ECB601A" w14:textId="77777777" w:rsidR="0085395F" w:rsidRPr="004E7180" w:rsidRDefault="0085395F" w:rsidP="0085395F">
            <w:pPr>
              <w:rPr>
                <w:rFonts w:ascii="Calibri" w:hAnsi="Calibri" w:cs="Calibri"/>
                <w:color w:val="000000"/>
              </w:rPr>
            </w:pPr>
            <w:r w:rsidRPr="004E7180">
              <w:rPr>
                <w:rFonts w:ascii="Calibri" w:hAnsi="Calibri" w:cs="Calibri"/>
                <w:color w:val="000000"/>
              </w:rPr>
              <w:t>VI.  Doenças do sistema nervoso</w:t>
            </w:r>
          </w:p>
        </w:tc>
        <w:tc>
          <w:tcPr>
            <w:tcW w:w="2268" w:type="dxa"/>
            <w:noWrap/>
            <w:hideMark/>
          </w:tcPr>
          <w:p w14:paraId="400B069D"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8.900</w:t>
            </w:r>
          </w:p>
          <w:p w14:paraId="7B327D1D" w14:textId="2F3A8316"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2</w:t>
            </w:r>
            <w:r w:rsidR="003E2341" w:rsidRPr="004E7180">
              <w:rPr>
                <w:rFonts w:ascii="Calibri" w:eastAsia="Times New Roman" w:hAnsi="Calibri" w:cs="Calibri"/>
                <w:color w:val="000000"/>
              </w:rPr>
              <w:t>%</w:t>
            </w:r>
          </w:p>
        </w:tc>
        <w:tc>
          <w:tcPr>
            <w:tcW w:w="2693" w:type="dxa"/>
            <w:noWrap/>
            <w:hideMark/>
          </w:tcPr>
          <w:p w14:paraId="4A91A49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8.922</w:t>
            </w:r>
          </w:p>
          <w:p w14:paraId="5AF6C02A" w14:textId="21E43DD7"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w:t>
            </w:r>
            <w:r w:rsidR="003E2341" w:rsidRPr="004E7180">
              <w:rPr>
                <w:rFonts w:ascii="Calibri" w:eastAsia="Times New Roman" w:hAnsi="Calibri" w:cs="Calibri"/>
                <w:color w:val="000000"/>
              </w:rPr>
              <w:t>%</w:t>
            </w:r>
          </w:p>
        </w:tc>
        <w:tc>
          <w:tcPr>
            <w:tcW w:w="1134" w:type="dxa"/>
            <w:noWrap/>
            <w:hideMark/>
          </w:tcPr>
          <w:p w14:paraId="4414607E" w14:textId="0835EB0C" w:rsidR="003E2341" w:rsidRPr="004E7180" w:rsidRDefault="00E20470" w:rsidP="0085395F">
            <w:pPr>
              <w:jc w:val="right"/>
              <w:rPr>
                <w:rFonts w:ascii="Calibri" w:hAnsi="Calibri" w:cs="Calibri"/>
                <w:color w:val="000000"/>
              </w:rPr>
            </w:pPr>
            <w:r w:rsidRPr="004E7180">
              <w:rPr>
                <w:rFonts w:ascii="Calibri" w:hAnsi="Calibri" w:cs="Calibri"/>
                <w:color w:val="000000"/>
              </w:rPr>
              <w:t>22</w:t>
            </w:r>
          </w:p>
          <w:p w14:paraId="4736E433" w14:textId="060334FC" w:rsidR="0085395F" w:rsidRPr="004E7180" w:rsidRDefault="0085395F" w:rsidP="0085395F">
            <w:pPr>
              <w:jc w:val="right"/>
              <w:rPr>
                <w:rFonts w:ascii="Calibri" w:hAnsi="Calibri" w:cs="Calibri"/>
                <w:color w:val="000000"/>
              </w:rPr>
            </w:pPr>
            <w:r w:rsidRPr="004E7180">
              <w:rPr>
                <w:rFonts w:ascii="Calibri" w:hAnsi="Calibri" w:cs="Calibri"/>
                <w:color w:val="000000"/>
              </w:rPr>
              <w:t>0,25%</w:t>
            </w:r>
          </w:p>
        </w:tc>
      </w:tr>
      <w:tr w:rsidR="0085395F" w:rsidRPr="004E7180" w14:paraId="675A95B4" w14:textId="77777777" w:rsidTr="003F1552">
        <w:trPr>
          <w:trHeight w:val="300"/>
        </w:trPr>
        <w:tc>
          <w:tcPr>
            <w:tcW w:w="2802" w:type="dxa"/>
            <w:noWrap/>
            <w:hideMark/>
          </w:tcPr>
          <w:p w14:paraId="066BEBD2" w14:textId="77777777" w:rsidR="0085395F" w:rsidRPr="004E7180" w:rsidRDefault="0085395F" w:rsidP="0085395F">
            <w:pPr>
              <w:rPr>
                <w:rFonts w:ascii="Calibri" w:hAnsi="Calibri" w:cs="Calibri"/>
                <w:color w:val="000000"/>
              </w:rPr>
            </w:pPr>
            <w:r w:rsidRPr="004E7180">
              <w:rPr>
                <w:rFonts w:ascii="Calibri" w:hAnsi="Calibri" w:cs="Calibri"/>
                <w:color w:val="000000"/>
              </w:rPr>
              <w:t>VII. Doenças do olho e anexos</w:t>
            </w:r>
          </w:p>
        </w:tc>
        <w:tc>
          <w:tcPr>
            <w:tcW w:w="2268" w:type="dxa"/>
            <w:noWrap/>
            <w:hideMark/>
          </w:tcPr>
          <w:p w14:paraId="09056B4D"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24</w:t>
            </w:r>
          </w:p>
          <w:p w14:paraId="75427AA7" w14:textId="72C3B257"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6049B5B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17</w:t>
            </w:r>
          </w:p>
          <w:p w14:paraId="12684EAF" w14:textId="225E976F"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3D389A71" w14:textId="0185E1D9"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7</w:t>
            </w:r>
          </w:p>
          <w:p w14:paraId="469F4659" w14:textId="182ACE4A" w:rsidR="0085395F" w:rsidRPr="004E7180" w:rsidRDefault="0085395F" w:rsidP="0085395F">
            <w:pPr>
              <w:jc w:val="right"/>
              <w:rPr>
                <w:rFonts w:ascii="Calibri" w:hAnsi="Calibri" w:cs="Calibri"/>
                <w:color w:val="000000"/>
              </w:rPr>
            </w:pPr>
            <w:r w:rsidRPr="004E7180">
              <w:rPr>
                <w:rFonts w:ascii="Calibri" w:hAnsi="Calibri" w:cs="Calibri"/>
                <w:color w:val="000000"/>
              </w:rPr>
              <w:t>-29,17%</w:t>
            </w:r>
          </w:p>
        </w:tc>
      </w:tr>
      <w:tr w:rsidR="0085395F" w:rsidRPr="004E7180" w14:paraId="512D2B4F" w14:textId="77777777" w:rsidTr="003F1552">
        <w:trPr>
          <w:trHeight w:val="300"/>
        </w:trPr>
        <w:tc>
          <w:tcPr>
            <w:tcW w:w="2802" w:type="dxa"/>
            <w:noWrap/>
            <w:hideMark/>
          </w:tcPr>
          <w:p w14:paraId="192DFE46" w14:textId="77777777" w:rsidR="0085395F" w:rsidRPr="004E7180" w:rsidRDefault="0085395F" w:rsidP="0085395F">
            <w:pPr>
              <w:rPr>
                <w:rFonts w:ascii="Calibri" w:hAnsi="Calibri" w:cs="Calibri"/>
                <w:color w:val="000000"/>
              </w:rPr>
            </w:pPr>
            <w:proofErr w:type="spellStart"/>
            <w:r w:rsidRPr="004E7180">
              <w:rPr>
                <w:rFonts w:ascii="Calibri" w:hAnsi="Calibri" w:cs="Calibri"/>
                <w:color w:val="000000"/>
              </w:rPr>
              <w:t>VIII.Doenças</w:t>
            </w:r>
            <w:proofErr w:type="spellEnd"/>
            <w:r w:rsidRPr="004E7180">
              <w:rPr>
                <w:rFonts w:ascii="Calibri" w:hAnsi="Calibri" w:cs="Calibri"/>
                <w:color w:val="000000"/>
              </w:rPr>
              <w:t xml:space="preserve"> do ouvido e da apófise </w:t>
            </w:r>
            <w:proofErr w:type="spellStart"/>
            <w:r w:rsidRPr="004E7180">
              <w:rPr>
                <w:rFonts w:ascii="Calibri" w:hAnsi="Calibri" w:cs="Calibri"/>
                <w:color w:val="000000"/>
              </w:rPr>
              <w:t>mastóide</w:t>
            </w:r>
            <w:proofErr w:type="spellEnd"/>
          </w:p>
        </w:tc>
        <w:tc>
          <w:tcPr>
            <w:tcW w:w="2268" w:type="dxa"/>
            <w:noWrap/>
            <w:hideMark/>
          </w:tcPr>
          <w:p w14:paraId="01BA59E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38</w:t>
            </w:r>
          </w:p>
          <w:p w14:paraId="14807BC7" w14:textId="589D9B2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31F1C7A8"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26</w:t>
            </w:r>
          </w:p>
          <w:p w14:paraId="20194B8D" w14:textId="07FA24B3"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1E97B3C0" w14:textId="65BC3D3B"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12</w:t>
            </w:r>
          </w:p>
          <w:p w14:paraId="057413ED" w14:textId="3F89A550" w:rsidR="0085395F" w:rsidRPr="004E7180" w:rsidRDefault="0085395F" w:rsidP="0085395F">
            <w:pPr>
              <w:jc w:val="right"/>
              <w:rPr>
                <w:rFonts w:ascii="Calibri" w:hAnsi="Calibri" w:cs="Calibri"/>
                <w:color w:val="000000"/>
              </w:rPr>
            </w:pPr>
            <w:r w:rsidRPr="004E7180">
              <w:rPr>
                <w:rFonts w:ascii="Calibri" w:hAnsi="Calibri" w:cs="Calibri"/>
                <w:color w:val="000000"/>
              </w:rPr>
              <w:t>-31,58%</w:t>
            </w:r>
          </w:p>
        </w:tc>
      </w:tr>
      <w:tr w:rsidR="0085395F" w:rsidRPr="004E7180" w14:paraId="5567A543" w14:textId="77777777" w:rsidTr="003F1552">
        <w:trPr>
          <w:trHeight w:val="300"/>
        </w:trPr>
        <w:tc>
          <w:tcPr>
            <w:tcW w:w="2802" w:type="dxa"/>
            <w:noWrap/>
            <w:hideMark/>
          </w:tcPr>
          <w:p w14:paraId="4CE36917" w14:textId="77777777" w:rsidR="0085395F" w:rsidRPr="004E7180" w:rsidRDefault="0085395F" w:rsidP="0085395F">
            <w:pPr>
              <w:rPr>
                <w:rFonts w:ascii="Calibri" w:hAnsi="Calibri" w:cs="Calibri"/>
                <w:color w:val="000000"/>
              </w:rPr>
            </w:pPr>
            <w:r w:rsidRPr="004E7180">
              <w:rPr>
                <w:rFonts w:ascii="Calibri" w:hAnsi="Calibri" w:cs="Calibri"/>
                <w:color w:val="000000"/>
              </w:rPr>
              <w:t>IX.  Doenças do aparelho circulatório</w:t>
            </w:r>
          </w:p>
        </w:tc>
        <w:tc>
          <w:tcPr>
            <w:tcW w:w="2268" w:type="dxa"/>
            <w:noWrap/>
            <w:hideMark/>
          </w:tcPr>
          <w:p w14:paraId="330DEF78"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98.972</w:t>
            </w:r>
          </w:p>
          <w:p w14:paraId="4B4366B4" w14:textId="515F371D"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19</w:t>
            </w:r>
            <w:r w:rsidR="003E2341" w:rsidRPr="004E7180">
              <w:rPr>
                <w:rFonts w:ascii="Calibri" w:eastAsia="Times New Roman" w:hAnsi="Calibri" w:cs="Calibri"/>
                <w:color w:val="000000"/>
              </w:rPr>
              <w:t>%</w:t>
            </w:r>
          </w:p>
        </w:tc>
        <w:tc>
          <w:tcPr>
            <w:tcW w:w="2693" w:type="dxa"/>
            <w:noWrap/>
            <w:hideMark/>
          </w:tcPr>
          <w:p w14:paraId="193B5C08"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99.552</w:t>
            </w:r>
          </w:p>
          <w:p w14:paraId="73C7EEF0" w14:textId="3B56B212"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15</w:t>
            </w:r>
            <w:r w:rsidR="003E2341" w:rsidRPr="004E7180">
              <w:rPr>
                <w:rFonts w:ascii="Calibri" w:eastAsia="Times New Roman" w:hAnsi="Calibri" w:cs="Calibri"/>
                <w:color w:val="000000"/>
              </w:rPr>
              <w:t>%</w:t>
            </w:r>
          </w:p>
        </w:tc>
        <w:tc>
          <w:tcPr>
            <w:tcW w:w="1134" w:type="dxa"/>
            <w:noWrap/>
            <w:hideMark/>
          </w:tcPr>
          <w:p w14:paraId="1ADBED17" w14:textId="01F316BF" w:rsidR="003E2341" w:rsidRPr="004E7180" w:rsidRDefault="00E20470" w:rsidP="0085395F">
            <w:pPr>
              <w:jc w:val="right"/>
              <w:rPr>
                <w:rFonts w:ascii="Calibri" w:hAnsi="Calibri" w:cs="Calibri"/>
                <w:color w:val="000000"/>
              </w:rPr>
            </w:pPr>
            <w:r w:rsidRPr="004E7180">
              <w:rPr>
                <w:rFonts w:ascii="Calibri" w:hAnsi="Calibri" w:cs="Calibri"/>
                <w:color w:val="000000"/>
              </w:rPr>
              <w:t>580</w:t>
            </w:r>
          </w:p>
          <w:p w14:paraId="58266E70" w14:textId="461B280A" w:rsidR="0085395F" w:rsidRPr="004E7180" w:rsidRDefault="0085395F" w:rsidP="0085395F">
            <w:pPr>
              <w:jc w:val="right"/>
              <w:rPr>
                <w:rFonts w:ascii="Calibri" w:hAnsi="Calibri" w:cs="Calibri"/>
                <w:color w:val="000000"/>
              </w:rPr>
            </w:pPr>
            <w:r w:rsidRPr="004E7180">
              <w:rPr>
                <w:rFonts w:ascii="Calibri" w:hAnsi="Calibri" w:cs="Calibri"/>
                <w:color w:val="000000"/>
              </w:rPr>
              <w:t>0,59%</w:t>
            </w:r>
          </w:p>
        </w:tc>
      </w:tr>
      <w:tr w:rsidR="0085395F" w:rsidRPr="004E7180" w14:paraId="08F1BC15" w14:textId="77777777" w:rsidTr="003F1552">
        <w:trPr>
          <w:trHeight w:val="300"/>
        </w:trPr>
        <w:tc>
          <w:tcPr>
            <w:tcW w:w="2802" w:type="dxa"/>
            <w:noWrap/>
            <w:hideMark/>
          </w:tcPr>
          <w:p w14:paraId="043BEEBC" w14:textId="77777777" w:rsidR="0085395F" w:rsidRPr="004E7180" w:rsidRDefault="0085395F" w:rsidP="0085395F">
            <w:pPr>
              <w:rPr>
                <w:rFonts w:ascii="Calibri" w:hAnsi="Calibri" w:cs="Calibri"/>
                <w:color w:val="000000"/>
              </w:rPr>
            </w:pPr>
            <w:r w:rsidRPr="004E7180">
              <w:rPr>
                <w:rFonts w:ascii="Calibri" w:hAnsi="Calibri" w:cs="Calibri"/>
                <w:color w:val="000000"/>
              </w:rPr>
              <w:t>X.   Doenças do aparelho respiratório</w:t>
            </w:r>
          </w:p>
        </w:tc>
        <w:tc>
          <w:tcPr>
            <w:tcW w:w="2268" w:type="dxa"/>
            <w:noWrap/>
            <w:hideMark/>
          </w:tcPr>
          <w:p w14:paraId="116ADD01"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98.727</w:t>
            </w:r>
          </w:p>
          <w:p w14:paraId="0A424B49" w14:textId="37B03BB3"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19</w:t>
            </w:r>
            <w:r w:rsidR="003E2341" w:rsidRPr="004E7180">
              <w:rPr>
                <w:rFonts w:ascii="Calibri" w:eastAsia="Times New Roman" w:hAnsi="Calibri" w:cs="Calibri"/>
                <w:color w:val="000000"/>
              </w:rPr>
              <w:t>%</w:t>
            </w:r>
          </w:p>
        </w:tc>
        <w:tc>
          <w:tcPr>
            <w:tcW w:w="2693" w:type="dxa"/>
            <w:noWrap/>
            <w:hideMark/>
          </w:tcPr>
          <w:p w14:paraId="4C918EAE"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98.961</w:t>
            </w:r>
          </w:p>
          <w:p w14:paraId="2C4EF0B5" w14:textId="6261EA3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14</w:t>
            </w:r>
            <w:r w:rsidR="003E2341" w:rsidRPr="004E7180">
              <w:rPr>
                <w:rFonts w:ascii="Calibri" w:eastAsia="Times New Roman" w:hAnsi="Calibri" w:cs="Calibri"/>
                <w:color w:val="000000"/>
              </w:rPr>
              <w:t>%</w:t>
            </w:r>
          </w:p>
        </w:tc>
        <w:tc>
          <w:tcPr>
            <w:tcW w:w="1134" w:type="dxa"/>
            <w:noWrap/>
            <w:hideMark/>
          </w:tcPr>
          <w:p w14:paraId="1CD806EF" w14:textId="24E1B540" w:rsidR="003E2341" w:rsidRPr="004E7180" w:rsidRDefault="00E20470" w:rsidP="0085395F">
            <w:pPr>
              <w:jc w:val="right"/>
              <w:rPr>
                <w:rFonts w:ascii="Calibri" w:hAnsi="Calibri" w:cs="Calibri"/>
                <w:color w:val="000000"/>
              </w:rPr>
            </w:pPr>
            <w:r w:rsidRPr="004E7180">
              <w:rPr>
                <w:rFonts w:ascii="Calibri" w:hAnsi="Calibri" w:cs="Calibri"/>
                <w:color w:val="000000"/>
              </w:rPr>
              <w:t>234</w:t>
            </w:r>
          </w:p>
          <w:p w14:paraId="6B752AA4" w14:textId="02233C96" w:rsidR="0085395F" w:rsidRPr="004E7180" w:rsidRDefault="0085395F" w:rsidP="0085395F">
            <w:pPr>
              <w:jc w:val="right"/>
              <w:rPr>
                <w:rFonts w:ascii="Calibri" w:hAnsi="Calibri" w:cs="Calibri"/>
                <w:color w:val="000000"/>
              </w:rPr>
            </w:pPr>
            <w:r w:rsidRPr="004E7180">
              <w:rPr>
                <w:rFonts w:ascii="Calibri" w:hAnsi="Calibri" w:cs="Calibri"/>
                <w:color w:val="000000"/>
              </w:rPr>
              <w:t>0,24%</w:t>
            </w:r>
          </w:p>
        </w:tc>
      </w:tr>
      <w:tr w:rsidR="0085395F" w:rsidRPr="004E7180" w14:paraId="532A1A40" w14:textId="77777777" w:rsidTr="003F1552">
        <w:trPr>
          <w:trHeight w:val="300"/>
        </w:trPr>
        <w:tc>
          <w:tcPr>
            <w:tcW w:w="2802" w:type="dxa"/>
            <w:noWrap/>
            <w:hideMark/>
          </w:tcPr>
          <w:p w14:paraId="3CC937B0" w14:textId="77777777" w:rsidR="0085395F" w:rsidRPr="004E7180" w:rsidRDefault="0085395F" w:rsidP="0085395F">
            <w:pPr>
              <w:rPr>
                <w:rFonts w:ascii="Calibri" w:hAnsi="Calibri" w:cs="Calibri"/>
                <w:color w:val="000000"/>
              </w:rPr>
            </w:pPr>
            <w:r w:rsidRPr="004E7180">
              <w:rPr>
                <w:rFonts w:ascii="Calibri" w:hAnsi="Calibri" w:cs="Calibri"/>
                <w:color w:val="000000"/>
              </w:rPr>
              <w:t>XI.  Doenças do aparelho digestivo</w:t>
            </w:r>
          </w:p>
        </w:tc>
        <w:tc>
          <w:tcPr>
            <w:tcW w:w="2268" w:type="dxa"/>
            <w:noWrap/>
            <w:hideMark/>
          </w:tcPr>
          <w:p w14:paraId="3516F75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38.663</w:t>
            </w:r>
          </w:p>
          <w:p w14:paraId="0E6A2E69" w14:textId="7EEF222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7</w:t>
            </w:r>
            <w:r w:rsidR="003E2341" w:rsidRPr="004E7180">
              <w:rPr>
                <w:rFonts w:ascii="Calibri" w:eastAsia="Times New Roman" w:hAnsi="Calibri" w:cs="Calibri"/>
                <w:color w:val="000000"/>
              </w:rPr>
              <w:t>%</w:t>
            </w:r>
          </w:p>
        </w:tc>
        <w:tc>
          <w:tcPr>
            <w:tcW w:w="2693" w:type="dxa"/>
            <w:noWrap/>
            <w:hideMark/>
          </w:tcPr>
          <w:p w14:paraId="6D0FE4A9"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38.845</w:t>
            </w:r>
          </w:p>
          <w:p w14:paraId="1A8332F6" w14:textId="58693F9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6</w:t>
            </w:r>
            <w:r w:rsidR="003E2341" w:rsidRPr="004E7180">
              <w:rPr>
                <w:rFonts w:ascii="Calibri" w:eastAsia="Times New Roman" w:hAnsi="Calibri" w:cs="Calibri"/>
                <w:color w:val="000000"/>
              </w:rPr>
              <w:t>%</w:t>
            </w:r>
          </w:p>
        </w:tc>
        <w:tc>
          <w:tcPr>
            <w:tcW w:w="1134" w:type="dxa"/>
            <w:noWrap/>
            <w:hideMark/>
          </w:tcPr>
          <w:p w14:paraId="4CACD3B5" w14:textId="6277B182" w:rsidR="003E2341" w:rsidRPr="004E7180" w:rsidRDefault="00E20470" w:rsidP="0085395F">
            <w:pPr>
              <w:jc w:val="right"/>
              <w:rPr>
                <w:rFonts w:ascii="Calibri" w:hAnsi="Calibri" w:cs="Calibri"/>
                <w:color w:val="000000"/>
              </w:rPr>
            </w:pPr>
            <w:r w:rsidRPr="004E7180">
              <w:rPr>
                <w:rFonts w:ascii="Calibri" w:hAnsi="Calibri" w:cs="Calibri"/>
                <w:color w:val="000000"/>
              </w:rPr>
              <w:t>182</w:t>
            </w:r>
          </w:p>
          <w:p w14:paraId="3646BF6A" w14:textId="1E054ECD" w:rsidR="0085395F" w:rsidRPr="004E7180" w:rsidRDefault="0085395F" w:rsidP="0085395F">
            <w:pPr>
              <w:jc w:val="right"/>
              <w:rPr>
                <w:rFonts w:ascii="Calibri" w:hAnsi="Calibri" w:cs="Calibri"/>
                <w:color w:val="000000"/>
              </w:rPr>
            </w:pPr>
            <w:r w:rsidRPr="004E7180">
              <w:rPr>
                <w:rFonts w:ascii="Calibri" w:hAnsi="Calibri" w:cs="Calibri"/>
                <w:color w:val="000000"/>
              </w:rPr>
              <w:t>0,47%</w:t>
            </w:r>
          </w:p>
        </w:tc>
      </w:tr>
      <w:tr w:rsidR="0085395F" w:rsidRPr="004E7180" w14:paraId="76B490C2" w14:textId="77777777" w:rsidTr="003F1552">
        <w:trPr>
          <w:trHeight w:val="300"/>
        </w:trPr>
        <w:tc>
          <w:tcPr>
            <w:tcW w:w="2802" w:type="dxa"/>
            <w:noWrap/>
            <w:hideMark/>
          </w:tcPr>
          <w:p w14:paraId="113DF3CD" w14:textId="77777777" w:rsidR="0085395F" w:rsidRPr="004E7180" w:rsidRDefault="0085395F" w:rsidP="0085395F">
            <w:pPr>
              <w:rPr>
                <w:rFonts w:ascii="Calibri" w:hAnsi="Calibri" w:cs="Calibri"/>
                <w:color w:val="000000"/>
              </w:rPr>
            </w:pPr>
            <w:r w:rsidRPr="004E7180">
              <w:rPr>
                <w:rFonts w:ascii="Calibri" w:hAnsi="Calibri" w:cs="Calibri"/>
                <w:color w:val="000000"/>
              </w:rPr>
              <w:t xml:space="preserve">XII. Doenças da pele e do </w:t>
            </w:r>
            <w:r w:rsidRPr="004E7180">
              <w:rPr>
                <w:rFonts w:ascii="Calibri" w:hAnsi="Calibri" w:cs="Calibri"/>
                <w:color w:val="000000"/>
              </w:rPr>
              <w:lastRenderedPageBreak/>
              <w:t>tecido subcutâneo</w:t>
            </w:r>
          </w:p>
        </w:tc>
        <w:tc>
          <w:tcPr>
            <w:tcW w:w="2268" w:type="dxa"/>
            <w:noWrap/>
            <w:hideMark/>
          </w:tcPr>
          <w:p w14:paraId="2155066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lastRenderedPageBreak/>
              <w:t>4.222</w:t>
            </w:r>
          </w:p>
          <w:p w14:paraId="10BEBE31" w14:textId="36FE5A75"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lastRenderedPageBreak/>
              <w:t>1</w:t>
            </w:r>
            <w:r w:rsidR="003E2341" w:rsidRPr="004E7180">
              <w:rPr>
                <w:rFonts w:ascii="Calibri" w:eastAsia="Times New Roman" w:hAnsi="Calibri" w:cs="Calibri"/>
                <w:color w:val="000000"/>
              </w:rPr>
              <w:t>%</w:t>
            </w:r>
          </w:p>
        </w:tc>
        <w:tc>
          <w:tcPr>
            <w:tcW w:w="2693" w:type="dxa"/>
            <w:noWrap/>
            <w:hideMark/>
          </w:tcPr>
          <w:p w14:paraId="1F2643C2"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lastRenderedPageBreak/>
              <w:t>4.248</w:t>
            </w:r>
          </w:p>
          <w:p w14:paraId="0093128E" w14:textId="09D556A2"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lastRenderedPageBreak/>
              <w:t>1</w:t>
            </w:r>
            <w:r w:rsidR="003E2341" w:rsidRPr="004E7180">
              <w:rPr>
                <w:rFonts w:ascii="Calibri" w:eastAsia="Times New Roman" w:hAnsi="Calibri" w:cs="Calibri"/>
                <w:color w:val="000000"/>
              </w:rPr>
              <w:t>%</w:t>
            </w:r>
          </w:p>
        </w:tc>
        <w:tc>
          <w:tcPr>
            <w:tcW w:w="1134" w:type="dxa"/>
            <w:noWrap/>
            <w:hideMark/>
          </w:tcPr>
          <w:p w14:paraId="448FE7CC" w14:textId="36868A62" w:rsidR="003E2341" w:rsidRPr="004E7180" w:rsidRDefault="00E20470" w:rsidP="0085395F">
            <w:pPr>
              <w:jc w:val="right"/>
              <w:rPr>
                <w:rFonts w:ascii="Calibri" w:hAnsi="Calibri" w:cs="Calibri"/>
                <w:color w:val="000000"/>
              </w:rPr>
            </w:pPr>
            <w:r w:rsidRPr="004E7180">
              <w:rPr>
                <w:rFonts w:ascii="Calibri" w:hAnsi="Calibri" w:cs="Calibri"/>
                <w:color w:val="000000"/>
              </w:rPr>
              <w:lastRenderedPageBreak/>
              <w:t>26</w:t>
            </w:r>
          </w:p>
          <w:p w14:paraId="253B8045" w14:textId="5E2ECD89" w:rsidR="0085395F" w:rsidRPr="004E7180" w:rsidRDefault="0085395F" w:rsidP="0085395F">
            <w:pPr>
              <w:jc w:val="right"/>
              <w:rPr>
                <w:rFonts w:ascii="Calibri" w:hAnsi="Calibri" w:cs="Calibri"/>
                <w:color w:val="000000"/>
              </w:rPr>
            </w:pPr>
            <w:r w:rsidRPr="004E7180">
              <w:rPr>
                <w:rFonts w:ascii="Calibri" w:hAnsi="Calibri" w:cs="Calibri"/>
                <w:color w:val="000000"/>
              </w:rPr>
              <w:lastRenderedPageBreak/>
              <w:t>0,62%</w:t>
            </w:r>
          </w:p>
        </w:tc>
      </w:tr>
      <w:tr w:rsidR="0085395F" w:rsidRPr="004E7180" w14:paraId="0543985F" w14:textId="77777777" w:rsidTr="003F1552">
        <w:trPr>
          <w:trHeight w:val="300"/>
        </w:trPr>
        <w:tc>
          <w:tcPr>
            <w:tcW w:w="2802" w:type="dxa"/>
            <w:noWrap/>
            <w:hideMark/>
          </w:tcPr>
          <w:p w14:paraId="082268F0" w14:textId="77777777" w:rsidR="0085395F" w:rsidRPr="004E7180" w:rsidRDefault="0085395F" w:rsidP="0085395F">
            <w:pPr>
              <w:rPr>
                <w:rFonts w:ascii="Calibri" w:hAnsi="Calibri" w:cs="Calibri"/>
                <w:color w:val="000000"/>
              </w:rPr>
            </w:pPr>
            <w:proofErr w:type="spellStart"/>
            <w:r w:rsidRPr="004E7180">
              <w:rPr>
                <w:rFonts w:ascii="Calibri" w:hAnsi="Calibri" w:cs="Calibri"/>
                <w:color w:val="000000"/>
              </w:rPr>
              <w:lastRenderedPageBreak/>
              <w:t>XIII.Doenças</w:t>
            </w:r>
            <w:proofErr w:type="spellEnd"/>
            <w:r w:rsidRPr="004E7180">
              <w:rPr>
                <w:rFonts w:ascii="Calibri" w:hAnsi="Calibri" w:cs="Calibri"/>
                <w:color w:val="000000"/>
              </w:rPr>
              <w:t xml:space="preserve"> </w:t>
            </w:r>
            <w:proofErr w:type="spellStart"/>
            <w:r w:rsidRPr="004E7180">
              <w:rPr>
                <w:rFonts w:ascii="Calibri" w:hAnsi="Calibri" w:cs="Calibri"/>
                <w:color w:val="000000"/>
              </w:rPr>
              <w:t>sist</w:t>
            </w:r>
            <w:proofErr w:type="spellEnd"/>
            <w:r w:rsidRPr="004E7180">
              <w:rPr>
                <w:rFonts w:ascii="Calibri" w:hAnsi="Calibri" w:cs="Calibri"/>
                <w:color w:val="000000"/>
              </w:rPr>
              <w:t xml:space="preserve"> osteomuscular e tec conjuntivo</w:t>
            </w:r>
          </w:p>
        </w:tc>
        <w:tc>
          <w:tcPr>
            <w:tcW w:w="2268" w:type="dxa"/>
            <w:noWrap/>
            <w:hideMark/>
          </w:tcPr>
          <w:p w14:paraId="628EC047"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1.315</w:t>
            </w:r>
          </w:p>
          <w:p w14:paraId="2B208433" w14:textId="56E11325"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4ACE9D0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1.296</w:t>
            </w:r>
          </w:p>
          <w:p w14:paraId="197C572C" w14:textId="10E3AFA0"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55F92A1D" w14:textId="764AAEE0" w:rsidR="003E2341" w:rsidRPr="004E7180" w:rsidRDefault="00E20470" w:rsidP="0085395F">
            <w:pPr>
              <w:jc w:val="right"/>
              <w:rPr>
                <w:rFonts w:ascii="Calibri" w:hAnsi="Calibri" w:cs="Calibri"/>
                <w:color w:val="000000"/>
              </w:rPr>
            </w:pPr>
            <w:r w:rsidRPr="004E7180">
              <w:rPr>
                <w:rFonts w:ascii="Calibri" w:hAnsi="Calibri" w:cs="Calibri"/>
                <w:color w:val="000000"/>
              </w:rPr>
              <w:t>-19</w:t>
            </w:r>
          </w:p>
          <w:p w14:paraId="5228E0C4" w14:textId="5FBC4D95" w:rsidR="0085395F" w:rsidRPr="004E7180" w:rsidRDefault="0085395F" w:rsidP="0085395F">
            <w:pPr>
              <w:jc w:val="right"/>
              <w:rPr>
                <w:rFonts w:ascii="Calibri" w:hAnsi="Calibri" w:cs="Calibri"/>
                <w:color w:val="000000"/>
              </w:rPr>
            </w:pPr>
            <w:r w:rsidRPr="004E7180">
              <w:rPr>
                <w:rFonts w:ascii="Calibri" w:hAnsi="Calibri" w:cs="Calibri"/>
                <w:color w:val="000000"/>
              </w:rPr>
              <w:t>-1,44%</w:t>
            </w:r>
          </w:p>
        </w:tc>
      </w:tr>
      <w:tr w:rsidR="0085395F" w:rsidRPr="004E7180" w14:paraId="26365E08" w14:textId="77777777" w:rsidTr="003F1552">
        <w:trPr>
          <w:trHeight w:val="300"/>
        </w:trPr>
        <w:tc>
          <w:tcPr>
            <w:tcW w:w="2802" w:type="dxa"/>
            <w:noWrap/>
            <w:hideMark/>
          </w:tcPr>
          <w:p w14:paraId="0D392DD6" w14:textId="77777777" w:rsidR="0085395F" w:rsidRPr="004E7180" w:rsidRDefault="0085395F" w:rsidP="0085395F">
            <w:pPr>
              <w:rPr>
                <w:rFonts w:ascii="Calibri" w:hAnsi="Calibri" w:cs="Calibri"/>
                <w:color w:val="000000"/>
              </w:rPr>
            </w:pPr>
            <w:r w:rsidRPr="004E7180">
              <w:rPr>
                <w:rFonts w:ascii="Calibri" w:hAnsi="Calibri" w:cs="Calibri"/>
                <w:color w:val="000000"/>
              </w:rPr>
              <w:t>XIV. Doenças do aparelho geniturinário</w:t>
            </w:r>
          </w:p>
        </w:tc>
        <w:tc>
          <w:tcPr>
            <w:tcW w:w="2268" w:type="dxa"/>
            <w:noWrap/>
            <w:hideMark/>
          </w:tcPr>
          <w:p w14:paraId="11DBD76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26.298</w:t>
            </w:r>
          </w:p>
          <w:p w14:paraId="65A01C7E" w14:textId="13A847B6"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5</w:t>
            </w:r>
            <w:r w:rsidR="003E2341" w:rsidRPr="004E7180">
              <w:rPr>
                <w:rFonts w:ascii="Calibri" w:eastAsia="Times New Roman" w:hAnsi="Calibri" w:cs="Calibri"/>
                <w:color w:val="000000"/>
              </w:rPr>
              <w:t>%</w:t>
            </w:r>
          </w:p>
        </w:tc>
        <w:tc>
          <w:tcPr>
            <w:tcW w:w="2693" w:type="dxa"/>
            <w:noWrap/>
            <w:hideMark/>
          </w:tcPr>
          <w:p w14:paraId="42FA22BE"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25.278</w:t>
            </w:r>
          </w:p>
          <w:p w14:paraId="4A71FEFD" w14:textId="54F6889C"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4</w:t>
            </w:r>
            <w:r w:rsidR="003E2341" w:rsidRPr="004E7180">
              <w:rPr>
                <w:rFonts w:ascii="Calibri" w:eastAsia="Times New Roman" w:hAnsi="Calibri" w:cs="Calibri"/>
                <w:color w:val="000000"/>
              </w:rPr>
              <w:t>%</w:t>
            </w:r>
          </w:p>
        </w:tc>
        <w:tc>
          <w:tcPr>
            <w:tcW w:w="1134" w:type="dxa"/>
            <w:noWrap/>
            <w:hideMark/>
          </w:tcPr>
          <w:p w14:paraId="4F5F8A1B" w14:textId="5633E7A7" w:rsidR="003E2341" w:rsidRPr="004E7180" w:rsidRDefault="00E20470" w:rsidP="0085395F">
            <w:pPr>
              <w:jc w:val="right"/>
              <w:rPr>
                <w:rFonts w:ascii="Calibri" w:hAnsi="Calibri" w:cs="Calibri"/>
                <w:color w:val="000000"/>
              </w:rPr>
            </w:pPr>
            <w:r w:rsidRPr="004E7180">
              <w:rPr>
                <w:rFonts w:ascii="Calibri" w:hAnsi="Calibri" w:cs="Calibri"/>
                <w:color w:val="000000"/>
              </w:rPr>
              <w:t>-1020</w:t>
            </w:r>
          </w:p>
          <w:p w14:paraId="12501B5C" w14:textId="741FC159" w:rsidR="0085395F" w:rsidRPr="004E7180" w:rsidRDefault="0085395F" w:rsidP="0085395F">
            <w:pPr>
              <w:jc w:val="right"/>
              <w:rPr>
                <w:rFonts w:ascii="Calibri" w:hAnsi="Calibri" w:cs="Calibri"/>
                <w:color w:val="000000"/>
              </w:rPr>
            </w:pPr>
            <w:r w:rsidRPr="004E7180">
              <w:rPr>
                <w:rFonts w:ascii="Calibri" w:hAnsi="Calibri" w:cs="Calibri"/>
                <w:color w:val="000000"/>
              </w:rPr>
              <w:t>-3,88%</w:t>
            </w:r>
          </w:p>
        </w:tc>
      </w:tr>
      <w:tr w:rsidR="0085395F" w:rsidRPr="004E7180" w14:paraId="0A5C605F" w14:textId="77777777" w:rsidTr="003F1552">
        <w:trPr>
          <w:trHeight w:val="300"/>
        </w:trPr>
        <w:tc>
          <w:tcPr>
            <w:tcW w:w="2802" w:type="dxa"/>
            <w:noWrap/>
            <w:hideMark/>
          </w:tcPr>
          <w:p w14:paraId="0EC228EF" w14:textId="77777777" w:rsidR="0085395F" w:rsidRPr="004E7180" w:rsidRDefault="0085395F" w:rsidP="0085395F">
            <w:pPr>
              <w:rPr>
                <w:rFonts w:ascii="Calibri" w:hAnsi="Calibri" w:cs="Calibri"/>
                <w:color w:val="000000"/>
              </w:rPr>
            </w:pPr>
            <w:r w:rsidRPr="004E7180">
              <w:rPr>
                <w:rFonts w:ascii="Calibri" w:hAnsi="Calibri" w:cs="Calibri"/>
                <w:color w:val="000000"/>
              </w:rPr>
              <w:t>XV.  Gravidez parto e puerpério</w:t>
            </w:r>
          </w:p>
        </w:tc>
        <w:tc>
          <w:tcPr>
            <w:tcW w:w="2268" w:type="dxa"/>
            <w:noWrap/>
            <w:hideMark/>
          </w:tcPr>
          <w:p w14:paraId="00F710B8"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829</w:t>
            </w:r>
          </w:p>
          <w:p w14:paraId="49A90C00" w14:textId="39D3DFB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26475ABB"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1.012</w:t>
            </w:r>
          </w:p>
          <w:p w14:paraId="753E3829" w14:textId="25309CA7"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41E48BB8" w14:textId="2D29C565" w:rsidR="003E2341" w:rsidRPr="004E7180" w:rsidRDefault="00E20470" w:rsidP="0085395F">
            <w:pPr>
              <w:jc w:val="right"/>
              <w:rPr>
                <w:rFonts w:ascii="Calibri" w:hAnsi="Calibri" w:cs="Calibri"/>
                <w:color w:val="000000"/>
              </w:rPr>
            </w:pPr>
            <w:r w:rsidRPr="004E7180">
              <w:rPr>
                <w:rFonts w:ascii="Calibri" w:hAnsi="Calibri" w:cs="Calibri"/>
                <w:color w:val="000000"/>
              </w:rPr>
              <w:t>183</w:t>
            </w:r>
          </w:p>
          <w:p w14:paraId="6EFD66C4" w14:textId="1F41FF1C" w:rsidR="0085395F" w:rsidRPr="004E7180" w:rsidRDefault="0085395F" w:rsidP="0085395F">
            <w:pPr>
              <w:jc w:val="right"/>
              <w:rPr>
                <w:rFonts w:ascii="Calibri" w:hAnsi="Calibri" w:cs="Calibri"/>
                <w:color w:val="000000"/>
              </w:rPr>
            </w:pPr>
            <w:r w:rsidRPr="004E7180">
              <w:rPr>
                <w:rFonts w:ascii="Calibri" w:hAnsi="Calibri" w:cs="Calibri"/>
                <w:color w:val="000000"/>
              </w:rPr>
              <w:t>22,07%</w:t>
            </w:r>
          </w:p>
        </w:tc>
      </w:tr>
      <w:tr w:rsidR="0085395F" w:rsidRPr="004E7180" w14:paraId="6B14FC15" w14:textId="77777777" w:rsidTr="003F1552">
        <w:trPr>
          <w:trHeight w:val="300"/>
        </w:trPr>
        <w:tc>
          <w:tcPr>
            <w:tcW w:w="2802" w:type="dxa"/>
            <w:noWrap/>
            <w:hideMark/>
          </w:tcPr>
          <w:p w14:paraId="14E9D709" w14:textId="77777777" w:rsidR="0085395F" w:rsidRPr="004E7180" w:rsidRDefault="0085395F" w:rsidP="0085395F">
            <w:pPr>
              <w:rPr>
                <w:rFonts w:ascii="Calibri" w:hAnsi="Calibri" w:cs="Calibri"/>
                <w:color w:val="000000"/>
              </w:rPr>
            </w:pPr>
            <w:r w:rsidRPr="004E7180">
              <w:rPr>
                <w:rFonts w:ascii="Calibri" w:hAnsi="Calibri" w:cs="Calibri"/>
                <w:color w:val="000000"/>
              </w:rPr>
              <w:t xml:space="preserve">XVI. Algumas </w:t>
            </w:r>
            <w:proofErr w:type="spellStart"/>
            <w:r w:rsidRPr="004E7180">
              <w:rPr>
                <w:rFonts w:ascii="Calibri" w:hAnsi="Calibri" w:cs="Calibri"/>
                <w:color w:val="000000"/>
              </w:rPr>
              <w:t>afec</w:t>
            </w:r>
            <w:proofErr w:type="spellEnd"/>
            <w:r w:rsidRPr="004E7180">
              <w:rPr>
                <w:rFonts w:ascii="Calibri" w:hAnsi="Calibri" w:cs="Calibri"/>
                <w:color w:val="000000"/>
              </w:rPr>
              <w:t xml:space="preserve"> originadas no período perinatal</w:t>
            </w:r>
          </w:p>
        </w:tc>
        <w:tc>
          <w:tcPr>
            <w:tcW w:w="2268" w:type="dxa"/>
            <w:noWrap/>
            <w:hideMark/>
          </w:tcPr>
          <w:p w14:paraId="13A4E9F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11.207</w:t>
            </w:r>
          </w:p>
          <w:p w14:paraId="69EB226C" w14:textId="103A5E14"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2</w:t>
            </w:r>
            <w:r w:rsidR="003E2341" w:rsidRPr="004E7180">
              <w:rPr>
                <w:rFonts w:ascii="Calibri" w:eastAsia="Times New Roman" w:hAnsi="Calibri" w:cs="Calibri"/>
                <w:color w:val="000000"/>
              </w:rPr>
              <w:t>%</w:t>
            </w:r>
          </w:p>
        </w:tc>
        <w:tc>
          <w:tcPr>
            <w:tcW w:w="2693" w:type="dxa"/>
            <w:noWrap/>
            <w:hideMark/>
          </w:tcPr>
          <w:p w14:paraId="2E09E9A2"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11.451</w:t>
            </w:r>
          </w:p>
          <w:p w14:paraId="7C94853D" w14:textId="108DA647"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2</w:t>
            </w:r>
            <w:r w:rsidR="003E2341" w:rsidRPr="004E7180">
              <w:rPr>
                <w:rFonts w:ascii="Calibri" w:eastAsia="Times New Roman" w:hAnsi="Calibri" w:cs="Calibri"/>
                <w:color w:val="000000"/>
              </w:rPr>
              <w:t>%</w:t>
            </w:r>
          </w:p>
        </w:tc>
        <w:tc>
          <w:tcPr>
            <w:tcW w:w="1134" w:type="dxa"/>
            <w:noWrap/>
            <w:hideMark/>
          </w:tcPr>
          <w:p w14:paraId="45741859" w14:textId="6FA52282" w:rsidR="003E2341" w:rsidRPr="004E7180" w:rsidRDefault="00E20470" w:rsidP="0085395F">
            <w:pPr>
              <w:jc w:val="right"/>
              <w:rPr>
                <w:rFonts w:ascii="Calibri" w:hAnsi="Calibri" w:cs="Calibri"/>
                <w:color w:val="000000"/>
              </w:rPr>
            </w:pPr>
            <w:r w:rsidRPr="004E7180">
              <w:rPr>
                <w:rFonts w:ascii="Calibri" w:hAnsi="Calibri" w:cs="Calibri"/>
                <w:color w:val="000000"/>
              </w:rPr>
              <w:t>244</w:t>
            </w:r>
          </w:p>
          <w:p w14:paraId="68C86699" w14:textId="439EFD9C" w:rsidR="0085395F" w:rsidRPr="004E7180" w:rsidRDefault="0085395F" w:rsidP="0085395F">
            <w:pPr>
              <w:jc w:val="right"/>
              <w:rPr>
                <w:rFonts w:ascii="Calibri" w:hAnsi="Calibri" w:cs="Calibri"/>
                <w:color w:val="000000"/>
              </w:rPr>
            </w:pPr>
            <w:r w:rsidRPr="004E7180">
              <w:rPr>
                <w:rFonts w:ascii="Calibri" w:hAnsi="Calibri" w:cs="Calibri"/>
                <w:color w:val="000000"/>
              </w:rPr>
              <w:t>2,18%</w:t>
            </w:r>
          </w:p>
        </w:tc>
      </w:tr>
      <w:tr w:rsidR="0085395F" w:rsidRPr="004E7180" w14:paraId="3C80561E" w14:textId="77777777" w:rsidTr="003F1552">
        <w:trPr>
          <w:trHeight w:val="300"/>
        </w:trPr>
        <w:tc>
          <w:tcPr>
            <w:tcW w:w="2802" w:type="dxa"/>
            <w:noWrap/>
            <w:hideMark/>
          </w:tcPr>
          <w:p w14:paraId="1F179F2D" w14:textId="77777777" w:rsidR="0085395F" w:rsidRPr="004E7180" w:rsidRDefault="0085395F" w:rsidP="0085395F">
            <w:pPr>
              <w:rPr>
                <w:rFonts w:ascii="Calibri" w:hAnsi="Calibri" w:cs="Calibri"/>
                <w:color w:val="000000"/>
              </w:rPr>
            </w:pPr>
            <w:proofErr w:type="spellStart"/>
            <w:r w:rsidRPr="004E7180">
              <w:rPr>
                <w:rFonts w:ascii="Calibri" w:hAnsi="Calibri" w:cs="Calibri"/>
                <w:color w:val="000000"/>
              </w:rPr>
              <w:t>XVII.Malf</w:t>
            </w:r>
            <w:proofErr w:type="spellEnd"/>
            <w:r w:rsidRPr="004E7180">
              <w:rPr>
                <w:rFonts w:ascii="Calibri" w:hAnsi="Calibri" w:cs="Calibri"/>
                <w:color w:val="000000"/>
              </w:rPr>
              <w:t xml:space="preserve"> </w:t>
            </w:r>
            <w:proofErr w:type="spellStart"/>
            <w:r w:rsidRPr="004E7180">
              <w:rPr>
                <w:rFonts w:ascii="Calibri" w:hAnsi="Calibri" w:cs="Calibri"/>
                <w:color w:val="000000"/>
              </w:rPr>
              <w:t>cong</w:t>
            </w:r>
            <w:proofErr w:type="spellEnd"/>
            <w:r w:rsidRPr="004E7180">
              <w:rPr>
                <w:rFonts w:ascii="Calibri" w:hAnsi="Calibri" w:cs="Calibri"/>
                <w:color w:val="000000"/>
              </w:rPr>
              <w:t xml:space="preserve"> </w:t>
            </w:r>
            <w:proofErr w:type="spellStart"/>
            <w:r w:rsidRPr="004E7180">
              <w:rPr>
                <w:rFonts w:ascii="Calibri" w:hAnsi="Calibri" w:cs="Calibri"/>
                <w:color w:val="000000"/>
              </w:rPr>
              <w:t>deformid</w:t>
            </w:r>
            <w:proofErr w:type="spellEnd"/>
            <w:r w:rsidRPr="004E7180">
              <w:rPr>
                <w:rFonts w:ascii="Calibri" w:hAnsi="Calibri" w:cs="Calibri"/>
                <w:color w:val="000000"/>
              </w:rPr>
              <w:t xml:space="preserve"> e anomalias cromossômicas</w:t>
            </w:r>
          </w:p>
        </w:tc>
        <w:tc>
          <w:tcPr>
            <w:tcW w:w="2268" w:type="dxa"/>
            <w:noWrap/>
            <w:hideMark/>
          </w:tcPr>
          <w:p w14:paraId="3FD375B1"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2.178</w:t>
            </w:r>
          </w:p>
          <w:p w14:paraId="68424A67" w14:textId="2A37DCA4" w:rsidR="003E2341" w:rsidRPr="004E7180" w:rsidRDefault="00E20470" w:rsidP="003E2341">
            <w:pPr>
              <w:jc w:val="right"/>
              <w:rPr>
                <w:rFonts w:ascii="Calibri" w:eastAsia="Times New Roman"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2CB1A7BE"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2.220</w:t>
            </w:r>
          </w:p>
          <w:p w14:paraId="522D2F14" w14:textId="6ABDDB29"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7AFD8404" w14:textId="23723698" w:rsidR="003E2341" w:rsidRPr="004E7180" w:rsidRDefault="00E20470" w:rsidP="0085395F">
            <w:pPr>
              <w:jc w:val="right"/>
              <w:rPr>
                <w:rFonts w:ascii="Calibri" w:hAnsi="Calibri" w:cs="Calibri"/>
                <w:color w:val="000000"/>
              </w:rPr>
            </w:pPr>
            <w:r w:rsidRPr="004E7180">
              <w:rPr>
                <w:rFonts w:ascii="Calibri" w:hAnsi="Calibri" w:cs="Calibri"/>
                <w:color w:val="000000"/>
              </w:rPr>
              <w:t>42</w:t>
            </w:r>
          </w:p>
          <w:p w14:paraId="2A73EE0E" w14:textId="11D6DD89" w:rsidR="0085395F" w:rsidRPr="004E7180" w:rsidRDefault="0085395F" w:rsidP="0085395F">
            <w:pPr>
              <w:jc w:val="right"/>
              <w:rPr>
                <w:rFonts w:ascii="Calibri" w:hAnsi="Calibri" w:cs="Calibri"/>
                <w:color w:val="000000"/>
              </w:rPr>
            </w:pPr>
            <w:r w:rsidRPr="004E7180">
              <w:rPr>
                <w:rFonts w:ascii="Calibri" w:hAnsi="Calibri" w:cs="Calibri"/>
                <w:color w:val="000000"/>
              </w:rPr>
              <w:t>1,93%</w:t>
            </w:r>
          </w:p>
        </w:tc>
      </w:tr>
      <w:tr w:rsidR="0085395F" w:rsidRPr="004E7180" w14:paraId="2F206AC5" w14:textId="77777777" w:rsidTr="003F1552">
        <w:trPr>
          <w:trHeight w:val="300"/>
        </w:trPr>
        <w:tc>
          <w:tcPr>
            <w:tcW w:w="2802" w:type="dxa"/>
            <w:noWrap/>
            <w:hideMark/>
          </w:tcPr>
          <w:p w14:paraId="22749E3B" w14:textId="77777777" w:rsidR="0085395F" w:rsidRPr="004E7180" w:rsidRDefault="0085395F" w:rsidP="0085395F">
            <w:pPr>
              <w:rPr>
                <w:rFonts w:ascii="Calibri" w:hAnsi="Calibri" w:cs="Calibri"/>
                <w:color w:val="000000"/>
              </w:rPr>
            </w:pPr>
            <w:proofErr w:type="spellStart"/>
            <w:r w:rsidRPr="004E7180">
              <w:rPr>
                <w:rFonts w:ascii="Calibri" w:hAnsi="Calibri" w:cs="Calibri"/>
                <w:color w:val="000000"/>
              </w:rPr>
              <w:t>XVIII.Sint</w:t>
            </w:r>
            <w:proofErr w:type="spellEnd"/>
            <w:r w:rsidRPr="004E7180">
              <w:rPr>
                <w:rFonts w:ascii="Calibri" w:hAnsi="Calibri" w:cs="Calibri"/>
                <w:color w:val="000000"/>
              </w:rPr>
              <w:t xml:space="preserve"> sinais e </w:t>
            </w:r>
            <w:proofErr w:type="spellStart"/>
            <w:r w:rsidRPr="004E7180">
              <w:rPr>
                <w:rFonts w:ascii="Calibri" w:hAnsi="Calibri" w:cs="Calibri"/>
                <w:color w:val="000000"/>
              </w:rPr>
              <w:t>achad</w:t>
            </w:r>
            <w:proofErr w:type="spellEnd"/>
            <w:r w:rsidRPr="004E7180">
              <w:rPr>
                <w:rFonts w:ascii="Calibri" w:hAnsi="Calibri" w:cs="Calibri"/>
                <w:color w:val="000000"/>
              </w:rPr>
              <w:t xml:space="preserve"> </w:t>
            </w:r>
            <w:proofErr w:type="spellStart"/>
            <w:r w:rsidRPr="004E7180">
              <w:rPr>
                <w:rFonts w:ascii="Calibri" w:hAnsi="Calibri" w:cs="Calibri"/>
                <w:color w:val="000000"/>
              </w:rPr>
              <w:t>anorm</w:t>
            </w:r>
            <w:proofErr w:type="spellEnd"/>
            <w:r w:rsidRPr="004E7180">
              <w:rPr>
                <w:rFonts w:ascii="Calibri" w:hAnsi="Calibri" w:cs="Calibri"/>
                <w:color w:val="000000"/>
              </w:rPr>
              <w:t xml:space="preserve"> </w:t>
            </w:r>
            <w:proofErr w:type="spellStart"/>
            <w:r w:rsidRPr="004E7180">
              <w:rPr>
                <w:rFonts w:ascii="Calibri" w:hAnsi="Calibri" w:cs="Calibri"/>
                <w:color w:val="000000"/>
              </w:rPr>
              <w:t>ex</w:t>
            </w:r>
            <w:proofErr w:type="spellEnd"/>
            <w:r w:rsidRPr="004E7180">
              <w:rPr>
                <w:rFonts w:ascii="Calibri" w:hAnsi="Calibri" w:cs="Calibri"/>
                <w:color w:val="000000"/>
              </w:rPr>
              <w:t xml:space="preserve"> </w:t>
            </w:r>
            <w:proofErr w:type="spellStart"/>
            <w:r w:rsidRPr="004E7180">
              <w:rPr>
                <w:rFonts w:ascii="Calibri" w:hAnsi="Calibri" w:cs="Calibri"/>
                <w:color w:val="000000"/>
              </w:rPr>
              <w:t>clín</w:t>
            </w:r>
            <w:proofErr w:type="spellEnd"/>
            <w:r w:rsidRPr="004E7180">
              <w:rPr>
                <w:rFonts w:ascii="Calibri" w:hAnsi="Calibri" w:cs="Calibri"/>
                <w:color w:val="000000"/>
              </w:rPr>
              <w:t xml:space="preserve"> e </w:t>
            </w:r>
            <w:proofErr w:type="spellStart"/>
            <w:r w:rsidRPr="004E7180">
              <w:rPr>
                <w:rFonts w:ascii="Calibri" w:hAnsi="Calibri" w:cs="Calibri"/>
                <w:color w:val="000000"/>
              </w:rPr>
              <w:t>laborat</w:t>
            </w:r>
            <w:proofErr w:type="spellEnd"/>
          </w:p>
        </w:tc>
        <w:tc>
          <w:tcPr>
            <w:tcW w:w="2268" w:type="dxa"/>
            <w:noWrap/>
            <w:hideMark/>
          </w:tcPr>
          <w:p w14:paraId="71B7B4BB"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16.730</w:t>
            </w:r>
          </w:p>
          <w:p w14:paraId="6EE71566" w14:textId="3C183BF9"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3</w:t>
            </w:r>
            <w:r w:rsidR="003E2341" w:rsidRPr="004E7180">
              <w:rPr>
                <w:rFonts w:ascii="Calibri" w:eastAsia="Times New Roman" w:hAnsi="Calibri" w:cs="Calibri"/>
                <w:color w:val="000000"/>
              </w:rPr>
              <w:t>%</w:t>
            </w:r>
          </w:p>
        </w:tc>
        <w:tc>
          <w:tcPr>
            <w:tcW w:w="2693" w:type="dxa"/>
            <w:noWrap/>
            <w:hideMark/>
          </w:tcPr>
          <w:p w14:paraId="73192ECF"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17.283</w:t>
            </w:r>
          </w:p>
          <w:p w14:paraId="322CCD56" w14:textId="30F965A9"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3</w:t>
            </w:r>
            <w:r w:rsidR="003E2341" w:rsidRPr="004E7180">
              <w:rPr>
                <w:rFonts w:ascii="Calibri" w:eastAsia="Times New Roman" w:hAnsi="Calibri" w:cs="Calibri"/>
                <w:color w:val="000000"/>
              </w:rPr>
              <w:t>%</w:t>
            </w:r>
          </w:p>
        </w:tc>
        <w:tc>
          <w:tcPr>
            <w:tcW w:w="1134" w:type="dxa"/>
            <w:noWrap/>
            <w:hideMark/>
          </w:tcPr>
          <w:p w14:paraId="7BF806AC" w14:textId="462563CB" w:rsidR="003E2341" w:rsidRPr="004E7180" w:rsidRDefault="00E20470" w:rsidP="0085395F">
            <w:pPr>
              <w:jc w:val="right"/>
              <w:rPr>
                <w:rFonts w:ascii="Calibri" w:hAnsi="Calibri" w:cs="Calibri"/>
                <w:color w:val="000000"/>
              </w:rPr>
            </w:pPr>
            <w:r w:rsidRPr="004E7180">
              <w:rPr>
                <w:rFonts w:ascii="Calibri" w:hAnsi="Calibri" w:cs="Calibri"/>
                <w:color w:val="000000"/>
              </w:rPr>
              <w:t>553</w:t>
            </w:r>
          </w:p>
          <w:p w14:paraId="7BCE29A4" w14:textId="4A42B3C9" w:rsidR="0085395F" w:rsidRPr="004E7180" w:rsidRDefault="0085395F" w:rsidP="0085395F">
            <w:pPr>
              <w:jc w:val="right"/>
              <w:rPr>
                <w:rFonts w:ascii="Calibri" w:hAnsi="Calibri" w:cs="Calibri"/>
                <w:color w:val="000000"/>
              </w:rPr>
            </w:pPr>
            <w:r w:rsidRPr="004E7180">
              <w:rPr>
                <w:rFonts w:ascii="Calibri" w:hAnsi="Calibri" w:cs="Calibri"/>
                <w:color w:val="000000"/>
              </w:rPr>
              <w:t>3,31%</w:t>
            </w:r>
          </w:p>
        </w:tc>
      </w:tr>
      <w:tr w:rsidR="0085395F" w:rsidRPr="004E7180" w14:paraId="545BC6A8" w14:textId="77777777" w:rsidTr="003F1552">
        <w:trPr>
          <w:trHeight w:val="300"/>
        </w:trPr>
        <w:tc>
          <w:tcPr>
            <w:tcW w:w="2802" w:type="dxa"/>
            <w:noWrap/>
            <w:hideMark/>
          </w:tcPr>
          <w:p w14:paraId="09ACDA84" w14:textId="77777777" w:rsidR="0085395F" w:rsidRPr="004E7180" w:rsidRDefault="0085395F" w:rsidP="0085395F">
            <w:pPr>
              <w:rPr>
                <w:rFonts w:ascii="Calibri" w:hAnsi="Calibri" w:cs="Calibri"/>
                <w:color w:val="000000"/>
              </w:rPr>
            </w:pPr>
            <w:r w:rsidRPr="004E7180">
              <w:rPr>
                <w:rFonts w:ascii="Calibri" w:hAnsi="Calibri" w:cs="Calibri"/>
                <w:color w:val="000000"/>
              </w:rPr>
              <w:t xml:space="preserve">XIX. Lesões </w:t>
            </w:r>
            <w:proofErr w:type="spellStart"/>
            <w:r w:rsidRPr="004E7180">
              <w:rPr>
                <w:rFonts w:ascii="Calibri" w:hAnsi="Calibri" w:cs="Calibri"/>
                <w:color w:val="000000"/>
              </w:rPr>
              <w:t>enven</w:t>
            </w:r>
            <w:proofErr w:type="spellEnd"/>
            <w:r w:rsidRPr="004E7180">
              <w:rPr>
                <w:rFonts w:ascii="Calibri" w:hAnsi="Calibri" w:cs="Calibri"/>
                <w:color w:val="000000"/>
              </w:rPr>
              <w:t xml:space="preserve"> e </w:t>
            </w:r>
            <w:proofErr w:type="spellStart"/>
            <w:r w:rsidRPr="004E7180">
              <w:rPr>
                <w:rFonts w:ascii="Calibri" w:hAnsi="Calibri" w:cs="Calibri"/>
                <w:color w:val="000000"/>
              </w:rPr>
              <w:t>alg</w:t>
            </w:r>
            <w:proofErr w:type="spellEnd"/>
            <w:r w:rsidRPr="004E7180">
              <w:rPr>
                <w:rFonts w:ascii="Calibri" w:hAnsi="Calibri" w:cs="Calibri"/>
                <w:color w:val="000000"/>
              </w:rPr>
              <w:t xml:space="preserve"> out </w:t>
            </w:r>
            <w:proofErr w:type="spellStart"/>
            <w:r w:rsidRPr="004E7180">
              <w:rPr>
                <w:rFonts w:ascii="Calibri" w:hAnsi="Calibri" w:cs="Calibri"/>
                <w:color w:val="000000"/>
              </w:rPr>
              <w:t>conseq</w:t>
            </w:r>
            <w:proofErr w:type="spellEnd"/>
            <w:r w:rsidRPr="004E7180">
              <w:rPr>
                <w:rFonts w:ascii="Calibri" w:hAnsi="Calibri" w:cs="Calibri"/>
                <w:color w:val="000000"/>
              </w:rPr>
              <w:t xml:space="preserve"> causas externas</w:t>
            </w:r>
          </w:p>
        </w:tc>
        <w:tc>
          <w:tcPr>
            <w:tcW w:w="2268" w:type="dxa"/>
            <w:noWrap/>
            <w:hideMark/>
          </w:tcPr>
          <w:p w14:paraId="61C7D64D"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27.527</w:t>
            </w:r>
          </w:p>
          <w:p w14:paraId="4747B05A" w14:textId="08C1825F"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5</w:t>
            </w:r>
            <w:r w:rsidR="003E2341" w:rsidRPr="004E7180">
              <w:rPr>
                <w:rFonts w:ascii="Calibri" w:eastAsia="Times New Roman" w:hAnsi="Calibri" w:cs="Calibri"/>
                <w:color w:val="000000"/>
              </w:rPr>
              <w:t>%</w:t>
            </w:r>
          </w:p>
        </w:tc>
        <w:tc>
          <w:tcPr>
            <w:tcW w:w="2693" w:type="dxa"/>
            <w:noWrap/>
            <w:hideMark/>
          </w:tcPr>
          <w:p w14:paraId="70B38DA5"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30.088</w:t>
            </w:r>
          </w:p>
          <w:p w14:paraId="24454197" w14:textId="00CC1976"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4</w:t>
            </w:r>
            <w:r w:rsidR="003E2341" w:rsidRPr="004E7180">
              <w:rPr>
                <w:rFonts w:ascii="Calibri" w:eastAsia="Times New Roman" w:hAnsi="Calibri" w:cs="Calibri"/>
                <w:color w:val="000000"/>
              </w:rPr>
              <w:t>%</w:t>
            </w:r>
          </w:p>
        </w:tc>
        <w:tc>
          <w:tcPr>
            <w:tcW w:w="1134" w:type="dxa"/>
            <w:noWrap/>
            <w:hideMark/>
          </w:tcPr>
          <w:p w14:paraId="279D80BC" w14:textId="2FA488DB" w:rsidR="003E2341" w:rsidRPr="004E7180" w:rsidRDefault="00E20470" w:rsidP="00C752F4">
            <w:pPr>
              <w:ind w:right="110"/>
              <w:jc w:val="right"/>
              <w:rPr>
                <w:rFonts w:ascii="Calibri" w:hAnsi="Calibri" w:cs="Calibri"/>
                <w:color w:val="000000"/>
              </w:rPr>
            </w:pPr>
            <w:r w:rsidRPr="004E7180">
              <w:rPr>
                <w:rFonts w:ascii="Calibri" w:hAnsi="Calibri" w:cs="Calibri"/>
                <w:color w:val="000000"/>
              </w:rPr>
              <w:t>2.561</w:t>
            </w:r>
          </w:p>
          <w:p w14:paraId="0FF20FFB" w14:textId="752500D2" w:rsidR="0085395F" w:rsidRPr="004E7180" w:rsidRDefault="0085395F" w:rsidP="0085395F">
            <w:pPr>
              <w:jc w:val="right"/>
              <w:rPr>
                <w:rFonts w:ascii="Calibri" w:hAnsi="Calibri" w:cs="Calibri"/>
                <w:color w:val="000000"/>
              </w:rPr>
            </w:pPr>
            <w:r w:rsidRPr="004E7180">
              <w:rPr>
                <w:rFonts w:ascii="Calibri" w:hAnsi="Calibri" w:cs="Calibri"/>
                <w:color w:val="000000"/>
              </w:rPr>
              <w:t>9,30%</w:t>
            </w:r>
          </w:p>
        </w:tc>
      </w:tr>
      <w:tr w:rsidR="0085395F" w:rsidRPr="004E7180" w14:paraId="0FD8A8B9" w14:textId="77777777" w:rsidTr="003F1552">
        <w:trPr>
          <w:trHeight w:val="300"/>
        </w:trPr>
        <w:tc>
          <w:tcPr>
            <w:tcW w:w="2802" w:type="dxa"/>
            <w:noWrap/>
            <w:hideMark/>
          </w:tcPr>
          <w:p w14:paraId="5FE0F6E4" w14:textId="77777777" w:rsidR="0085395F" w:rsidRPr="004E7180" w:rsidRDefault="0085395F" w:rsidP="0085395F">
            <w:pPr>
              <w:rPr>
                <w:rFonts w:ascii="Calibri" w:hAnsi="Calibri" w:cs="Calibri"/>
                <w:color w:val="000000"/>
              </w:rPr>
            </w:pPr>
            <w:r w:rsidRPr="004E7180">
              <w:rPr>
                <w:rFonts w:ascii="Calibri" w:hAnsi="Calibri" w:cs="Calibri"/>
                <w:color w:val="000000"/>
              </w:rPr>
              <w:t>XX.  Causas externas de morbidade e mortalidade</w:t>
            </w:r>
          </w:p>
        </w:tc>
        <w:tc>
          <w:tcPr>
            <w:tcW w:w="2268" w:type="dxa"/>
            <w:noWrap/>
            <w:hideMark/>
          </w:tcPr>
          <w:p w14:paraId="43CF79F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w:t>
            </w:r>
          </w:p>
          <w:p w14:paraId="546C7D31" w14:textId="02B331DC"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34D9809A"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0</w:t>
            </w:r>
          </w:p>
          <w:p w14:paraId="610B9E03" w14:textId="2C02C1A8"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25271DB9" w14:textId="1325E3E5" w:rsidR="003E2341" w:rsidRPr="004E7180" w:rsidRDefault="00C752F4" w:rsidP="0085395F">
            <w:pPr>
              <w:jc w:val="right"/>
              <w:rPr>
                <w:rFonts w:ascii="Calibri" w:hAnsi="Calibri" w:cs="Calibri"/>
                <w:color w:val="000000"/>
              </w:rPr>
            </w:pPr>
            <w:r>
              <w:rPr>
                <w:rFonts w:ascii="Calibri" w:hAnsi="Calibri" w:cs="Calibri"/>
                <w:color w:val="000000"/>
              </w:rPr>
              <w:t>-</w:t>
            </w:r>
            <w:r w:rsidR="00E20470" w:rsidRPr="004E7180">
              <w:rPr>
                <w:rFonts w:ascii="Calibri" w:hAnsi="Calibri" w:cs="Calibri"/>
                <w:color w:val="000000"/>
              </w:rPr>
              <w:t>1</w:t>
            </w:r>
          </w:p>
          <w:p w14:paraId="15B9B16F" w14:textId="5E274FA4" w:rsidR="0085395F" w:rsidRPr="004E7180" w:rsidRDefault="0085395F" w:rsidP="0085395F">
            <w:pPr>
              <w:jc w:val="right"/>
              <w:rPr>
                <w:rFonts w:ascii="Calibri" w:hAnsi="Calibri" w:cs="Calibri"/>
                <w:color w:val="000000"/>
              </w:rPr>
            </w:pPr>
            <w:r w:rsidRPr="004E7180">
              <w:rPr>
                <w:rFonts w:ascii="Calibri" w:hAnsi="Calibri" w:cs="Calibri"/>
                <w:color w:val="000000"/>
              </w:rPr>
              <w:t>-100,00%</w:t>
            </w:r>
          </w:p>
        </w:tc>
      </w:tr>
      <w:tr w:rsidR="0085395F" w:rsidRPr="004E7180" w14:paraId="2C5DDE66" w14:textId="77777777" w:rsidTr="003F1552">
        <w:trPr>
          <w:trHeight w:val="300"/>
        </w:trPr>
        <w:tc>
          <w:tcPr>
            <w:tcW w:w="2802" w:type="dxa"/>
            <w:noWrap/>
            <w:hideMark/>
          </w:tcPr>
          <w:p w14:paraId="05CD79EE" w14:textId="77777777" w:rsidR="0085395F" w:rsidRPr="004E7180" w:rsidRDefault="0085395F" w:rsidP="0085395F">
            <w:pPr>
              <w:rPr>
                <w:rFonts w:ascii="Calibri" w:hAnsi="Calibri" w:cs="Calibri"/>
                <w:color w:val="000000"/>
              </w:rPr>
            </w:pPr>
            <w:r w:rsidRPr="004E7180">
              <w:rPr>
                <w:rFonts w:ascii="Calibri" w:hAnsi="Calibri" w:cs="Calibri"/>
                <w:color w:val="000000"/>
              </w:rPr>
              <w:t>XXI. Contatos com serviços de saúde</w:t>
            </w:r>
          </w:p>
        </w:tc>
        <w:tc>
          <w:tcPr>
            <w:tcW w:w="2268" w:type="dxa"/>
            <w:noWrap/>
            <w:hideMark/>
          </w:tcPr>
          <w:p w14:paraId="0A68EFD0"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1.387</w:t>
            </w:r>
          </w:p>
          <w:p w14:paraId="36CB6632" w14:textId="2F8C7301"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2693" w:type="dxa"/>
            <w:noWrap/>
            <w:hideMark/>
          </w:tcPr>
          <w:p w14:paraId="296A1BD3"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1.444</w:t>
            </w:r>
          </w:p>
          <w:p w14:paraId="341C51A0" w14:textId="673D0C03" w:rsidR="003E2341" w:rsidRPr="004E7180" w:rsidRDefault="00E20470" w:rsidP="0085395F">
            <w:pPr>
              <w:jc w:val="right"/>
              <w:rPr>
                <w:rFonts w:ascii="Calibri" w:hAnsi="Calibri" w:cs="Calibri"/>
                <w:color w:val="000000"/>
              </w:rPr>
            </w:pPr>
            <w:r w:rsidRPr="004E7180">
              <w:rPr>
                <w:rFonts w:ascii="Calibri" w:eastAsia="Times New Roman" w:hAnsi="Calibri" w:cs="Calibri"/>
                <w:color w:val="000000"/>
              </w:rPr>
              <w:t>0</w:t>
            </w:r>
            <w:r w:rsidR="003E2341" w:rsidRPr="004E7180">
              <w:rPr>
                <w:rFonts w:ascii="Calibri" w:eastAsia="Times New Roman" w:hAnsi="Calibri" w:cs="Calibri"/>
                <w:color w:val="000000"/>
              </w:rPr>
              <w:t>%</w:t>
            </w:r>
          </w:p>
        </w:tc>
        <w:tc>
          <w:tcPr>
            <w:tcW w:w="1134" w:type="dxa"/>
            <w:noWrap/>
            <w:hideMark/>
          </w:tcPr>
          <w:p w14:paraId="03BC236F" w14:textId="42029DD8" w:rsidR="003E2341" w:rsidRPr="004E7180" w:rsidRDefault="00E20470" w:rsidP="0085395F">
            <w:pPr>
              <w:jc w:val="right"/>
              <w:rPr>
                <w:rFonts w:ascii="Calibri" w:hAnsi="Calibri" w:cs="Calibri"/>
                <w:color w:val="000000"/>
              </w:rPr>
            </w:pPr>
            <w:r w:rsidRPr="004E7180">
              <w:rPr>
                <w:rFonts w:ascii="Calibri" w:hAnsi="Calibri" w:cs="Calibri"/>
                <w:color w:val="000000"/>
              </w:rPr>
              <w:t>57</w:t>
            </w:r>
          </w:p>
          <w:p w14:paraId="3D742936" w14:textId="197BEB67" w:rsidR="0085395F" w:rsidRPr="004E7180" w:rsidRDefault="0085395F" w:rsidP="0085395F">
            <w:pPr>
              <w:jc w:val="right"/>
              <w:rPr>
                <w:rFonts w:ascii="Calibri" w:hAnsi="Calibri" w:cs="Calibri"/>
                <w:color w:val="000000"/>
              </w:rPr>
            </w:pPr>
            <w:r w:rsidRPr="004E7180">
              <w:rPr>
                <w:rFonts w:ascii="Calibri" w:hAnsi="Calibri" w:cs="Calibri"/>
                <w:color w:val="000000"/>
              </w:rPr>
              <w:t>4,11%</w:t>
            </w:r>
          </w:p>
        </w:tc>
      </w:tr>
      <w:tr w:rsidR="0085395F" w:rsidRPr="004E7180" w14:paraId="4C971F67" w14:textId="77777777" w:rsidTr="003F1552">
        <w:trPr>
          <w:trHeight w:val="300"/>
        </w:trPr>
        <w:tc>
          <w:tcPr>
            <w:tcW w:w="2802" w:type="dxa"/>
            <w:noWrap/>
            <w:hideMark/>
          </w:tcPr>
          <w:p w14:paraId="2829CA78" w14:textId="77777777" w:rsidR="0085395F" w:rsidRPr="004E7180" w:rsidRDefault="0085395F" w:rsidP="0085395F">
            <w:pPr>
              <w:rPr>
                <w:rFonts w:ascii="Calibri" w:hAnsi="Calibri" w:cs="Calibri"/>
                <w:color w:val="000000"/>
              </w:rPr>
            </w:pPr>
            <w:r w:rsidRPr="004E7180">
              <w:rPr>
                <w:rFonts w:ascii="Calibri" w:hAnsi="Calibri" w:cs="Calibri"/>
                <w:color w:val="000000"/>
              </w:rPr>
              <w:t>Total</w:t>
            </w:r>
          </w:p>
        </w:tc>
        <w:tc>
          <w:tcPr>
            <w:tcW w:w="2268" w:type="dxa"/>
            <w:noWrap/>
            <w:hideMark/>
          </w:tcPr>
          <w:p w14:paraId="2E4EB1D6"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528.186</w:t>
            </w:r>
          </w:p>
          <w:p w14:paraId="66492825" w14:textId="50305A8C" w:rsidR="00E20470" w:rsidRPr="004E7180" w:rsidRDefault="00E20470" w:rsidP="0085395F">
            <w:pPr>
              <w:jc w:val="right"/>
              <w:rPr>
                <w:rFonts w:ascii="Calibri" w:hAnsi="Calibri" w:cs="Calibri"/>
                <w:color w:val="000000"/>
              </w:rPr>
            </w:pPr>
            <w:r w:rsidRPr="004E7180">
              <w:rPr>
                <w:rFonts w:ascii="Calibri" w:hAnsi="Calibri" w:cs="Calibri"/>
                <w:color w:val="000000"/>
              </w:rPr>
              <w:t>100%</w:t>
            </w:r>
          </w:p>
        </w:tc>
        <w:tc>
          <w:tcPr>
            <w:tcW w:w="2693" w:type="dxa"/>
            <w:noWrap/>
            <w:hideMark/>
          </w:tcPr>
          <w:p w14:paraId="04E7627C" w14:textId="77777777" w:rsidR="0085395F" w:rsidRPr="004E7180" w:rsidRDefault="0085395F" w:rsidP="0085395F">
            <w:pPr>
              <w:jc w:val="right"/>
              <w:rPr>
                <w:rFonts w:ascii="Calibri" w:hAnsi="Calibri" w:cs="Calibri"/>
                <w:color w:val="000000"/>
              </w:rPr>
            </w:pPr>
            <w:r w:rsidRPr="004E7180">
              <w:rPr>
                <w:rFonts w:ascii="Calibri" w:hAnsi="Calibri" w:cs="Calibri"/>
                <w:color w:val="000000"/>
              </w:rPr>
              <w:t>683.728</w:t>
            </w:r>
          </w:p>
          <w:p w14:paraId="1F960961" w14:textId="3BB9D230" w:rsidR="00E20470" w:rsidRPr="004E7180" w:rsidRDefault="00E20470" w:rsidP="0085395F">
            <w:pPr>
              <w:jc w:val="right"/>
              <w:rPr>
                <w:rFonts w:ascii="Calibri" w:hAnsi="Calibri" w:cs="Calibri"/>
                <w:color w:val="000000"/>
              </w:rPr>
            </w:pPr>
            <w:r w:rsidRPr="004E7180">
              <w:rPr>
                <w:rFonts w:ascii="Calibri" w:hAnsi="Calibri" w:cs="Calibri"/>
                <w:color w:val="000000"/>
              </w:rPr>
              <w:t>100%</w:t>
            </w:r>
          </w:p>
        </w:tc>
        <w:tc>
          <w:tcPr>
            <w:tcW w:w="1134" w:type="dxa"/>
            <w:noWrap/>
            <w:hideMark/>
          </w:tcPr>
          <w:p w14:paraId="2F0829EC" w14:textId="796E2F9F" w:rsidR="00E20470" w:rsidRPr="004E7180" w:rsidRDefault="00E20470" w:rsidP="0085395F">
            <w:pPr>
              <w:jc w:val="right"/>
              <w:rPr>
                <w:rFonts w:ascii="Calibri" w:hAnsi="Calibri" w:cs="Calibri"/>
                <w:color w:val="000000"/>
              </w:rPr>
            </w:pPr>
            <w:r w:rsidRPr="004E7180">
              <w:rPr>
                <w:rFonts w:ascii="Calibri" w:hAnsi="Calibri" w:cs="Calibri"/>
                <w:color w:val="000000"/>
              </w:rPr>
              <w:t>155.542</w:t>
            </w:r>
          </w:p>
          <w:p w14:paraId="59F2A454" w14:textId="62C15C8B" w:rsidR="0085395F" w:rsidRPr="004E7180" w:rsidRDefault="0085395F" w:rsidP="0085395F">
            <w:pPr>
              <w:jc w:val="right"/>
              <w:rPr>
                <w:rFonts w:ascii="Calibri" w:hAnsi="Calibri" w:cs="Calibri"/>
                <w:color w:val="000000"/>
              </w:rPr>
            </w:pPr>
            <w:r w:rsidRPr="004E7180">
              <w:rPr>
                <w:rFonts w:ascii="Calibri" w:hAnsi="Calibri" w:cs="Calibri"/>
                <w:color w:val="000000"/>
              </w:rPr>
              <w:t>29,45%</w:t>
            </w:r>
          </w:p>
        </w:tc>
      </w:tr>
    </w:tbl>
    <w:p w14:paraId="7986FE64" w14:textId="657FE101" w:rsidR="00CF5959" w:rsidRPr="004E7180" w:rsidRDefault="00CF5959" w:rsidP="004E7180">
      <w:pPr>
        <w:spacing w:line="480" w:lineRule="auto"/>
        <w:jc w:val="both"/>
        <w:rPr>
          <w:rFonts w:ascii="Arial" w:hAnsi="Arial" w:cs="Arial"/>
          <w:color w:val="000000" w:themeColor="text1"/>
          <w:sz w:val="24"/>
          <w:szCs w:val="24"/>
        </w:rPr>
      </w:pPr>
    </w:p>
    <w:p w14:paraId="23906FBD" w14:textId="27D85F71" w:rsidR="00C23403" w:rsidRPr="00B12F39" w:rsidRDefault="00CF5959" w:rsidP="00F92F84">
      <w:pPr>
        <w:pStyle w:val="PargrafodaLista"/>
        <w:spacing w:line="480" w:lineRule="auto"/>
        <w:ind w:left="0" w:firstLine="709"/>
        <w:jc w:val="both"/>
        <w:rPr>
          <w:rFonts w:ascii="Arial" w:hAnsi="Arial" w:cs="Arial"/>
          <w:color w:val="000000" w:themeColor="text1"/>
          <w:sz w:val="24"/>
          <w:szCs w:val="24"/>
        </w:rPr>
      </w:pPr>
      <w:r w:rsidRPr="00B12F39">
        <w:rPr>
          <w:rFonts w:ascii="Arial" w:hAnsi="Arial" w:cs="Arial"/>
          <w:color w:val="000000" w:themeColor="text1"/>
          <w:sz w:val="24"/>
          <w:szCs w:val="24"/>
        </w:rPr>
        <w:t xml:space="preserve">Podemos visualizar nesta tabela que a maioria de dados houve </w:t>
      </w:r>
      <w:r w:rsidR="001529EB" w:rsidRPr="00B12F39">
        <w:rPr>
          <w:rFonts w:ascii="Arial" w:hAnsi="Arial" w:cs="Arial"/>
          <w:color w:val="000000" w:themeColor="text1"/>
          <w:sz w:val="24"/>
          <w:szCs w:val="24"/>
        </w:rPr>
        <w:t>pequenos aumentos de casos de óbitos em pacientes internados pelo</w:t>
      </w:r>
      <w:r w:rsidRPr="00B12F39">
        <w:rPr>
          <w:rFonts w:ascii="Arial" w:hAnsi="Arial" w:cs="Arial"/>
          <w:color w:val="000000" w:themeColor="text1"/>
          <w:sz w:val="24"/>
          <w:szCs w:val="24"/>
        </w:rPr>
        <w:t xml:space="preserve"> SUS com </w:t>
      </w:r>
      <w:r w:rsidR="001529EB" w:rsidRPr="00B12F39">
        <w:rPr>
          <w:rFonts w:ascii="Arial" w:hAnsi="Arial" w:cs="Arial"/>
          <w:color w:val="000000" w:themeColor="text1"/>
          <w:sz w:val="24"/>
          <w:szCs w:val="24"/>
        </w:rPr>
        <w:t>a</w:t>
      </w:r>
      <w:r w:rsidRPr="00B12F39">
        <w:rPr>
          <w:rFonts w:ascii="Arial" w:hAnsi="Arial" w:cs="Arial"/>
          <w:color w:val="000000" w:themeColor="text1"/>
          <w:sz w:val="24"/>
          <w:szCs w:val="24"/>
        </w:rPr>
        <w:t xml:space="preserve">s </w:t>
      </w:r>
      <w:r w:rsidR="001529EB" w:rsidRPr="00B12F39">
        <w:rPr>
          <w:rFonts w:ascii="Arial" w:hAnsi="Arial" w:cs="Arial"/>
          <w:color w:val="000000" w:themeColor="text1"/>
          <w:sz w:val="24"/>
          <w:szCs w:val="24"/>
        </w:rPr>
        <w:t>reduções por volta dos 0,1% a 10% e um grande aumento nos capítulos I - Algumas doenças infecciosas e parasitárias (154,14%) e XVI. - Algumas afecções originadas no período perinatal (22,07%)</w:t>
      </w:r>
      <w:r w:rsidRPr="00B12F39">
        <w:rPr>
          <w:rFonts w:ascii="Arial" w:hAnsi="Arial" w:cs="Arial"/>
          <w:color w:val="000000" w:themeColor="text1"/>
          <w:sz w:val="24"/>
          <w:szCs w:val="24"/>
        </w:rPr>
        <w:t xml:space="preserve">. Com exceção dos dados do </w:t>
      </w:r>
      <w:r w:rsidR="001529EB" w:rsidRPr="00B12F39">
        <w:rPr>
          <w:rFonts w:ascii="Arial" w:hAnsi="Arial" w:cs="Arial"/>
          <w:color w:val="000000" w:themeColor="text1"/>
          <w:sz w:val="24"/>
          <w:szCs w:val="24"/>
        </w:rPr>
        <w:t>Capítulo</w:t>
      </w:r>
      <w:r w:rsidRPr="00B12F39">
        <w:rPr>
          <w:rFonts w:ascii="Arial" w:hAnsi="Arial" w:cs="Arial"/>
          <w:color w:val="000000" w:themeColor="text1"/>
          <w:sz w:val="24"/>
          <w:szCs w:val="24"/>
        </w:rPr>
        <w:t xml:space="preserve"> do CID </w:t>
      </w:r>
      <w:r w:rsidR="001529EB" w:rsidRPr="00B12F39">
        <w:rPr>
          <w:rFonts w:ascii="Arial" w:hAnsi="Arial" w:cs="Arial"/>
          <w:color w:val="000000" w:themeColor="text1"/>
          <w:sz w:val="24"/>
          <w:szCs w:val="24"/>
        </w:rPr>
        <w:t>II ao VI, VIII, IX, XIV, XV e XXI tendo maior variação</w:t>
      </w:r>
      <w:r w:rsidR="00EA4EDA" w:rsidRPr="00B12F39">
        <w:rPr>
          <w:rFonts w:ascii="Arial" w:hAnsi="Arial" w:cs="Arial"/>
          <w:color w:val="000000" w:themeColor="text1"/>
          <w:sz w:val="24"/>
          <w:szCs w:val="24"/>
        </w:rPr>
        <w:t>,</w:t>
      </w:r>
      <w:r w:rsidR="001529EB" w:rsidRPr="00B12F39">
        <w:rPr>
          <w:rFonts w:ascii="Arial" w:hAnsi="Arial" w:cs="Arial"/>
          <w:color w:val="000000" w:themeColor="text1"/>
          <w:sz w:val="24"/>
          <w:szCs w:val="24"/>
        </w:rPr>
        <w:t xml:space="preserve"> </w:t>
      </w:r>
      <w:r w:rsidR="00EA4EDA" w:rsidRPr="00B12F39">
        <w:rPr>
          <w:rFonts w:ascii="Arial" w:hAnsi="Arial" w:cs="Arial"/>
          <w:color w:val="000000" w:themeColor="text1"/>
          <w:sz w:val="24"/>
          <w:szCs w:val="24"/>
        </w:rPr>
        <w:t>os</w:t>
      </w:r>
      <w:r w:rsidR="00C90861" w:rsidRPr="00B12F39">
        <w:rPr>
          <w:rFonts w:ascii="Arial" w:hAnsi="Arial" w:cs="Arial"/>
          <w:color w:val="000000" w:themeColor="text1"/>
          <w:sz w:val="24"/>
          <w:szCs w:val="24"/>
        </w:rPr>
        <w:t xml:space="preserve"> </w:t>
      </w:r>
      <w:proofErr w:type="spellStart"/>
      <w:r w:rsidR="00C90861" w:rsidRPr="00B12F39">
        <w:rPr>
          <w:rFonts w:ascii="Arial" w:hAnsi="Arial" w:cs="Arial"/>
          <w:color w:val="000000" w:themeColor="text1"/>
          <w:sz w:val="24"/>
          <w:szCs w:val="24"/>
        </w:rPr>
        <w:t>Capitulos</w:t>
      </w:r>
      <w:proofErr w:type="spellEnd"/>
      <w:r w:rsidR="00C90861" w:rsidRPr="00B12F39">
        <w:rPr>
          <w:rFonts w:ascii="Arial" w:hAnsi="Arial" w:cs="Arial"/>
          <w:color w:val="000000" w:themeColor="text1"/>
          <w:sz w:val="24"/>
          <w:szCs w:val="24"/>
        </w:rPr>
        <w:t xml:space="preserve"> IV, IX e XVIII</w:t>
      </w:r>
      <w:r w:rsidR="00EA4EDA" w:rsidRPr="00B12F39">
        <w:rPr>
          <w:rFonts w:ascii="Arial" w:hAnsi="Arial" w:cs="Arial"/>
          <w:color w:val="000000" w:themeColor="text1"/>
          <w:sz w:val="24"/>
          <w:szCs w:val="24"/>
        </w:rPr>
        <w:t xml:space="preserve"> </w:t>
      </w:r>
      <w:r w:rsidR="00C90861" w:rsidRPr="00B12F39">
        <w:rPr>
          <w:rFonts w:ascii="Arial" w:hAnsi="Arial" w:cs="Arial"/>
          <w:color w:val="000000" w:themeColor="text1"/>
          <w:sz w:val="24"/>
          <w:szCs w:val="24"/>
        </w:rPr>
        <w:t>que diminuíram por volta dos</w:t>
      </w:r>
      <w:r w:rsidR="00EA4EDA" w:rsidRPr="00B12F39">
        <w:rPr>
          <w:rFonts w:ascii="Arial" w:hAnsi="Arial" w:cs="Arial"/>
          <w:color w:val="000000" w:themeColor="text1"/>
          <w:sz w:val="24"/>
          <w:szCs w:val="24"/>
        </w:rPr>
        <w:t xml:space="preserve"> 500 casos e XV - Gravidez parto e puerpério</w:t>
      </w:r>
      <w:r w:rsidR="00B12F39" w:rsidRPr="00B12F39">
        <w:rPr>
          <w:rFonts w:ascii="Arial" w:hAnsi="Arial" w:cs="Arial"/>
          <w:color w:val="000000" w:themeColor="text1"/>
          <w:sz w:val="24"/>
          <w:szCs w:val="24"/>
        </w:rPr>
        <w:t xml:space="preserve">, </w:t>
      </w:r>
      <w:r w:rsidR="00EA4EDA" w:rsidRPr="00B12F39">
        <w:rPr>
          <w:rFonts w:ascii="Arial" w:hAnsi="Arial" w:cs="Arial"/>
          <w:color w:val="000000" w:themeColor="text1"/>
          <w:sz w:val="24"/>
          <w:szCs w:val="24"/>
        </w:rPr>
        <w:t xml:space="preserve">diminuiu 1.020 casos. </w:t>
      </w:r>
      <w:r w:rsidRPr="00B12F39">
        <w:rPr>
          <w:rFonts w:ascii="Arial" w:hAnsi="Arial" w:cs="Arial"/>
          <w:color w:val="000000" w:themeColor="text1"/>
          <w:sz w:val="24"/>
          <w:szCs w:val="24"/>
        </w:rPr>
        <w:t xml:space="preserve">Tendo uma visão geral, os totais de internações entre março de 2019 e março de 2020, foi de </w:t>
      </w:r>
      <w:r w:rsidR="00EA4EDA" w:rsidRPr="00B12F39">
        <w:rPr>
          <w:rFonts w:ascii="Arial" w:hAnsi="Arial" w:cs="Arial"/>
          <w:color w:val="000000" w:themeColor="text1"/>
          <w:sz w:val="24"/>
          <w:szCs w:val="24"/>
        </w:rPr>
        <w:t>526.800 óbitos</w:t>
      </w:r>
      <w:r w:rsidRPr="00B12F39">
        <w:rPr>
          <w:rFonts w:ascii="Arial" w:hAnsi="Arial" w:cs="Arial"/>
          <w:color w:val="000000" w:themeColor="text1"/>
          <w:sz w:val="24"/>
          <w:szCs w:val="24"/>
        </w:rPr>
        <w:t xml:space="preserve">, e no período de março de 2020 a março de 2021, tiveram </w:t>
      </w:r>
      <w:r w:rsidR="00EA4EDA" w:rsidRPr="00B12F39">
        <w:rPr>
          <w:rFonts w:ascii="Arial" w:hAnsi="Arial" w:cs="Arial"/>
          <w:color w:val="000000" w:themeColor="text1"/>
          <w:sz w:val="24"/>
          <w:szCs w:val="24"/>
        </w:rPr>
        <w:t>682.285</w:t>
      </w:r>
      <w:r w:rsidRPr="00B12F39">
        <w:rPr>
          <w:rFonts w:ascii="Arial" w:hAnsi="Arial" w:cs="Arial"/>
          <w:color w:val="000000" w:themeColor="text1"/>
          <w:sz w:val="24"/>
          <w:szCs w:val="24"/>
        </w:rPr>
        <w:t xml:space="preserve"> </w:t>
      </w:r>
      <w:r w:rsidR="00EA4EDA" w:rsidRPr="00B12F39">
        <w:rPr>
          <w:rFonts w:ascii="Arial" w:hAnsi="Arial" w:cs="Arial"/>
          <w:color w:val="000000" w:themeColor="text1"/>
          <w:sz w:val="24"/>
          <w:szCs w:val="24"/>
        </w:rPr>
        <w:t>óbitos</w:t>
      </w:r>
      <w:r w:rsidRPr="00B12F39">
        <w:rPr>
          <w:rFonts w:ascii="Arial" w:hAnsi="Arial" w:cs="Arial"/>
          <w:color w:val="000000" w:themeColor="text1"/>
          <w:sz w:val="24"/>
          <w:szCs w:val="24"/>
        </w:rPr>
        <w:t xml:space="preserve">, com um </w:t>
      </w:r>
      <w:r w:rsidR="00EA4EDA" w:rsidRPr="00B12F39">
        <w:rPr>
          <w:rFonts w:ascii="Arial" w:hAnsi="Arial" w:cs="Arial"/>
          <w:color w:val="000000" w:themeColor="text1"/>
          <w:sz w:val="24"/>
          <w:szCs w:val="24"/>
        </w:rPr>
        <w:t xml:space="preserve">aumento </w:t>
      </w:r>
      <w:r w:rsidRPr="00B12F39">
        <w:rPr>
          <w:rFonts w:ascii="Arial" w:hAnsi="Arial" w:cs="Arial"/>
          <w:color w:val="000000" w:themeColor="text1"/>
          <w:sz w:val="24"/>
          <w:szCs w:val="24"/>
        </w:rPr>
        <w:t xml:space="preserve">de </w:t>
      </w:r>
      <w:r w:rsidR="00EA4EDA" w:rsidRPr="00B12F39">
        <w:rPr>
          <w:rFonts w:ascii="Arial" w:hAnsi="Arial" w:cs="Arial"/>
          <w:color w:val="000000" w:themeColor="text1"/>
          <w:sz w:val="24"/>
          <w:szCs w:val="24"/>
        </w:rPr>
        <w:t>29</w:t>
      </w:r>
      <w:r w:rsidRPr="00B12F39">
        <w:rPr>
          <w:rFonts w:ascii="Arial" w:hAnsi="Arial" w:cs="Arial"/>
          <w:color w:val="000000" w:themeColor="text1"/>
          <w:sz w:val="24"/>
          <w:szCs w:val="24"/>
        </w:rPr>
        <w:t>,5</w:t>
      </w:r>
      <w:r w:rsidR="00EA4EDA" w:rsidRPr="00B12F39">
        <w:rPr>
          <w:rFonts w:ascii="Arial" w:hAnsi="Arial" w:cs="Arial"/>
          <w:color w:val="000000" w:themeColor="text1"/>
          <w:sz w:val="24"/>
          <w:szCs w:val="24"/>
        </w:rPr>
        <w:t>1</w:t>
      </w:r>
      <w:r w:rsidRPr="00B12F39">
        <w:rPr>
          <w:rFonts w:ascii="Arial" w:hAnsi="Arial" w:cs="Arial"/>
          <w:color w:val="000000" w:themeColor="text1"/>
          <w:sz w:val="24"/>
          <w:szCs w:val="24"/>
        </w:rPr>
        <w:t>%</w:t>
      </w:r>
      <w:r w:rsidR="00EA4EDA" w:rsidRPr="00B12F39">
        <w:rPr>
          <w:rFonts w:ascii="Arial" w:hAnsi="Arial" w:cs="Arial"/>
          <w:color w:val="000000" w:themeColor="text1"/>
          <w:sz w:val="24"/>
          <w:szCs w:val="24"/>
        </w:rPr>
        <w:t>.</w:t>
      </w:r>
    </w:p>
    <w:p w14:paraId="0BDD2145" w14:textId="77777777" w:rsidR="00C23403" w:rsidRPr="00D35D3E" w:rsidRDefault="00C23403" w:rsidP="00F92F84">
      <w:pPr>
        <w:pStyle w:val="PargrafodaLista"/>
        <w:spacing w:line="480" w:lineRule="auto"/>
        <w:ind w:left="0" w:firstLine="709"/>
        <w:jc w:val="both"/>
        <w:rPr>
          <w:rFonts w:ascii="Arial" w:hAnsi="Arial" w:cs="Arial"/>
          <w:b/>
          <w:bCs/>
          <w:color w:val="000000" w:themeColor="text1"/>
          <w:sz w:val="24"/>
          <w:szCs w:val="24"/>
        </w:rPr>
      </w:pPr>
    </w:p>
    <w:p w14:paraId="2E9E86F2" w14:textId="671746DF" w:rsidR="001A2D89" w:rsidRPr="00D35D3E" w:rsidRDefault="00CF5959" w:rsidP="00F92F84">
      <w:pPr>
        <w:pStyle w:val="PargrafodaLista"/>
        <w:spacing w:line="480" w:lineRule="auto"/>
        <w:ind w:left="0" w:firstLine="709"/>
        <w:jc w:val="both"/>
        <w:rPr>
          <w:rFonts w:ascii="Arial" w:hAnsi="Arial" w:cs="Arial"/>
          <w:b/>
          <w:bCs/>
          <w:color w:val="000000" w:themeColor="text1"/>
          <w:sz w:val="24"/>
          <w:szCs w:val="24"/>
        </w:rPr>
      </w:pPr>
      <w:r w:rsidRPr="00D35D3E">
        <w:rPr>
          <w:rFonts w:ascii="Arial" w:hAnsi="Arial" w:cs="Arial"/>
          <w:b/>
          <w:bCs/>
          <w:color w:val="000000" w:themeColor="text1"/>
          <w:sz w:val="24"/>
          <w:szCs w:val="24"/>
        </w:rPr>
        <w:t>T</w:t>
      </w:r>
      <w:r w:rsidR="00C47892" w:rsidRPr="00D35D3E">
        <w:rPr>
          <w:rFonts w:ascii="Arial" w:hAnsi="Arial" w:cs="Arial"/>
          <w:b/>
          <w:bCs/>
          <w:color w:val="000000" w:themeColor="text1"/>
          <w:sz w:val="24"/>
          <w:szCs w:val="24"/>
        </w:rPr>
        <w:t>axa</w:t>
      </w:r>
      <w:r w:rsidR="00C23403" w:rsidRPr="00D35D3E">
        <w:rPr>
          <w:rFonts w:ascii="Arial" w:hAnsi="Arial" w:cs="Arial"/>
          <w:b/>
          <w:bCs/>
          <w:color w:val="000000" w:themeColor="text1"/>
          <w:sz w:val="24"/>
          <w:szCs w:val="24"/>
        </w:rPr>
        <w:t xml:space="preserve"> de Mortalidade</w:t>
      </w:r>
    </w:p>
    <w:p w14:paraId="7D7712EA" w14:textId="77777777" w:rsidR="00C23403" w:rsidRPr="00D35D3E" w:rsidRDefault="00C23403" w:rsidP="00F92F84">
      <w:pPr>
        <w:pStyle w:val="PargrafodaLista"/>
        <w:spacing w:line="480" w:lineRule="auto"/>
        <w:ind w:left="0" w:firstLine="709"/>
        <w:jc w:val="both"/>
        <w:rPr>
          <w:rFonts w:ascii="Arial" w:hAnsi="Arial" w:cs="Arial"/>
          <w:b/>
          <w:bCs/>
          <w:color w:val="000000" w:themeColor="text1"/>
          <w:sz w:val="24"/>
          <w:szCs w:val="24"/>
        </w:rPr>
      </w:pPr>
    </w:p>
    <w:p w14:paraId="3F0FEBCB" w14:textId="6F29250E" w:rsidR="00C23403" w:rsidRDefault="00C23403" w:rsidP="00F92F84">
      <w:pPr>
        <w:pStyle w:val="PargrafodaLista"/>
        <w:spacing w:line="480" w:lineRule="auto"/>
        <w:ind w:left="0" w:firstLine="709"/>
        <w:jc w:val="both"/>
        <w:rPr>
          <w:rFonts w:ascii="Arial" w:hAnsi="Arial" w:cs="Arial"/>
          <w:color w:val="000000" w:themeColor="text1"/>
          <w:sz w:val="24"/>
          <w:szCs w:val="24"/>
        </w:rPr>
      </w:pPr>
      <w:r w:rsidRPr="00D35D3E">
        <w:rPr>
          <w:rFonts w:ascii="Arial" w:hAnsi="Arial" w:cs="Arial"/>
          <w:color w:val="000000" w:themeColor="text1"/>
          <w:sz w:val="24"/>
          <w:szCs w:val="24"/>
        </w:rPr>
        <w:t>Os dados colhidos sobre a taxa de mortalidade (</w:t>
      </w:r>
      <w:r w:rsidRPr="00D35D3E">
        <w:rPr>
          <w:sz w:val="24"/>
          <w:szCs w:val="24"/>
        </w:rPr>
        <w:t>Número total de óbitos, por mil habitantes, na população residente em determinado espaço geográfico, no ano considerado</w:t>
      </w:r>
      <w:r w:rsidRPr="00D35D3E">
        <w:rPr>
          <w:rFonts w:ascii="Arial" w:hAnsi="Arial" w:cs="Arial"/>
          <w:color w:val="000000" w:themeColor="text1"/>
          <w:sz w:val="24"/>
          <w:szCs w:val="24"/>
        </w:rPr>
        <w:t xml:space="preserve">), mostra uma taxa relativamente grande, se comparado no número de internações, tendo como variação de </w:t>
      </w:r>
      <w:r w:rsidR="00C752F4" w:rsidRPr="00D35D3E">
        <w:rPr>
          <w:rFonts w:ascii="Arial" w:hAnsi="Arial" w:cs="Arial"/>
          <w:color w:val="000000" w:themeColor="text1"/>
          <w:sz w:val="24"/>
          <w:szCs w:val="24"/>
        </w:rPr>
        <w:t>0,01</w:t>
      </w:r>
      <w:r w:rsidRPr="00D35D3E">
        <w:rPr>
          <w:rFonts w:ascii="Arial" w:hAnsi="Arial" w:cs="Arial"/>
          <w:color w:val="000000" w:themeColor="text1"/>
          <w:sz w:val="24"/>
          <w:szCs w:val="24"/>
        </w:rPr>
        <w:t xml:space="preserve"> a 20 durante todo o período selecionado. Visando o total de todos os valores do ano, a porcentagem de todos os meses representa cerca de </w:t>
      </w:r>
      <w:r w:rsidR="00C752F4" w:rsidRPr="00D35D3E">
        <w:rPr>
          <w:rFonts w:ascii="Arial" w:hAnsi="Arial" w:cs="Arial"/>
          <w:color w:val="000000" w:themeColor="text1"/>
          <w:sz w:val="24"/>
          <w:szCs w:val="24"/>
        </w:rPr>
        <w:t>4</w:t>
      </w:r>
      <w:r w:rsidRPr="00D35D3E">
        <w:rPr>
          <w:rFonts w:ascii="Arial" w:hAnsi="Arial" w:cs="Arial"/>
          <w:color w:val="000000" w:themeColor="text1"/>
          <w:sz w:val="24"/>
          <w:szCs w:val="24"/>
        </w:rPr>
        <w:t>% a</w:t>
      </w:r>
      <w:r w:rsidR="00D35D3E" w:rsidRPr="00D35D3E">
        <w:rPr>
          <w:rFonts w:ascii="Arial" w:hAnsi="Arial" w:cs="Arial"/>
          <w:color w:val="000000" w:themeColor="text1"/>
          <w:sz w:val="24"/>
          <w:szCs w:val="24"/>
        </w:rPr>
        <w:t xml:space="preserve"> 11</w:t>
      </w:r>
      <w:r w:rsidRPr="00D35D3E">
        <w:rPr>
          <w:rFonts w:ascii="Arial" w:hAnsi="Arial" w:cs="Arial"/>
          <w:color w:val="000000" w:themeColor="text1"/>
          <w:sz w:val="24"/>
          <w:szCs w:val="24"/>
        </w:rPr>
        <w:t>% do ano.</w:t>
      </w:r>
    </w:p>
    <w:p w14:paraId="63185ED2" w14:textId="38FA986C" w:rsidR="00496F1D" w:rsidRDefault="00496F1D" w:rsidP="00F92F84">
      <w:pPr>
        <w:pStyle w:val="PargrafodaLista"/>
        <w:spacing w:line="480" w:lineRule="auto"/>
        <w:ind w:left="0" w:firstLine="709"/>
        <w:jc w:val="both"/>
        <w:rPr>
          <w:rFonts w:ascii="Arial" w:hAnsi="Arial" w:cs="Arial"/>
          <w:color w:val="000000" w:themeColor="text1"/>
          <w:sz w:val="24"/>
          <w:szCs w:val="24"/>
        </w:rPr>
      </w:pPr>
    </w:p>
    <w:tbl>
      <w:tblPr>
        <w:tblStyle w:val="Tabelacomgrade"/>
        <w:tblW w:w="9075" w:type="dxa"/>
        <w:tblInd w:w="-176" w:type="dxa"/>
        <w:tblLook w:val="04A0" w:firstRow="1" w:lastRow="0" w:firstColumn="1" w:lastColumn="0" w:noHBand="0" w:noVBand="1"/>
      </w:tblPr>
      <w:tblGrid>
        <w:gridCol w:w="2836"/>
        <w:gridCol w:w="2268"/>
        <w:gridCol w:w="2268"/>
        <w:gridCol w:w="1703"/>
      </w:tblGrid>
      <w:tr w:rsidR="00496F1D" w:rsidRPr="00496F1D" w14:paraId="550EFEF5" w14:textId="77777777" w:rsidTr="00496F1D">
        <w:trPr>
          <w:trHeight w:val="1158"/>
        </w:trPr>
        <w:tc>
          <w:tcPr>
            <w:tcW w:w="2836" w:type="dxa"/>
            <w:noWrap/>
            <w:hideMark/>
          </w:tcPr>
          <w:p w14:paraId="3C4983D3" w14:textId="77777777" w:rsidR="00496F1D" w:rsidRPr="00496F1D" w:rsidRDefault="00496F1D" w:rsidP="00496F1D">
            <w:pPr>
              <w:jc w:val="center"/>
              <w:rPr>
                <w:rFonts w:ascii="Calibri" w:eastAsia="Times New Roman" w:hAnsi="Calibri" w:cs="Calibri"/>
                <w:color w:val="000000"/>
              </w:rPr>
            </w:pPr>
            <w:r w:rsidRPr="00496F1D">
              <w:rPr>
                <w:rFonts w:ascii="Calibri" w:eastAsia="Times New Roman" w:hAnsi="Calibri" w:cs="Calibri"/>
                <w:color w:val="000000"/>
              </w:rPr>
              <w:t>Capítulo CID-10</w:t>
            </w:r>
          </w:p>
        </w:tc>
        <w:tc>
          <w:tcPr>
            <w:tcW w:w="2268" w:type="dxa"/>
            <w:hideMark/>
          </w:tcPr>
          <w:p w14:paraId="6B52FFFB" w14:textId="77777777" w:rsidR="00496F1D" w:rsidRPr="00496F1D" w:rsidRDefault="00496F1D" w:rsidP="00496F1D">
            <w:pPr>
              <w:jc w:val="center"/>
              <w:rPr>
                <w:rFonts w:ascii="Calibri" w:eastAsia="Times New Roman" w:hAnsi="Calibri" w:cs="Calibri"/>
                <w:color w:val="000000"/>
              </w:rPr>
            </w:pPr>
            <w:r w:rsidRPr="00496F1D">
              <w:rPr>
                <w:rFonts w:ascii="Calibri" w:eastAsia="Times New Roman" w:hAnsi="Calibri" w:cs="Calibri"/>
                <w:color w:val="000000"/>
              </w:rPr>
              <w:t>Taxa de mortalidade</w:t>
            </w:r>
            <w:r w:rsidRPr="00496F1D">
              <w:rPr>
                <w:rFonts w:ascii="Calibri" w:eastAsia="Times New Roman" w:hAnsi="Calibri" w:cs="Calibri"/>
                <w:color w:val="000000"/>
              </w:rPr>
              <w:br/>
              <w:t>mar/2019 - mar/2020</w:t>
            </w:r>
            <w:r w:rsidRPr="00496F1D">
              <w:rPr>
                <w:rFonts w:ascii="Calibri" w:eastAsia="Times New Roman" w:hAnsi="Calibri" w:cs="Calibri"/>
                <w:color w:val="000000"/>
              </w:rPr>
              <w:br/>
              <w:t>N</w:t>
            </w:r>
            <w:r w:rsidRPr="00496F1D">
              <w:rPr>
                <w:rFonts w:ascii="Calibri" w:eastAsia="Times New Roman" w:hAnsi="Calibri" w:cs="Calibri"/>
                <w:color w:val="000000"/>
              </w:rPr>
              <w:br/>
              <w:t>%</w:t>
            </w:r>
          </w:p>
        </w:tc>
        <w:tc>
          <w:tcPr>
            <w:tcW w:w="2268" w:type="dxa"/>
            <w:hideMark/>
          </w:tcPr>
          <w:p w14:paraId="6A332137" w14:textId="2DA495FC" w:rsidR="00496F1D" w:rsidRPr="00496F1D" w:rsidRDefault="00496F1D" w:rsidP="00496F1D">
            <w:pPr>
              <w:jc w:val="center"/>
              <w:rPr>
                <w:rFonts w:ascii="Calibri" w:eastAsia="Times New Roman" w:hAnsi="Calibri" w:cs="Calibri"/>
                <w:color w:val="000000"/>
              </w:rPr>
            </w:pPr>
            <w:r w:rsidRPr="00496F1D">
              <w:rPr>
                <w:rFonts w:ascii="Calibri" w:eastAsia="Times New Roman" w:hAnsi="Calibri" w:cs="Calibri"/>
                <w:color w:val="000000"/>
              </w:rPr>
              <w:t>Taxa de mortalidade</w:t>
            </w:r>
            <w:r w:rsidRPr="00496F1D">
              <w:rPr>
                <w:rFonts w:ascii="Calibri" w:eastAsia="Times New Roman" w:hAnsi="Calibri" w:cs="Calibri"/>
                <w:color w:val="000000"/>
              </w:rPr>
              <w:br/>
              <w:t>mar/2020 - mar/2021</w:t>
            </w:r>
            <w:r w:rsidRPr="00496F1D">
              <w:rPr>
                <w:rFonts w:ascii="Calibri" w:eastAsia="Times New Roman" w:hAnsi="Calibri" w:cs="Calibri"/>
                <w:color w:val="000000"/>
              </w:rPr>
              <w:br/>
              <w:t>N</w:t>
            </w:r>
            <w:r w:rsidRPr="00496F1D">
              <w:rPr>
                <w:rFonts w:ascii="Calibri" w:eastAsia="Times New Roman" w:hAnsi="Calibri" w:cs="Calibri"/>
                <w:color w:val="000000"/>
              </w:rPr>
              <w:br/>
              <w:t>%</w:t>
            </w:r>
          </w:p>
        </w:tc>
        <w:tc>
          <w:tcPr>
            <w:tcW w:w="1703" w:type="dxa"/>
            <w:hideMark/>
          </w:tcPr>
          <w:p w14:paraId="468E1D83" w14:textId="77777777" w:rsidR="00496F1D" w:rsidRPr="00496F1D" w:rsidRDefault="00496F1D" w:rsidP="00496F1D">
            <w:pPr>
              <w:jc w:val="center"/>
              <w:rPr>
                <w:rFonts w:ascii="Calibri" w:eastAsia="Times New Roman" w:hAnsi="Calibri" w:cs="Calibri"/>
                <w:color w:val="000000"/>
              </w:rPr>
            </w:pPr>
            <w:r w:rsidRPr="00496F1D">
              <w:rPr>
                <w:rFonts w:ascii="Calibri" w:eastAsia="Times New Roman" w:hAnsi="Calibri" w:cs="Calibri"/>
                <w:color w:val="000000"/>
              </w:rPr>
              <w:t>Variação entre os dois períodos</w:t>
            </w:r>
            <w:r w:rsidRPr="00496F1D">
              <w:rPr>
                <w:rFonts w:ascii="Calibri" w:eastAsia="Times New Roman" w:hAnsi="Calibri" w:cs="Calibri"/>
                <w:color w:val="000000"/>
              </w:rPr>
              <w:br/>
              <w:t>N</w:t>
            </w:r>
            <w:r w:rsidRPr="00496F1D">
              <w:rPr>
                <w:rFonts w:ascii="Calibri" w:eastAsia="Times New Roman" w:hAnsi="Calibri" w:cs="Calibri"/>
                <w:color w:val="000000"/>
              </w:rPr>
              <w:br/>
              <w:t>%</w:t>
            </w:r>
          </w:p>
        </w:tc>
      </w:tr>
      <w:tr w:rsidR="00496F1D" w:rsidRPr="00496F1D" w14:paraId="6F1EC2AB" w14:textId="77777777" w:rsidTr="00496F1D">
        <w:trPr>
          <w:trHeight w:val="300"/>
        </w:trPr>
        <w:tc>
          <w:tcPr>
            <w:tcW w:w="2836" w:type="dxa"/>
            <w:noWrap/>
            <w:hideMark/>
          </w:tcPr>
          <w:p w14:paraId="3B57EB13"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I.   Algumas doenças infecciosas e parasitárias</w:t>
            </w:r>
          </w:p>
        </w:tc>
        <w:tc>
          <w:tcPr>
            <w:tcW w:w="2268" w:type="dxa"/>
            <w:noWrap/>
            <w:hideMark/>
          </w:tcPr>
          <w:p w14:paraId="709A8805"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158,46</w:t>
            </w:r>
          </w:p>
          <w:p w14:paraId="36E20B39" w14:textId="1697F36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16</w:t>
            </w:r>
            <w:r w:rsidR="00496F1D">
              <w:rPr>
                <w:rFonts w:ascii="Calibri" w:eastAsia="Times New Roman" w:hAnsi="Calibri" w:cs="Calibri"/>
                <w:color w:val="000000"/>
              </w:rPr>
              <w:t>%</w:t>
            </w:r>
          </w:p>
        </w:tc>
        <w:tc>
          <w:tcPr>
            <w:tcW w:w="2268" w:type="dxa"/>
            <w:noWrap/>
            <w:hideMark/>
          </w:tcPr>
          <w:p w14:paraId="5152641E"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232,17</w:t>
            </w:r>
          </w:p>
          <w:p w14:paraId="18D562F3" w14:textId="0EB5F51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11</w:t>
            </w:r>
            <w:r w:rsidR="00496F1D">
              <w:rPr>
                <w:rFonts w:ascii="Calibri" w:eastAsia="Times New Roman" w:hAnsi="Calibri" w:cs="Calibri"/>
                <w:color w:val="000000"/>
              </w:rPr>
              <w:t>%</w:t>
            </w:r>
          </w:p>
        </w:tc>
        <w:tc>
          <w:tcPr>
            <w:tcW w:w="1703" w:type="dxa"/>
            <w:noWrap/>
            <w:hideMark/>
          </w:tcPr>
          <w:p w14:paraId="01350297"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73,71</w:t>
            </w:r>
          </w:p>
          <w:p w14:paraId="4D41C491" w14:textId="5C4A4C1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47</w:t>
            </w:r>
            <w:r w:rsidR="00496F1D">
              <w:rPr>
                <w:rFonts w:ascii="Calibri" w:eastAsia="Times New Roman" w:hAnsi="Calibri" w:cs="Calibri"/>
                <w:color w:val="000000"/>
              </w:rPr>
              <w:t>%</w:t>
            </w:r>
          </w:p>
        </w:tc>
      </w:tr>
      <w:tr w:rsidR="00496F1D" w:rsidRPr="00496F1D" w14:paraId="16AC2483" w14:textId="77777777" w:rsidTr="00496F1D">
        <w:trPr>
          <w:trHeight w:val="300"/>
        </w:trPr>
        <w:tc>
          <w:tcPr>
            <w:tcW w:w="2836" w:type="dxa"/>
            <w:noWrap/>
            <w:hideMark/>
          </w:tcPr>
          <w:p w14:paraId="0A1F0BB7"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II.  Neoplasias (tumores)</w:t>
            </w:r>
          </w:p>
        </w:tc>
        <w:tc>
          <w:tcPr>
            <w:tcW w:w="2268" w:type="dxa"/>
            <w:noWrap/>
            <w:hideMark/>
          </w:tcPr>
          <w:p w14:paraId="34102664"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106,07</w:t>
            </w:r>
          </w:p>
          <w:p w14:paraId="64112D0A" w14:textId="416BC4C5"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11</w:t>
            </w:r>
            <w:r w:rsidR="00496F1D">
              <w:rPr>
                <w:rFonts w:ascii="Calibri" w:eastAsia="Times New Roman" w:hAnsi="Calibri" w:cs="Calibri"/>
                <w:color w:val="000000"/>
              </w:rPr>
              <w:t>%</w:t>
            </w:r>
          </w:p>
        </w:tc>
        <w:tc>
          <w:tcPr>
            <w:tcW w:w="2268" w:type="dxa"/>
            <w:noWrap/>
            <w:hideMark/>
          </w:tcPr>
          <w:p w14:paraId="3EB6C50F"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118,03</w:t>
            </w:r>
          </w:p>
          <w:p w14:paraId="01F9D65E" w14:textId="23CC8F1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9</w:t>
            </w:r>
            <w:r w:rsidR="00496F1D">
              <w:rPr>
                <w:rFonts w:ascii="Calibri" w:eastAsia="Times New Roman" w:hAnsi="Calibri" w:cs="Calibri"/>
                <w:color w:val="000000"/>
              </w:rPr>
              <w:t>%</w:t>
            </w:r>
          </w:p>
        </w:tc>
        <w:tc>
          <w:tcPr>
            <w:tcW w:w="1703" w:type="dxa"/>
            <w:noWrap/>
            <w:hideMark/>
          </w:tcPr>
          <w:p w14:paraId="0ADB543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11,96</w:t>
            </w:r>
          </w:p>
          <w:p w14:paraId="68A17FAE" w14:textId="42C1657F"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11</w:t>
            </w:r>
            <w:r w:rsidR="00496F1D">
              <w:rPr>
                <w:rFonts w:ascii="Calibri" w:eastAsia="Times New Roman" w:hAnsi="Calibri" w:cs="Calibri"/>
                <w:color w:val="000000"/>
              </w:rPr>
              <w:t>%</w:t>
            </w:r>
          </w:p>
        </w:tc>
      </w:tr>
      <w:tr w:rsidR="00496F1D" w:rsidRPr="00496F1D" w14:paraId="143613C9" w14:textId="77777777" w:rsidTr="00496F1D">
        <w:trPr>
          <w:trHeight w:val="300"/>
        </w:trPr>
        <w:tc>
          <w:tcPr>
            <w:tcW w:w="2836" w:type="dxa"/>
            <w:noWrap/>
            <w:hideMark/>
          </w:tcPr>
          <w:p w14:paraId="65016817"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 xml:space="preserve">III. Doenças sangue órgãos </w:t>
            </w:r>
            <w:proofErr w:type="spellStart"/>
            <w:r w:rsidRPr="00496F1D">
              <w:rPr>
                <w:rFonts w:ascii="Calibri" w:eastAsia="Times New Roman" w:hAnsi="Calibri" w:cs="Calibri"/>
                <w:color w:val="000000"/>
              </w:rPr>
              <w:t>hemat</w:t>
            </w:r>
            <w:proofErr w:type="spellEnd"/>
            <w:r w:rsidRPr="00496F1D">
              <w:rPr>
                <w:rFonts w:ascii="Calibri" w:eastAsia="Times New Roman" w:hAnsi="Calibri" w:cs="Calibri"/>
                <w:color w:val="000000"/>
              </w:rPr>
              <w:t xml:space="preserve"> e </w:t>
            </w:r>
            <w:proofErr w:type="spellStart"/>
            <w:r w:rsidRPr="00496F1D">
              <w:rPr>
                <w:rFonts w:ascii="Calibri" w:eastAsia="Times New Roman" w:hAnsi="Calibri" w:cs="Calibri"/>
                <w:color w:val="000000"/>
              </w:rPr>
              <w:t>transt</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imunitár</w:t>
            </w:r>
            <w:proofErr w:type="spellEnd"/>
          </w:p>
        </w:tc>
        <w:tc>
          <w:tcPr>
            <w:tcW w:w="2268" w:type="dxa"/>
            <w:noWrap/>
            <w:hideMark/>
          </w:tcPr>
          <w:p w14:paraId="707A64E0"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61,32</w:t>
            </w:r>
          </w:p>
          <w:p w14:paraId="02032488" w14:textId="5E68858B"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6</w:t>
            </w:r>
            <w:r w:rsidR="00496F1D">
              <w:rPr>
                <w:rFonts w:ascii="Calibri" w:eastAsia="Times New Roman" w:hAnsi="Calibri" w:cs="Calibri"/>
                <w:color w:val="000000"/>
              </w:rPr>
              <w:t>%</w:t>
            </w:r>
          </w:p>
        </w:tc>
        <w:tc>
          <w:tcPr>
            <w:tcW w:w="2268" w:type="dxa"/>
            <w:noWrap/>
            <w:hideMark/>
          </w:tcPr>
          <w:p w14:paraId="494E349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69,09</w:t>
            </w:r>
          </w:p>
          <w:p w14:paraId="4D9D37A4" w14:textId="2B4F7F1F"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w:t>
            </w:r>
            <w:r w:rsidR="00496F1D">
              <w:rPr>
                <w:rFonts w:ascii="Calibri" w:eastAsia="Times New Roman" w:hAnsi="Calibri" w:cs="Calibri"/>
                <w:color w:val="000000"/>
              </w:rPr>
              <w:t>%</w:t>
            </w:r>
          </w:p>
        </w:tc>
        <w:tc>
          <w:tcPr>
            <w:tcW w:w="1703" w:type="dxa"/>
            <w:noWrap/>
            <w:hideMark/>
          </w:tcPr>
          <w:p w14:paraId="1812DA03"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7,77</w:t>
            </w:r>
          </w:p>
          <w:p w14:paraId="236C7E4D" w14:textId="3E5F8971"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13</w:t>
            </w:r>
            <w:r w:rsidR="00496F1D">
              <w:rPr>
                <w:rFonts w:ascii="Calibri" w:eastAsia="Times New Roman" w:hAnsi="Calibri" w:cs="Calibri"/>
                <w:color w:val="000000"/>
              </w:rPr>
              <w:t>%</w:t>
            </w:r>
          </w:p>
        </w:tc>
      </w:tr>
      <w:tr w:rsidR="00496F1D" w:rsidRPr="00496F1D" w14:paraId="5E6AFE1D" w14:textId="77777777" w:rsidTr="00496F1D">
        <w:trPr>
          <w:trHeight w:val="300"/>
        </w:trPr>
        <w:tc>
          <w:tcPr>
            <w:tcW w:w="2836" w:type="dxa"/>
            <w:noWrap/>
            <w:hideMark/>
          </w:tcPr>
          <w:p w14:paraId="79A1C841"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IV.  Doenças endócrinas nutricionais e metabólicas</w:t>
            </w:r>
          </w:p>
        </w:tc>
        <w:tc>
          <w:tcPr>
            <w:tcW w:w="2268" w:type="dxa"/>
            <w:noWrap/>
            <w:hideMark/>
          </w:tcPr>
          <w:p w14:paraId="0FC88548"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70,37</w:t>
            </w:r>
          </w:p>
          <w:p w14:paraId="4E8C5555" w14:textId="6AD8066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7</w:t>
            </w:r>
            <w:r w:rsidR="00496F1D">
              <w:rPr>
                <w:rFonts w:ascii="Calibri" w:eastAsia="Times New Roman" w:hAnsi="Calibri" w:cs="Calibri"/>
                <w:color w:val="000000"/>
              </w:rPr>
              <w:t>%</w:t>
            </w:r>
          </w:p>
        </w:tc>
        <w:tc>
          <w:tcPr>
            <w:tcW w:w="2268" w:type="dxa"/>
            <w:noWrap/>
            <w:hideMark/>
          </w:tcPr>
          <w:p w14:paraId="294CD6EC"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82,48</w:t>
            </w:r>
          </w:p>
          <w:p w14:paraId="78B2711F" w14:textId="49FDDE8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6</w:t>
            </w:r>
            <w:r w:rsidR="00496F1D">
              <w:rPr>
                <w:rFonts w:ascii="Calibri" w:eastAsia="Times New Roman" w:hAnsi="Calibri" w:cs="Calibri"/>
                <w:color w:val="000000"/>
              </w:rPr>
              <w:t>%</w:t>
            </w:r>
          </w:p>
        </w:tc>
        <w:tc>
          <w:tcPr>
            <w:tcW w:w="1703" w:type="dxa"/>
            <w:noWrap/>
            <w:hideMark/>
          </w:tcPr>
          <w:p w14:paraId="2903DF15"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12,11</w:t>
            </w:r>
          </w:p>
          <w:p w14:paraId="70AAAAE5" w14:textId="15CA58AE"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17</w:t>
            </w:r>
            <w:r w:rsidR="00496F1D">
              <w:rPr>
                <w:rFonts w:ascii="Calibri" w:eastAsia="Times New Roman" w:hAnsi="Calibri" w:cs="Calibri"/>
                <w:color w:val="000000"/>
              </w:rPr>
              <w:t>%</w:t>
            </w:r>
          </w:p>
        </w:tc>
      </w:tr>
      <w:tr w:rsidR="00496F1D" w:rsidRPr="00496F1D" w14:paraId="718FB372" w14:textId="77777777" w:rsidTr="00496F1D">
        <w:trPr>
          <w:trHeight w:val="300"/>
        </w:trPr>
        <w:tc>
          <w:tcPr>
            <w:tcW w:w="2836" w:type="dxa"/>
            <w:noWrap/>
            <w:hideMark/>
          </w:tcPr>
          <w:p w14:paraId="49A3802B"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V.   Transtornos mentais e comportamentais</w:t>
            </w:r>
          </w:p>
        </w:tc>
        <w:tc>
          <w:tcPr>
            <w:tcW w:w="2268" w:type="dxa"/>
            <w:noWrap/>
            <w:hideMark/>
          </w:tcPr>
          <w:p w14:paraId="05C84F0E"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6,54</w:t>
            </w:r>
          </w:p>
          <w:p w14:paraId="2078BF19" w14:textId="7C798BC1"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2268" w:type="dxa"/>
            <w:noWrap/>
            <w:hideMark/>
          </w:tcPr>
          <w:p w14:paraId="51639C5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7,55</w:t>
            </w:r>
          </w:p>
          <w:p w14:paraId="5347F4E0" w14:textId="6354DF0D"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1703" w:type="dxa"/>
            <w:noWrap/>
            <w:hideMark/>
          </w:tcPr>
          <w:p w14:paraId="29CDA0D4"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1,01</w:t>
            </w:r>
          </w:p>
          <w:p w14:paraId="0A8A2A91" w14:textId="61AEA9A4"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15</w:t>
            </w:r>
            <w:r w:rsidR="00496F1D">
              <w:rPr>
                <w:rFonts w:ascii="Calibri" w:eastAsia="Times New Roman" w:hAnsi="Calibri" w:cs="Calibri"/>
                <w:color w:val="000000"/>
              </w:rPr>
              <w:t>%</w:t>
            </w:r>
          </w:p>
        </w:tc>
      </w:tr>
      <w:tr w:rsidR="00496F1D" w:rsidRPr="00496F1D" w14:paraId="1E6CCD67" w14:textId="77777777" w:rsidTr="00496F1D">
        <w:trPr>
          <w:trHeight w:val="300"/>
        </w:trPr>
        <w:tc>
          <w:tcPr>
            <w:tcW w:w="2836" w:type="dxa"/>
            <w:noWrap/>
            <w:hideMark/>
          </w:tcPr>
          <w:p w14:paraId="30E41427"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VI.  Doenças do sistema nervoso</w:t>
            </w:r>
          </w:p>
        </w:tc>
        <w:tc>
          <w:tcPr>
            <w:tcW w:w="2268" w:type="dxa"/>
            <w:noWrap/>
            <w:hideMark/>
          </w:tcPr>
          <w:p w14:paraId="30C226CD"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56,88</w:t>
            </w:r>
          </w:p>
          <w:p w14:paraId="38E5D9D6" w14:textId="57395277"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6</w:t>
            </w:r>
            <w:r w:rsidR="00496F1D">
              <w:rPr>
                <w:rFonts w:ascii="Calibri" w:eastAsia="Times New Roman" w:hAnsi="Calibri" w:cs="Calibri"/>
                <w:color w:val="000000"/>
              </w:rPr>
              <w:t>%</w:t>
            </w:r>
          </w:p>
        </w:tc>
        <w:tc>
          <w:tcPr>
            <w:tcW w:w="2268" w:type="dxa"/>
            <w:noWrap/>
            <w:hideMark/>
          </w:tcPr>
          <w:p w14:paraId="4781AD70" w14:textId="24ED8765"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68,71</w:t>
            </w:r>
          </w:p>
          <w:p w14:paraId="64E2AD06" w14:textId="61826B2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w:t>
            </w:r>
            <w:r w:rsidR="00496F1D">
              <w:rPr>
                <w:rFonts w:ascii="Calibri" w:eastAsia="Times New Roman" w:hAnsi="Calibri" w:cs="Calibri"/>
                <w:color w:val="000000"/>
              </w:rPr>
              <w:t>%</w:t>
            </w:r>
          </w:p>
        </w:tc>
        <w:tc>
          <w:tcPr>
            <w:tcW w:w="1703" w:type="dxa"/>
            <w:noWrap/>
            <w:hideMark/>
          </w:tcPr>
          <w:p w14:paraId="281FD38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11,83</w:t>
            </w:r>
          </w:p>
          <w:p w14:paraId="6714A78E" w14:textId="44044AF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21</w:t>
            </w:r>
            <w:r w:rsidR="00496F1D">
              <w:rPr>
                <w:rFonts w:ascii="Calibri" w:eastAsia="Times New Roman" w:hAnsi="Calibri" w:cs="Calibri"/>
                <w:color w:val="000000"/>
              </w:rPr>
              <w:t>%</w:t>
            </w:r>
          </w:p>
        </w:tc>
      </w:tr>
      <w:tr w:rsidR="00496F1D" w:rsidRPr="00496F1D" w14:paraId="3A7CA7B3" w14:textId="77777777" w:rsidTr="00496F1D">
        <w:trPr>
          <w:trHeight w:val="300"/>
        </w:trPr>
        <w:tc>
          <w:tcPr>
            <w:tcW w:w="2836" w:type="dxa"/>
            <w:noWrap/>
            <w:hideMark/>
          </w:tcPr>
          <w:p w14:paraId="4F10A196"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VII. Doenças do olho e anexos</w:t>
            </w:r>
          </w:p>
        </w:tc>
        <w:tc>
          <w:tcPr>
            <w:tcW w:w="2268" w:type="dxa"/>
            <w:noWrap/>
            <w:hideMark/>
          </w:tcPr>
          <w:p w14:paraId="7F2E3957"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0,26</w:t>
            </w:r>
          </w:p>
          <w:p w14:paraId="4C13E809" w14:textId="4D1D7AB8"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2268" w:type="dxa"/>
            <w:noWrap/>
            <w:hideMark/>
          </w:tcPr>
          <w:p w14:paraId="0E982B41"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0,28</w:t>
            </w:r>
          </w:p>
          <w:p w14:paraId="32B9745E" w14:textId="53077E3A"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1703" w:type="dxa"/>
            <w:noWrap/>
            <w:hideMark/>
          </w:tcPr>
          <w:p w14:paraId="628482C3"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0,02</w:t>
            </w:r>
          </w:p>
          <w:p w14:paraId="0FB1FE7C" w14:textId="73BBA83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8</w:t>
            </w:r>
            <w:r w:rsidR="00496F1D">
              <w:rPr>
                <w:rFonts w:ascii="Calibri" w:eastAsia="Times New Roman" w:hAnsi="Calibri" w:cs="Calibri"/>
                <w:color w:val="000000"/>
              </w:rPr>
              <w:t>%</w:t>
            </w:r>
          </w:p>
        </w:tc>
      </w:tr>
      <w:tr w:rsidR="00496F1D" w:rsidRPr="00496F1D" w14:paraId="66A21F9F" w14:textId="77777777" w:rsidTr="00496F1D">
        <w:trPr>
          <w:trHeight w:val="300"/>
        </w:trPr>
        <w:tc>
          <w:tcPr>
            <w:tcW w:w="2836" w:type="dxa"/>
            <w:noWrap/>
            <w:hideMark/>
          </w:tcPr>
          <w:p w14:paraId="5B3A50E6" w14:textId="77777777" w:rsidR="00496F1D" w:rsidRPr="00496F1D" w:rsidRDefault="00496F1D" w:rsidP="00496F1D">
            <w:pPr>
              <w:rPr>
                <w:rFonts w:ascii="Calibri" w:eastAsia="Times New Roman" w:hAnsi="Calibri" w:cs="Calibri"/>
                <w:color w:val="000000"/>
              </w:rPr>
            </w:pPr>
            <w:proofErr w:type="spellStart"/>
            <w:r w:rsidRPr="00496F1D">
              <w:rPr>
                <w:rFonts w:ascii="Calibri" w:eastAsia="Times New Roman" w:hAnsi="Calibri" w:cs="Calibri"/>
                <w:color w:val="000000"/>
              </w:rPr>
              <w:t>VIII.Doenças</w:t>
            </w:r>
            <w:proofErr w:type="spellEnd"/>
            <w:r w:rsidRPr="00496F1D">
              <w:rPr>
                <w:rFonts w:ascii="Calibri" w:eastAsia="Times New Roman" w:hAnsi="Calibri" w:cs="Calibri"/>
                <w:color w:val="000000"/>
              </w:rPr>
              <w:t xml:space="preserve"> do ouvido e da apófise </w:t>
            </w:r>
            <w:proofErr w:type="spellStart"/>
            <w:r w:rsidRPr="00496F1D">
              <w:rPr>
                <w:rFonts w:ascii="Calibri" w:eastAsia="Times New Roman" w:hAnsi="Calibri" w:cs="Calibri"/>
                <w:color w:val="000000"/>
              </w:rPr>
              <w:t>mastóide</w:t>
            </w:r>
            <w:proofErr w:type="spellEnd"/>
          </w:p>
        </w:tc>
        <w:tc>
          <w:tcPr>
            <w:tcW w:w="2268" w:type="dxa"/>
            <w:noWrap/>
            <w:hideMark/>
          </w:tcPr>
          <w:p w14:paraId="6D8BC761"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2,29</w:t>
            </w:r>
          </w:p>
          <w:p w14:paraId="673E5D58" w14:textId="7EF9B65D"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2268" w:type="dxa"/>
            <w:noWrap/>
            <w:hideMark/>
          </w:tcPr>
          <w:p w14:paraId="122C5D19"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3,53</w:t>
            </w:r>
          </w:p>
          <w:p w14:paraId="5E8FF858" w14:textId="12FEC63B"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1703" w:type="dxa"/>
            <w:noWrap/>
            <w:hideMark/>
          </w:tcPr>
          <w:p w14:paraId="1BD987C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1,24</w:t>
            </w:r>
          </w:p>
          <w:p w14:paraId="54374014" w14:textId="74FDB843"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54</w:t>
            </w:r>
            <w:r w:rsidR="00496F1D">
              <w:rPr>
                <w:rFonts w:ascii="Calibri" w:eastAsia="Times New Roman" w:hAnsi="Calibri" w:cs="Calibri"/>
                <w:color w:val="000000"/>
              </w:rPr>
              <w:t>%</w:t>
            </w:r>
          </w:p>
        </w:tc>
      </w:tr>
      <w:tr w:rsidR="00496F1D" w:rsidRPr="00496F1D" w14:paraId="71F7C3DC" w14:textId="77777777" w:rsidTr="00496F1D">
        <w:trPr>
          <w:trHeight w:val="300"/>
        </w:trPr>
        <w:tc>
          <w:tcPr>
            <w:tcW w:w="2836" w:type="dxa"/>
            <w:noWrap/>
            <w:hideMark/>
          </w:tcPr>
          <w:p w14:paraId="74A4073A"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IX.  Doenças do aparelho circulatório</w:t>
            </w:r>
          </w:p>
        </w:tc>
        <w:tc>
          <w:tcPr>
            <w:tcW w:w="2268" w:type="dxa"/>
            <w:noWrap/>
            <w:hideMark/>
          </w:tcPr>
          <w:p w14:paraId="1F62759F"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108,57</w:t>
            </w:r>
          </w:p>
          <w:p w14:paraId="53B62E8F" w14:textId="48BB8D7D"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11</w:t>
            </w:r>
            <w:r w:rsidR="00496F1D">
              <w:rPr>
                <w:rFonts w:ascii="Calibri" w:eastAsia="Times New Roman" w:hAnsi="Calibri" w:cs="Calibri"/>
                <w:color w:val="000000"/>
              </w:rPr>
              <w:t>%</w:t>
            </w:r>
          </w:p>
        </w:tc>
        <w:tc>
          <w:tcPr>
            <w:tcW w:w="2268" w:type="dxa"/>
            <w:noWrap/>
            <w:hideMark/>
          </w:tcPr>
          <w:p w14:paraId="2E5C665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127,18</w:t>
            </w:r>
          </w:p>
          <w:p w14:paraId="0F2512C5" w14:textId="391919C7"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10</w:t>
            </w:r>
            <w:r w:rsidR="00496F1D">
              <w:rPr>
                <w:rFonts w:ascii="Calibri" w:eastAsia="Times New Roman" w:hAnsi="Calibri" w:cs="Calibri"/>
                <w:color w:val="000000"/>
              </w:rPr>
              <w:t>%</w:t>
            </w:r>
          </w:p>
        </w:tc>
        <w:tc>
          <w:tcPr>
            <w:tcW w:w="1703" w:type="dxa"/>
            <w:noWrap/>
            <w:hideMark/>
          </w:tcPr>
          <w:p w14:paraId="2B783D0F"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18,61</w:t>
            </w:r>
          </w:p>
          <w:p w14:paraId="1C4DDBD9" w14:textId="500D0299"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17</w:t>
            </w:r>
            <w:r w:rsidR="00496F1D">
              <w:rPr>
                <w:rFonts w:ascii="Calibri" w:eastAsia="Times New Roman" w:hAnsi="Calibri" w:cs="Calibri"/>
                <w:color w:val="000000"/>
              </w:rPr>
              <w:t>%</w:t>
            </w:r>
          </w:p>
        </w:tc>
      </w:tr>
      <w:tr w:rsidR="00496F1D" w:rsidRPr="00496F1D" w14:paraId="5A6F7772" w14:textId="77777777" w:rsidTr="00496F1D">
        <w:trPr>
          <w:trHeight w:val="300"/>
        </w:trPr>
        <w:tc>
          <w:tcPr>
            <w:tcW w:w="2836" w:type="dxa"/>
            <w:noWrap/>
            <w:hideMark/>
          </w:tcPr>
          <w:p w14:paraId="4921B952"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X.   Doenças do aparelho respiratório</w:t>
            </w:r>
          </w:p>
        </w:tc>
        <w:tc>
          <w:tcPr>
            <w:tcW w:w="2268" w:type="dxa"/>
            <w:noWrap/>
            <w:hideMark/>
          </w:tcPr>
          <w:p w14:paraId="1FCFCC88"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109,18</w:t>
            </w:r>
          </w:p>
          <w:p w14:paraId="2DCF55EF" w14:textId="69DA6C8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11</w:t>
            </w:r>
            <w:r w:rsidR="00496F1D">
              <w:rPr>
                <w:rFonts w:ascii="Calibri" w:eastAsia="Times New Roman" w:hAnsi="Calibri" w:cs="Calibri"/>
                <w:color w:val="000000"/>
              </w:rPr>
              <w:t>%</w:t>
            </w:r>
          </w:p>
        </w:tc>
        <w:tc>
          <w:tcPr>
            <w:tcW w:w="2268" w:type="dxa"/>
            <w:noWrap/>
            <w:hideMark/>
          </w:tcPr>
          <w:p w14:paraId="6F1091E0"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169,6</w:t>
            </w:r>
          </w:p>
          <w:p w14:paraId="06206ED2" w14:textId="3C79C72E"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13</w:t>
            </w:r>
            <w:r w:rsidR="00496F1D">
              <w:rPr>
                <w:rFonts w:ascii="Calibri" w:eastAsia="Times New Roman" w:hAnsi="Calibri" w:cs="Calibri"/>
                <w:color w:val="000000"/>
              </w:rPr>
              <w:t>%</w:t>
            </w:r>
          </w:p>
        </w:tc>
        <w:tc>
          <w:tcPr>
            <w:tcW w:w="1703" w:type="dxa"/>
            <w:noWrap/>
            <w:hideMark/>
          </w:tcPr>
          <w:p w14:paraId="22AE7F52" w14:textId="6B3D1012"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60,42</w:t>
            </w:r>
          </w:p>
          <w:p w14:paraId="25481C39" w14:textId="7B0AB05A"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55</w:t>
            </w:r>
            <w:r w:rsidR="00496F1D">
              <w:rPr>
                <w:rFonts w:ascii="Calibri" w:eastAsia="Times New Roman" w:hAnsi="Calibri" w:cs="Calibri"/>
                <w:color w:val="000000"/>
              </w:rPr>
              <w:t>%</w:t>
            </w:r>
          </w:p>
        </w:tc>
      </w:tr>
      <w:tr w:rsidR="00496F1D" w:rsidRPr="00496F1D" w14:paraId="13DF94EA" w14:textId="77777777" w:rsidTr="00496F1D">
        <w:trPr>
          <w:trHeight w:val="300"/>
        </w:trPr>
        <w:tc>
          <w:tcPr>
            <w:tcW w:w="2836" w:type="dxa"/>
            <w:noWrap/>
            <w:hideMark/>
          </w:tcPr>
          <w:p w14:paraId="014627DC"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XI.  Doenças do aparelho digestivo</w:t>
            </w:r>
          </w:p>
        </w:tc>
        <w:tc>
          <w:tcPr>
            <w:tcW w:w="2268" w:type="dxa"/>
            <w:noWrap/>
            <w:hideMark/>
          </w:tcPr>
          <w:p w14:paraId="0C10D50B"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41,46</w:t>
            </w:r>
          </w:p>
          <w:p w14:paraId="7B73D56C" w14:textId="7B814E9A"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w:t>
            </w:r>
            <w:r w:rsidR="00496F1D">
              <w:rPr>
                <w:rFonts w:ascii="Calibri" w:eastAsia="Times New Roman" w:hAnsi="Calibri" w:cs="Calibri"/>
                <w:color w:val="000000"/>
              </w:rPr>
              <w:t>%</w:t>
            </w:r>
          </w:p>
        </w:tc>
        <w:tc>
          <w:tcPr>
            <w:tcW w:w="2268" w:type="dxa"/>
            <w:noWrap/>
            <w:hideMark/>
          </w:tcPr>
          <w:p w14:paraId="4121ECD4"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57,95</w:t>
            </w:r>
          </w:p>
          <w:p w14:paraId="25CF7A69" w14:textId="32285673"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w:t>
            </w:r>
            <w:r w:rsidR="00496F1D">
              <w:rPr>
                <w:rFonts w:ascii="Calibri" w:eastAsia="Times New Roman" w:hAnsi="Calibri" w:cs="Calibri"/>
                <w:color w:val="000000"/>
              </w:rPr>
              <w:t>%</w:t>
            </w:r>
          </w:p>
        </w:tc>
        <w:tc>
          <w:tcPr>
            <w:tcW w:w="1703" w:type="dxa"/>
            <w:noWrap/>
            <w:hideMark/>
          </w:tcPr>
          <w:p w14:paraId="0467BDC7"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16,49</w:t>
            </w:r>
          </w:p>
          <w:p w14:paraId="2397DBFF" w14:textId="31092B33"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40</w:t>
            </w:r>
            <w:r w:rsidR="00496F1D">
              <w:rPr>
                <w:rFonts w:ascii="Calibri" w:eastAsia="Times New Roman" w:hAnsi="Calibri" w:cs="Calibri"/>
                <w:color w:val="000000"/>
              </w:rPr>
              <w:t>%</w:t>
            </w:r>
          </w:p>
        </w:tc>
      </w:tr>
      <w:tr w:rsidR="00496F1D" w:rsidRPr="00496F1D" w14:paraId="7B195723" w14:textId="77777777" w:rsidTr="00496F1D">
        <w:trPr>
          <w:trHeight w:val="300"/>
        </w:trPr>
        <w:tc>
          <w:tcPr>
            <w:tcW w:w="2836" w:type="dxa"/>
            <w:noWrap/>
            <w:hideMark/>
          </w:tcPr>
          <w:p w14:paraId="03608F3B"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XII. Doenças da pele e do tecido subcutâneo</w:t>
            </w:r>
          </w:p>
        </w:tc>
        <w:tc>
          <w:tcPr>
            <w:tcW w:w="2268" w:type="dxa"/>
            <w:noWrap/>
            <w:hideMark/>
          </w:tcPr>
          <w:p w14:paraId="63E7B3A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19,21</w:t>
            </w:r>
          </w:p>
          <w:p w14:paraId="2A638315" w14:textId="2AB15D9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2</w:t>
            </w:r>
            <w:r w:rsidR="00496F1D">
              <w:rPr>
                <w:rFonts w:ascii="Calibri" w:eastAsia="Times New Roman" w:hAnsi="Calibri" w:cs="Calibri"/>
                <w:color w:val="000000"/>
              </w:rPr>
              <w:t>%</w:t>
            </w:r>
          </w:p>
        </w:tc>
        <w:tc>
          <w:tcPr>
            <w:tcW w:w="2268" w:type="dxa"/>
            <w:noWrap/>
            <w:hideMark/>
          </w:tcPr>
          <w:p w14:paraId="19AA1643"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26,83</w:t>
            </w:r>
          </w:p>
          <w:p w14:paraId="46A87C65" w14:textId="7993B233"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2</w:t>
            </w:r>
            <w:r w:rsidR="00496F1D">
              <w:rPr>
                <w:rFonts w:ascii="Calibri" w:eastAsia="Times New Roman" w:hAnsi="Calibri" w:cs="Calibri"/>
                <w:color w:val="000000"/>
              </w:rPr>
              <w:t>%</w:t>
            </w:r>
          </w:p>
        </w:tc>
        <w:tc>
          <w:tcPr>
            <w:tcW w:w="1703" w:type="dxa"/>
            <w:noWrap/>
            <w:hideMark/>
          </w:tcPr>
          <w:p w14:paraId="22AFB8E5"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7,62</w:t>
            </w:r>
          </w:p>
          <w:p w14:paraId="48B8F845" w14:textId="5183C6C0"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40</w:t>
            </w:r>
            <w:r w:rsidR="00496F1D">
              <w:rPr>
                <w:rFonts w:ascii="Calibri" w:eastAsia="Times New Roman" w:hAnsi="Calibri" w:cs="Calibri"/>
                <w:color w:val="000000"/>
              </w:rPr>
              <w:t>%</w:t>
            </w:r>
          </w:p>
        </w:tc>
      </w:tr>
      <w:tr w:rsidR="00496F1D" w:rsidRPr="00496F1D" w14:paraId="16EA3BC1" w14:textId="77777777" w:rsidTr="00496F1D">
        <w:trPr>
          <w:trHeight w:val="300"/>
        </w:trPr>
        <w:tc>
          <w:tcPr>
            <w:tcW w:w="2836" w:type="dxa"/>
            <w:noWrap/>
            <w:hideMark/>
          </w:tcPr>
          <w:p w14:paraId="1630E562" w14:textId="77777777" w:rsidR="00496F1D" w:rsidRPr="00496F1D" w:rsidRDefault="00496F1D" w:rsidP="00496F1D">
            <w:pPr>
              <w:rPr>
                <w:rFonts w:ascii="Calibri" w:eastAsia="Times New Roman" w:hAnsi="Calibri" w:cs="Calibri"/>
                <w:color w:val="000000"/>
              </w:rPr>
            </w:pPr>
            <w:proofErr w:type="spellStart"/>
            <w:r w:rsidRPr="00496F1D">
              <w:rPr>
                <w:rFonts w:ascii="Calibri" w:eastAsia="Times New Roman" w:hAnsi="Calibri" w:cs="Calibri"/>
                <w:color w:val="000000"/>
              </w:rPr>
              <w:t>XIII.Doenças</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sist</w:t>
            </w:r>
            <w:proofErr w:type="spellEnd"/>
            <w:r w:rsidRPr="00496F1D">
              <w:rPr>
                <w:rFonts w:ascii="Calibri" w:eastAsia="Times New Roman" w:hAnsi="Calibri" w:cs="Calibri"/>
                <w:color w:val="000000"/>
              </w:rPr>
              <w:t xml:space="preserve"> osteomuscular e tec conjuntivo</w:t>
            </w:r>
          </w:p>
        </w:tc>
        <w:tc>
          <w:tcPr>
            <w:tcW w:w="2268" w:type="dxa"/>
            <w:noWrap/>
            <w:hideMark/>
          </w:tcPr>
          <w:p w14:paraId="367EF0B7" w14:textId="045D94F0"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7,86</w:t>
            </w:r>
          </w:p>
          <w:p w14:paraId="6CDCAA41" w14:textId="715F1B47"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2268" w:type="dxa"/>
            <w:noWrap/>
            <w:hideMark/>
          </w:tcPr>
          <w:p w14:paraId="237781EB"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12,02</w:t>
            </w:r>
          </w:p>
          <w:p w14:paraId="687C6EA8" w14:textId="4F4DDFE8"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1703" w:type="dxa"/>
            <w:noWrap/>
            <w:hideMark/>
          </w:tcPr>
          <w:p w14:paraId="3062C4D0"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4,16</w:t>
            </w:r>
          </w:p>
          <w:p w14:paraId="08AE045E" w14:textId="294199E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53</w:t>
            </w:r>
            <w:r w:rsidR="00496F1D">
              <w:rPr>
                <w:rFonts w:ascii="Calibri" w:eastAsia="Times New Roman" w:hAnsi="Calibri" w:cs="Calibri"/>
                <w:color w:val="000000"/>
              </w:rPr>
              <w:t>%</w:t>
            </w:r>
          </w:p>
        </w:tc>
      </w:tr>
      <w:tr w:rsidR="00496F1D" w:rsidRPr="00496F1D" w14:paraId="0A3BF979" w14:textId="77777777" w:rsidTr="00496F1D">
        <w:trPr>
          <w:trHeight w:val="300"/>
        </w:trPr>
        <w:tc>
          <w:tcPr>
            <w:tcW w:w="2836" w:type="dxa"/>
            <w:noWrap/>
            <w:hideMark/>
          </w:tcPr>
          <w:p w14:paraId="33031808"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XIV. Doenças do aparelho geniturinário</w:t>
            </w:r>
          </w:p>
        </w:tc>
        <w:tc>
          <w:tcPr>
            <w:tcW w:w="2268" w:type="dxa"/>
            <w:noWrap/>
            <w:hideMark/>
          </w:tcPr>
          <w:p w14:paraId="32C5D3C3"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39,09</w:t>
            </w:r>
          </w:p>
          <w:p w14:paraId="18BDB83C" w14:textId="68A654F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w:t>
            </w:r>
            <w:r w:rsidR="00496F1D">
              <w:rPr>
                <w:rFonts w:ascii="Calibri" w:eastAsia="Times New Roman" w:hAnsi="Calibri" w:cs="Calibri"/>
                <w:color w:val="000000"/>
              </w:rPr>
              <w:t>%</w:t>
            </w:r>
          </w:p>
        </w:tc>
        <w:tc>
          <w:tcPr>
            <w:tcW w:w="2268" w:type="dxa"/>
            <w:noWrap/>
            <w:hideMark/>
          </w:tcPr>
          <w:p w14:paraId="5452EF6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50,91</w:t>
            </w:r>
          </w:p>
          <w:p w14:paraId="41519AA8" w14:textId="469EA5DD"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w:t>
            </w:r>
            <w:r w:rsidR="00496F1D">
              <w:rPr>
                <w:rFonts w:ascii="Calibri" w:eastAsia="Times New Roman" w:hAnsi="Calibri" w:cs="Calibri"/>
                <w:color w:val="000000"/>
              </w:rPr>
              <w:t>%</w:t>
            </w:r>
          </w:p>
        </w:tc>
        <w:tc>
          <w:tcPr>
            <w:tcW w:w="1703" w:type="dxa"/>
            <w:noWrap/>
            <w:hideMark/>
          </w:tcPr>
          <w:p w14:paraId="59F7560B"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11,82</w:t>
            </w:r>
          </w:p>
          <w:p w14:paraId="72A6F618" w14:textId="6348310A"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30</w:t>
            </w:r>
            <w:r w:rsidR="00496F1D">
              <w:rPr>
                <w:rFonts w:ascii="Calibri" w:eastAsia="Times New Roman" w:hAnsi="Calibri" w:cs="Calibri"/>
                <w:color w:val="000000"/>
              </w:rPr>
              <w:t>%</w:t>
            </w:r>
          </w:p>
        </w:tc>
      </w:tr>
      <w:tr w:rsidR="00496F1D" w:rsidRPr="00496F1D" w14:paraId="44D297AD" w14:textId="77777777" w:rsidTr="00496F1D">
        <w:trPr>
          <w:trHeight w:val="300"/>
        </w:trPr>
        <w:tc>
          <w:tcPr>
            <w:tcW w:w="2836" w:type="dxa"/>
            <w:noWrap/>
            <w:hideMark/>
          </w:tcPr>
          <w:p w14:paraId="39DE4916"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lastRenderedPageBreak/>
              <w:t>XV.  Gravidez parto e puerpério</w:t>
            </w:r>
          </w:p>
        </w:tc>
        <w:tc>
          <w:tcPr>
            <w:tcW w:w="2268" w:type="dxa"/>
            <w:noWrap/>
            <w:hideMark/>
          </w:tcPr>
          <w:p w14:paraId="7D64C8E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0,45</w:t>
            </w:r>
          </w:p>
          <w:p w14:paraId="1FA69854" w14:textId="5015C651"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2268" w:type="dxa"/>
            <w:noWrap/>
            <w:hideMark/>
          </w:tcPr>
          <w:p w14:paraId="51B27042"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0,53</w:t>
            </w:r>
          </w:p>
          <w:p w14:paraId="552E7EFE" w14:textId="66A442A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0</w:t>
            </w:r>
            <w:r w:rsidR="00496F1D">
              <w:rPr>
                <w:rFonts w:ascii="Calibri" w:eastAsia="Times New Roman" w:hAnsi="Calibri" w:cs="Calibri"/>
                <w:color w:val="000000"/>
              </w:rPr>
              <w:t>%</w:t>
            </w:r>
          </w:p>
        </w:tc>
        <w:tc>
          <w:tcPr>
            <w:tcW w:w="1703" w:type="dxa"/>
            <w:noWrap/>
            <w:hideMark/>
          </w:tcPr>
          <w:p w14:paraId="145CF86D"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0,08</w:t>
            </w:r>
          </w:p>
          <w:p w14:paraId="73CAC41E" w14:textId="6420EB2E"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18</w:t>
            </w:r>
            <w:r w:rsidR="00496F1D">
              <w:rPr>
                <w:rFonts w:ascii="Calibri" w:eastAsia="Times New Roman" w:hAnsi="Calibri" w:cs="Calibri"/>
                <w:color w:val="000000"/>
              </w:rPr>
              <w:t>%</w:t>
            </w:r>
          </w:p>
        </w:tc>
      </w:tr>
      <w:tr w:rsidR="00496F1D" w:rsidRPr="00496F1D" w14:paraId="2A0C0BB0" w14:textId="77777777" w:rsidTr="00496F1D">
        <w:trPr>
          <w:trHeight w:val="300"/>
        </w:trPr>
        <w:tc>
          <w:tcPr>
            <w:tcW w:w="2836" w:type="dxa"/>
            <w:noWrap/>
            <w:hideMark/>
          </w:tcPr>
          <w:p w14:paraId="5E11AD86"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 xml:space="preserve">XVI. Algumas </w:t>
            </w:r>
            <w:proofErr w:type="spellStart"/>
            <w:r w:rsidRPr="00496F1D">
              <w:rPr>
                <w:rFonts w:ascii="Calibri" w:eastAsia="Times New Roman" w:hAnsi="Calibri" w:cs="Calibri"/>
                <w:color w:val="000000"/>
              </w:rPr>
              <w:t>afec</w:t>
            </w:r>
            <w:proofErr w:type="spellEnd"/>
            <w:r w:rsidRPr="00496F1D">
              <w:rPr>
                <w:rFonts w:ascii="Calibri" w:eastAsia="Times New Roman" w:hAnsi="Calibri" w:cs="Calibri"/>
                <w:color w:val="000000"/>
              </w:rPr>
              <w:t xml:space="preserve"> originadas no período perinatal</w:t>
            </w:r>
          </w:p>
        </w:tc>
        <w:tc>
          <w:tcPr>
            <w:tcW w:w="2268" w:type="dxa"/>
            <w:noWrap/>
            <w:hideMark/>
          </w:tcPr>
          <w:p w14:paraId="64CE7BA8"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47</w:t>
            </w:r>
          </w:p>
          <w:p w14:paraId="673ADA2C" w14:textId="6E65FBA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w:t>
            </w:r>
            <w:r w:rsidR="00496F1D">
              <w:rPr>
                <w:rFonts w:ascii="Calibri" w:eastAsia="Times New Roman" w:hAnsi="Calibri" w:cs="Calibri"/>
                <w:color w:val="000000"/>
              </w:rPr>
              <w:t>%</w:t>
            </w:r>
          </w:p>
        </w:tc>
        <w:tc>
          <w:tcPr>
            <w:tcW w:w="2268" w:type="dxa"/>
            <w:noWrap/>
            <w:hideMark/>
          </w:tcPr>
          <w:p w14:paraId="6E9EA07D"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44,75</w:t>
            </w:r>
          </w:p>
          <w:p w14:paraId="57D0CAC9" w14:textId="5FB2BA5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w:t>
            </w:r>
            <w:r w:rsidR="00496F1D">
              <w:rPr>
                <w:rFonts w:ascii="Calibri" w:eastAsia="Times New Roman" w:hAnsi="Calibri" w:cs="Calibri"/>
                <w:color w:val="000000"/>
              </w:rPr>
              <w:t>%</w:t>
            </w:r>
          </w:p>
        </w:tc>
        <w:tc>
          <w:tcPr>
            <w:tcW w:w="1703" w:type="dxa"/>
            <w:noWrap/>
            <w:hideMark/>
          </w:tcPr>
          <w:p w14:paraId="36FDC748"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-2,25</w:t>
            </w:r>
          </w:p>
          <w:p w14:paraId="00006414" w14:textId="243D6955"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w:t>
            </w:r>
            <w:r w:rsidR="00496F1D">
              <w:rPr>
                <w:rFonts w:ascii="Calibri" w:eastAsia="Times New Roman" w:hAnsi="Calibri" w:cs="Calibri"/>
                <w:color w:val="000000"/>
              </w:rPr>
              <w:t>%</w:t>
            </w:r>
          </w:p>
        </w:tc>
      </w:tr>
      <w:tr w:rsidR="00496F1D" w:rsidRPr="00496F1D" w14:paraId="7BCCA009" w14:textId="77777777" w:rsidTr="00496F1D">
        <w:trPr>
          <w:trHeight w:val="300"/>
        </w:trPr>
        <w:tc>
          <w:tcPr>
            <w:tcW w:w="2836" w:type="dxa"/>
            <w:noWrap/>
            <w:hideMark/>
          </w:tcPr>
          <w:p w14:paraId="2B29302A" w14:textId="77777777" w:rsidR="00496F1D" w:rsidRPr="00496F1D" w:rsidRDefault="00496F1D" w:rsidP="00496F1D">
            <w:pPr>
              <w:rPr>
                <w:rFonts w:ascii="Calibri" w:eastAsia="Times New Roman" w:hAnsi="Calibri" w:cs="Calibri"/>
                <w:color w:val="000000"/>
              </w:rPr>
            </w:pPr>
            <w:proofErr w:type="spellStart"/>
            <w:r w:rsidRPr="00496F1D">
              <w:rPr>
                <w:rFonts w:ascii="Calibri" w:eastAsia="Times New Roman" w:hAnsi="Calibri" w:cs="Calibri"/>
                <w:color w:val="000000"/>
              </w:rPr>
              <w:t>XVII.Malf</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cong</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deformid</w:t>
            </w:r>
            <w:proofErr w:type="spellEnd"/>
            <w:r w:rsidRPr="00496F1D">
              <w:rPr>
                <w:rFonts w:ascii="Calibri" w:eastAsia="Times New Roman" w:hAnsi="Calibri" w:cs="Calibri"/>
                <w:color w:val="000000"/>
              </w:rPr>
              <w:t xml:space="preserve"> e anomalias cromossômicas</w:t>
            </w:r>
          </w:p>
        </w:tc>
        <w:tc>
          <w:tcPr>
            <w:tcW w:w="2268" w:type="dxa"/>
            <w:noWrap/>
            <w:hideMark/>
          </w:tcPr>
          <w:p w14:paraId="0B89242D"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31,63</w:t>
            </w:r>
          </w:p>
          <w:p w14:paraId="6629789F" w14:textId="094F7035"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3</w:t>
            </w:r>
            <w:r w:rsidR="00496F1D">
              <w:rPr>
                <w:rFonts w:ascii="Calibri" w:eastAsia="Times New Roman" w:hAnsi="Calibri" w:cs="Calibri"/>
                <w:color w:val="000000"/>
              </w:rPr>
              <w:t>%</w:t>
            </w:r>
          </w:p>
        </w:tc>
        <w:tc>
          <w:tcPr>
            <w:tcW w:w="2268" w:type="dxa"/>
            <w:noWrap/>
            <w:hideMark/>
          </w:tcPr>
          <w:p w14:paraId="54A21DC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47,68</w:t>
            </w:r>
          </w:p>
          <w:p w14:paraId="600562E5" w14:textId="68A6BD2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4</w:t>
            </w:r>
            <w:r w:rsidR="00496F1D">
              <w:rPr>
                <w:rFonts w:ascii="Calibri" w:eastAsia="Times New Roman" w:hAnsi="Calibri" w:cs="Calibri"/>
                <w:color w:val="000000"/>
              </w:rPr>
              <w:t>%</w:t>
            </w:r>
          </w:p>
        </w:tc>
        <w:tc>
          <w:tcPr>
            <w:tcW w:w="1703" w:type="dxa"/>
            <w:noWrap/>
            <w:hideMark/>
          </w:tcPr>
          <w:p w14:paraId="456FB2A5"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16,05</w:t>
            </w:r>
          </w:p>
          <w:p w14:paraId="49AFE40D" w14:textId="5BA076A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51</w:t>
            </w:r>
            <w:r w:rsidR="00496F1D">
              <w:rPr>
                <w:rFonts w:ascii="Calibri" w:eastAsia="Times New Roman" w:hAnsi="Calibri" w:cs="Calibri"/>
                <w:color w:val="000000"/>
              </w:rPr>
              <w:t>%</w:t>
            </w:r>
          </w:p>
        </w:tc>
      </w:tr>
      <w:tr w:rsidR="00496F1D" w:rsidRPr="00496F1D" w14:paraId="685D4010" w14:textId="77777777" w:rsidTr="00496F1D">
        <w:trPr>
          <w:trHeight w:val="300"/>
        </w:trPr>
        <w:tc>
          <w:tcPr>
            <w:tcW w:w="2836" w:type="dxa"/>
            <w:noWrap/>
            <w:hideMark/>
          </w:tcPr>
          <w:p w14:paraId="742466E3" w14:textId="77777777" w:rsidR="00496F1D" w:rsidRPr="00496F1D" w:rsidRDefault="00496F1D" w:rsidP="00496F1D">
            <w:pPr>
              <w:rPr>
                <w:rFonts w:ascii="Calibri" w:eastAsia="Times New Roman" w:hAnsi="Calibri" w:cs="Calibri"/>
                <w:color w:val="000000"/>
              </w:rPr>
            </w:pPr>
            <w:proofErr w:type="spellStart"/>
            <w:r w:rsidRPr="00496F1D">
              <w:rPr>
                <w:rFonts w:ascii="Calibri" w:eastAsia="Times New Roman" w:hAnsi="Calibri" w:cs="Calibri"/>
                <w:color w:val="000000"/>
              </w:rPr>
              <w:t>XVIII.Sint</w:t>
            </w:r>
            <w:proofErr w:type="spellEnd"/>
            <w:r w:rsidRPr="00496F1D">
              <w:rPr>
                <w:rFonts w:ascii="Calibri" w:eastAsia="Times New Roman" w:hAnsi="Calibri" w:cs="Calibri"/>
                <w:color w:val="000000"/>
              </w:rPr>
              <w:t xml:space="preserve"> sinais e </w:t>
            </w:r>
            <w:proofErr w:type="spellStart"/>
            <w:r w:rsidRPr="00496F1D">
              <w:rPr>
                <w:rFonts w:ascii="Calibri" w:eastAsia="Times New Roman" w:hAnsi="Calibri" w:cs="Calibri"/>
                <w:color w:val="000000"/>
              </w:rPr>
              <w:t>achad</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anorm</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ex</w:t>
            </w:r>
            <w:proofErr w:type="spellEnd"/>
            <w:r w:rsidRPr="00496F1D">
              <w:rPr>
                <w:rFonts w:ascii="Calibri" w:eastAsia="Times New Roman" w:hAnsi="Calibri" w:cs="Calibri"/>
                <w:color w:val="000000"/>
              </w:rPr>
              <w:t xml:space="preserve"> </w:t>
            </w:r>
            <w:proofErr w:type="spellStart"/>
            <w:r w:rsidRPr="00496F1D">
              <w:rPr>
                <w:rFonts w:ascii="Calibri" w:eastAsia="Times New Roman" w:hAnsi="Calibri" w:cs="Calibri"/>
                <w:color w:val="000000"/>
              </w:rPr>
              <w:t>clín</w:t>
            </w:r>
            <w:proofErr w:type="spellEnd"/>
            <w:r w:rsidRPr="00496F1D">
              <w:rPr>
                <w:rFonts w:ascii="Calibri" w:eastAsia="Times New Roman" w:hAnsi="Calibri" w:cs="Calibri"/>
                <w:color w:val="000000"/>
              </w:rPr>
              <w:t xml:space="preserve"> e </w:t>
            </w:r>
            <w:proofErr w:type="spellStart"/>
            <w:r w:rsidRPr="00496F1D">
              <w:rPr>
                <w:rFonts w:ascii="Calibri" w:eastAsia="Times New Roman" w:hAnsi="Calibri" w:cs="Calibri"/>
                <w:color w:val="000000"/>
              </w:rPr>
              <w:t>laborat</w:t>
            </w:r>
            <w:proofErr w:type="spellEnd"/>
          </w:p>
        </w:tc>
        <w:tc>
          <w:tcPr>
            <w:tcW w:w="2268" w:type="dxa"/>
            <w:noWrap/>
            <w:hideMark/>
          </w:tcPr>
          <w:p w14:paraId="7296CE17"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100,05</w:t>
            </w:r>
          </w:p>
          <w:p w14:paraId="338C08C7" w14:textId="097C3FAD"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10</w:t>
            </w:r>
            <w:r w:rsidR="00496F1D">
              <w:rPr>
                <w:rFonts w:ascii="Calibri" w:eastAsia="Times New Roman" w:hAnsi="Calibri" w:cs="Calibri"/>
                <w:color w:val="000000"/>
              </w:rPr>
              <w:t>%</w:t>
            </w:r>
          </w:p>
        </w:tc>
        <w:tc>
          <w:tcPr>
            <w:tcW w:w="2268" w:type="dxa"/>
            <w:noWrap/>
            <w:hideMark/>
          </w:tcPr>
          <w:p w14:paraId="041648DF"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116</w:t>
            </w:r>
          </w:p>
          <w:p w14:paraId="1E398CF1" w14:textId="506C5FDF"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9</w:t>
            </w:r>
            <w:r w:rsidR="00496F1D">
              <w:rPr>
                <w:rFonts w:ascii="Calibri" w:eastAsia="Times New Roman" w:hAnsi="Calibri" w:cs="Calibri"/>
                <w:color w:val="000000"/>
              </w:rPr>
              <w:t>%</w:t>
            </w:r>
          </w:p>
        </w:tc>
        <w:tc>
          <w:tcPr>
            <w:tcW w:w="1703" w:type="dxa"/>
            <w:noWrap/>
            <w:hideMark/>
          </w:tcPr>
          <w:p w14:paraId="3BA5C28F"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15,95</w:t>
            </w:r>
          </w:p>
          <w:p w14:paraId="20E0BA71" w14:textId="70C00CF5"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16</w:t>
            </w:r>
            <w:r w:rsidR="00496F1D">
              <w:rPr>
                <w:rFonts w:ascii="Calibri" w:eastAsia="Times New Roman" w:hAnsi="Calibri" w:cs="Calibri"/>
                <w:color w:val="000000"/>
              </w:rPr>
              <w:t>%</w:t>
            </w:r>
          </w:p>
        </w:tc>
      </w:tr>
      <w:tr w:rsidR="00496F1D" w:rsidRPr="00496F1D" w14:paraId="767EF993" w14:textId="77777777" w:rsidTr="00496F1D">
        <w:trPr>
          <w:trHeight w:val="300"/>
        </w:trPr>
        <w:tc>
          <w:tcPr>
            <w:tcW w:w="2836" w:type="dxa"/>
            <w:noWrap/>
            <w:hideMark/>
          </w:tcPr>
          <w:p w14:paraId="5C6F9CCC"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 xml:space="preserve">XIX. Lesões </w:t>
            </w:r>
            <w:proofErr w:type="spellStart"/>
            <w:r w:rsidRPr="00496F1D">
              <w:rPr>
                <w:rFonts w:ascii="Calibri" w:eastAsia="Times New Roman" w:hAnsi="Calibri" w:cs="Calibri"/>
                <w:color w:val="000000"/>
              </w:rPr>
              <w:t>enven</w:t>
            </w:r>
            <w:proofErr w:type="spellEnd"/>
            <w:r w:rsidRPr="00496F1D">
              <w:rPr>
                <w:rFonts w:ascii="Calibri" w:eastAsia="Times New Roman" w:hAnsi="Calibri" w:cs="Calibri"/>
                <w:color w:val="000000"/>
              </w:rPr>
              <w:t xml:space="preserve"> e </w:t>
            </w:r>
            <w:proofErr w:type="spellStart"/>
            <w:r w:rsidRPr="00496F1D">
              <w:rPr>
                <w:rFonts w:ascii="Calibri" w:eastAsia="Times New Roman" w:hAnsi="Calibri" w:cs="Calibri"/>
                <w:color w:val="000000"/>
              </w:rPr>
              <w:t>alg</w:t>
            </w:r>
            <w:proofErr w:type="spellEnd"/>
            <w:r w:rsidRPr="00496F1D">
              <w:rPr>
                <w:rFonts w:ascii="Calibri" w:eastAsia="Times New Roman" w:hAnsi="Calibri" w:cs="Calibri"/>
                <w:color w:val="000000"/>
              </w:rPr>
              <w:t xml:space="preserve"> out </w:t>
            </w:r>
            <w:proofErr w:type="spellStart"/>
            <w:r w:rsidRPr="00496F1D">
              <w:rPr>
                <w:rFonts w:ascii="Calibri" w:eastAsia="Times New Roman" w:hAnsi="Calibri" w:cs="Calibri"/>
                <w:color w:val="000000"/>
              </w:rPr>
              <w:t>conseq</w:t>
            </w:r>
            <w:proofErr w:type="spellEnd"/>
            <w:r w:rsidRPr="00496F1D">
              <w:rPr>
                <w:rFonts w:ascii="Calibri" w:eastAsia="Times New Roman" w:hAnsi="Calibri" w:cs="Calibri"/>
                <w:color w:val="000000"/>
              </w:rPr>
              <w:t xml:space="preserve"> causas externas</w:t>
            </w:r>
          </w:p>
        </w:tc>
        <w:tc>
          <w:tcPr>
            <w:tcW w:w="2268" w:type="dxa"/>
            <w:noWrap/>
            <w:hideMark/>
          </w:tcPr>
          <w:p w14:paraId="179618B3"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28,76</w:t>
            </w:r>
          </w:p>
          <w:p w14:paraId="40DF2908" w14:textId="7EA37B14"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3</w:t>
            </w:r>
            <w:r w:rsidR="00496F1D">
              <w:rPr>
                <w:rFonts w:ascii="Calibri" w:eastAsia="Times New Roman" w:hAnsi="Calibri" w:cs="Calibri"/>
                <w:color w:val="000000"/>
              </w:rPr>
              <w:t>%</w:t>
            </w:r>
          </w:p>
        </w:tc>
        <w:tc>
          <w:tcPr>
            <w:tcW w:w="2268" w:type="dxa"/>
            <w:noWrap/>
            <w:hideMark/>
          </w:tcPr>
          <w:p w14:paraId="08A7351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30,92</w:t>
            </w:r>
          </w:p>
          <w:p w14:paraId="4C35F976" w14:textId="44962DEB"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2</w:t>
            </w:r>
            <w:r w:rsidR="00496F1D">
              <w:rPr>
                <w:rFonts w:ascii="Calibri" w:eastAsia="Times New Roman" w:hAnsi="Calibri" w:cs="Calibri"/>
                <w:color w:val="000000"/>
              </w:rPr>
              <w:t>%</w:t>
            </w:r>
          </w:p>
        </w:tc>
        <w:tc>
          <w:tcPr>
            <w:tcW w:w="1703" w:type="dxa"/>
            <w:noWrap/>
            <w:hideMark/>
          </w:tcPr>
          <w:p w14:paraId="082EBBB7"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2,16</w:t>
            </w:r>
          </w:p>
          <w:p w14:paraId="4DB010BD" w14:textId="12BDF769"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8</w:t>
            </w:r>
            <w:r w:rsidR="00496F1D">
              <w:rPr>
                <w:rFonts w:ascii="Calibri" w:eastAsia="Times New Roman" w:hAnsi="Calibri" w:cs="Calibri"/>
                <w:color w:val="000000"/>
              </w:rPr>
              <w:t>%</w:t>
            </w:r>
          </w:p>
        </w:tc>
      </w:tr>
      <w:tr w:rsidR="00496F1D" w:rsidRPr="00496F1D" w14:paraId="6F39BD99" w14:textId="77777777" w:rsidTr="00496F1D">
        <w:trPr>
          <w:trHeight w:val="300"/>
        </w:trPr>
        <w:tc>
          <w:tcPr>
            <w:tcW w:w="2836" w:type="dxa"/>
            <w:noWrap/>
            <w:hideMark/>
          </w:tcPr>
          <w:p w14:paraId="00397138"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XXI. Contatos com serviços de saúde</w:t>
            </w:r>
          </w:p>
        </w:tc>
        <w:tc>
          <w:tcPr>
            <w:tcW w:w="2268" w:type="dxa"/>
            <w:noWrap/>
            <w:hideMark/>
          </w:tcPr>
          <w:p w14:paraId="3C0AC391"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6,16</w:t>
            </w:r>
          </w:p>
          <w:p w14:paraId="36B92BB7" w14:textId="60B5A70C"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2268" w:type="dxa"/>
            <w:noWrap/>
            <w:hideMark/>
          </w:tcPr>
          <w:p w14:paraId="56DFDD5E"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9,43</w:t>
            </w:r>
          </w:p>
          <w:p w14:paraId="78CED210" w14:textId="33D67012" w:rsidR="00496F1D"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1</w:t>
            </w:r>
            <w:r w:rsidR="00496F1D">
              <w:rPr>
                <w:rFonts w:ascii="Calibri" w:eastAsia="Times New Roman" w:hAnsi="Calibri" w:cs="Calibri"/>
                <w:color w:val="000000"/>
              </w:rPr>
              <w:t>%</w:t>
            </w:r>
          </w:p>
        </w:tc>
        <w:tc>
          <w:tcPr>
            <w:tcW w:w="1703" w:type="dxa"/>
            <w:noWrap/>
            <w:hideMark/>
          </w:tcPr>
          <w:p w14:paraId="08A04F4E"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3,27</w:t>
            </w:r>
          </w:p>
          <w:p w14:paraId="315D9C16" w14:textId="6EBF4D0C" w:rsidR="00C752F4"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53%</w:t>
            </w:r>
          </w:p>
        </w:tc>
      </w:tr>
      <w:tr w:rsidR="00496F1D" w:rsidRPr="00496F1D" w14:paraId="23E71276" w14:textId="77777777" w:rsidTr="00496F1D">
        <w:trPr>
          <w:trHeight w:val="300"/>
        </w:trPr>
        <w:tc>
          <w:tcPr>
            <w:tcW w:w="2836" w:type="dxa"/>
            <w:noWrap/>
            <w:hideMark/>
          </w:tcPr>
          <w:p w14:paraId="152B8CF9" w14:textId="77777777" w:rsidR="00496F1D" w:rsidRPr="00496F1D" w:rsidRDefault="00496F1D" w:rsidP="00496F1D">
            <w:pPr>
              <w:rPr>
                <w:rFonts w:ascii="Calibri" w:eastAsia="Times New Roman" w:hAnsi="Calibri" w:cs="Calibri"/>
                <w:color w:val="000000"/>
              </w:rPr>
            </w:pPr>
            <w:r w:rsidRPr="00496F1D">
              <w:rPr>
                <w:rFonts w:ascii="Calibri" w:eastAsia="Times New Roman" w:hAnsi="Calibri" w:cs="Calibri"/>
                <w:color w:val="000000"/>
              </w:rPr>
              <w:t>Total</w:t>
            </w:r>
          </w:p>
        </w:tc>
        <w:tc>
          <w:tcPr>
            <w:tcW w:w="2268" w:type="dxa"/>
            <w:noWrap/>
            <w:hideMark/>
          </w:tcPr>
          <w:p w14:paraId="34C6CE7D"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1001,61</w:t>
            </w:r>
          </w:p>
          <w:p w14:paraId="42CBDFA2" w14:textId="67DCE203" w:rsidR="00496F1D" w:rsidRPr="00496F1D" w:rsidRDefault="00496F1D" w:rsidP="00496F1D">
            <w:pPr>
              <w:jc w:val="right"/>
              <w:rPr>
                <w:rFonts w:ascii="Calibri" w:eastAsia="Times New Roman" w:hAnsi="Calibri" w:cs="Calibri"/>
                <w:color w:val="000000"/>
              </w:rPr>
            </w:pPr>
            <w:r>
              <w:rPr>
                <w:rFonts w:ascii="Calibri" w:eastAsia="Times New Roman" w:hAnsi="Calibri" w:cs="Calibri"/>
                <w:color w:val="000000"/>
              </w:rPr>
              <w:t>100%</w:t>
            </w:r>
          </w:p>
        </w:tc>
        <w:tc>
          <w:tcPr>
            <w:tcW w:w="2268" w:type="dxa"/>
            <w:noWrap/>
            <w:hideMark/>
          </w:tcPr>
          <w:p w14:paraId="43CA7C5A"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1275,64</w:t>
            </w:r>
          </w:p>
          <w:p w14:paraId="224F2604" w14:textId="4A116D8C" w:rsidR="00496F1D" w:rsidRPr="00496F1D" w:rsidRDefault="00496F1D" w:rsidP="00496F1D">
            <w:pPr>
              <w:jc w:val="right"/>
              <w:rPr>
                <w:rFonts w:ascii="Calibri" w:eastAsia="Times New Roman" w:hAnsi="Calibri" w:cs="Calibri"/>
                <w:color w:val="000000"/>
              </w:rPr>
            </w:pPr>
            <w:r>
              <w:rPr>
                <w:rFonts w:ascii="Calibri" w:eastAsia="Times New Roman" w:hAnsi="Calibri" w:cs="Calibri"/>
                <w:color w:val="000000"/>
              </w:rPr>
              <w:t>100%</w:t>
            </w:r>
          </w:p>
        </w:tc>
        <w:tc>
          <w:tcPr>
            <w:tcW w:w="1703" w:type="dxa"/>
            <w:noWrap/>
            <w:hideMark/>
          </w:tcPr>
          <w:p w14:paraId="76A760F6" w14:textId="77777777" w:rsidR="00496F1D" w:rsidRDefault="00496F1D" w:rsidP="00496F1D">
            <w:pPr>
              <w:jc w:val="right"/>
              <w:rPr>
                <w:rFonts w:ascii="Calibri" w:eastAsia="Times New Roman" w:hAnsi="Calibri" w:cs="Calibri"/>
                <w:color w:val="000000"/>
              </w:rPr>
            </w:pPr>
            <w:r w:rsidRPr="00496F1D">
              <w:rPr>
                <w:rFonts w:ascii="Calibri" w:eastAsia="Times New Roman" w:hAnsi="Calibri" w:cs="Calibri"/>
                <w:color w:val="000000"/>
              </w:rPr>
              <w:t>274,03</w:t>
            </w:r>
          </w:p>
          <w:p w14:paraId="51722AF6" w14:textId="45443225" w:rsidR="00C752F4" w:rsidRPr="00496F1D" w:rsidRDefault="00C752F4" w:rsidP="00496F1D">
            <w:pPr>
              <w:jc w:val="right"/>
              <w:rPr>
                <w:rFonts w:ascii="Calibri" w:eastAsia="Times New Roman" w:hAnsi="Calibri" w:cs="Calibri"/>
                <w:color w:val="000000"/>
              </w:rPr>
            </w:pPr>
            <w:r>
              <w:rPr>
                <w:rFonts w:ascii="Calibri" w:eastAsia="Times New Roman" w:hAnsi="Calibri" w:cs="Calibri"/>
                <w:color w:val="000000"/>
              </w:rPr>
              <w:t>27%</w:t>
            </w:r>
          </w:p>
        </w:tc>
      </w:tr>
    </w:tbl>
    <w:p w14:paraId="10958DC0" w14:textId="77777777" w:rsidR="001A2D89" w:rsidRPr="00B37406" w:rsidRDefault="001A2D89" w:rsidP="00F92F84">
      <w:pPr>
        <w:spacing w:line="480" w:lineRule="auto"/>
        <w:ind w:firstLine="709"/>
        <w:jc w:val="both"/>
        <w:rPr>
          <w:rFonts w:ascii="Arial" w:hAnsi="Arial" w:cs="Arial"/>
          <w:b/>
          <w:bCs/>
          <w:color w:val="000000" w:themeColor="text1"/>
          <w:sz w:val="24"/>
          <w:szCs w:val="24"/>
        </w:rPr>
      </w:pPr>
    </w:p>
    <w:p w14:paraId="1EDA8D10" w14:textId="022A92A6" w:rsidR="00CF5959" w:rsidRPr="00B37406" w:rsidRDefault="00F8632B" w:rsidP="00F92F84">
      <w:pPr>
        <w:pStyle w:val="PargrafodaLista"/>
        <w:spacing w:line="480" w:lineRule="auto"/>
        <w:ind w:left="0" w:firstLine="709"/>
        <w:jc w:val="both"/>
        <w:rPr>
          <w:rFonts w:ascii="Arial" w:hAnsi="Arial" w:cs="Arial"/>
          <w:color w:val="000000" w:themeColor="text1"/>
          <w:sz w:val="24"/>
          <w:szCs w:val="24"/>
        </w:rPr>
      </w:pPr>
      <w:r w:rsidRPr="00D35D3E">
        <w:rPr>
          <w:rFonts w:ascii="Arial" w:hAnsi="Arial" w:cs="Arial"/>
          <w:color w:val="000000" w:themeColor="text1"/>
          <w:sz w:val="24"/>
          <w:szCs w:val="24"/>
        </w:rPr>
        <w:t xml:space="preserve">De acordo com a </w:t>
      </w:r>
      <w:r w:rsidR="00CF5959" w:rsidRPr="00D35D3E">
        <w:rPr>
          <w:rFonts w:ascii="Arial" w:hAnsi="Arial" w:cs="Arial"/>
          <w:color w:val="000000" w:themeColor="text1"/>
          <w:sz w:val="24"/>
          <w:szCs w:val="24"/>
        </w:rPr>
        <w:t xml:space="preserve">tabela </w:t>
      </w:r>
      <w:r w:rsidRPr="00D35D3E">
        <w:rPr>
          <w:rFonts w:ascii="Arial" w:hAnsi="Arial" w:cs="Arial"/>
          <w:color w:val="000000" w:themeColor="text1"/>
          <w:sz w:val="24"/>
          <w:szCs w:val="24"/>
        </w:rPr>
        <w:t xml:space="preserve">apresentada, pode – se dizer que em todos os casos </w:t>
      </w:r>
      <w:r w:rsidR="00C8783C" w:rsidRPr="00D35D3E">
        <w:rPr>
          <w:rFonts w:ascii="Arial" w:hAnsi="Arial" w:cs="Arial"/>
          <w:color w:val="000000" w:themeColor="text1"/>
          <w:sz w:val="24"/>
          <w:szCs w:val="24"/>
        </w:rPr>
        <w:t>houve</w:t>
      </w:r>
      <w:r w:rsidR="00CF5959" w:rsidRPr="00D35D3E">
        <w:rPr>
          <w:rFonts w:ascii="Arial" w:hAnsi="Arial" w:cs="Arial"/>
          <w:color w:val="000000" w:themeColor="text1"/>
          <w:sz w:val="24"/>
          <w:szCs w:val="24"/>
        </w:rPr>
        <w:t xml:space="preserve"> </w:t>
      </w:r>
      <w:r w:rsidR="00C8783C" w:rsidRPr="00D35D3E">
        <w:rPr>
          <w:rFonts w:ascii="Arial" w:hAnsi="Arial" w:cs="Arial"/>
          <w:color w:val="000000" w:themeColor="text1"/>
          <w:sz w:val="24"/>
          <w:szCs w:val="24"/>
        </w:rPr>
        <w:t>um aumento significativo,</w:t>
      </w:r>
      <w:r w:rsidR="00CF5959" w:rsidRPr="00D35D3E">
        <w:rPr>
          <w:rFonts w:ascii="Arial" w:hAnsi="Arial" w:cs="Arial"/>
          <w:color w:val="000000" w:themeColor="text1"/>
          <w:sz w:val="24"/>
          <w:szCs w:val="24"/>
        </w:rPr>
        <w:t xml:space="preserve"> com a maioria dos dados entre </w:t>
      </w:r>
      <w:r w:rsidR="00D35D3E" w:rsidRPr="00D35D3E">
        <w:rPr>
          <w:rFonts w:ascii="Arial" w:hAnsi="Arial" w:cs="Arial"/>
          <w:color w:val="000000" w:themeColor="text1"/>
          <w:sz w:val="24"/>
          <w:szCs w:val="24"/>
        </w:rPr>
        <w:t>10</w:t>
      </w:r>
      <w:r w:rsidR="00CF5959" w:rsidRPr="00D35D3E">
        <w:rPr>
          <w:rFonts w:ascii="Arial" w:hAnsi="Arial" w:cs="Arial"/>
          <w:color w:val="000000" w:themeColor="text1"/>
          <w:sz w:val="24"/>
          <w:szCs w:val="24"/>
        </w:rPr>
        <w:t xml:space="preserve">% </w:t>
      </w:r>
      <w:proofErr w:type="gramStart"/>
      <w:r w:rsidR="00CF5959" w:rsidRPr="00D35D3E">
        <w:rPr>
          <w:rFonts w:ascii="Arial" w:hAnsi="Arial" w:cs="Arial"/>
          <w:color w:val="000000" w:themeColor="text1"/>
          <w:sz w:val="24"/>
          <w:szCs w:val="24"/>
        </w:rPr>
        <w:t>a</w:t>
      </w:r>
      <w:proofErr w:type="gramEnd"/>
      <w:r w:rsidR="00CF5959" w:rsidRPr="00D35D3E">
        <w:rPr>
          <w:rFonts w:ascii="Arial" w:hAnsi="Arial" w:cs="Arial"/>
          <w:color w:val="000000" w:themeColor="text1"/>
          <w:sz w:val="24"/>
          <w:szCs w:val="24"/>
        </w:rPr>
        <w:t xml:space="preserve"> </w:t>
      </w:r>
      <w:r w:rsidR="00D35D3E" w:rsidRPr="00D35D3E">
        <w:rPr>
          <w:rFonts w:ascii="Arial" w:hAnsi="Arial" w:cs="Arial"/>
          <w:color w:val="000000" w:themeColor="text1"/>
          <w:sz w:val="24"/>
          <w:szCs w:val="24"/>
        </w:rPr>
        <w:t>6</w:t>
      </w:r>
      <w:r w:rsidR="00C8783C" w:rsidRPr="00D35D3E">
        <w:rPr>
          <w:rFonts w:ascii="Arial" w:hAnsi="Arial" w:cs="Arial"/>
          <w:color w:val="000000" w:themeColor="text1"/>
          <w:sz w:val="24"/>
          <w:szCs w:val="24"/>
        </w:rPr>
        <w:t>0</w:t>
      </w:r>
      <w:r w:rsidR="00CF5959" w:rsidRPr="00D35D3E">
        <w:rPr>
          <w:rFonts w:ascii="Arial" w:hAnsi="Arial" w:cs="Arial"/>
          <w:color w:val="000000" w:themeColor="text1"/>
          <w:sz w:val="24"/>
          <w:szCs w:val="24"/>
        </w:rPr>
        <w:t xml:space="preserve">%. Tendo uma visão geral, os totais </w:t>
      </w:r>
      <w:r w:rsidR="00C8783C" w:rsidRPr="00D35D3E">
        <w:rPr>
          <w:rFonts w:ascii="Arial" w:hAnsi="Arial" w:cs="Arial"/>
          <w:color w:val="000000" w:themeColor="text1"/>
          <w:sz w:val="24"/>
          <w:szCs w:val="24"/>
        </w:rPr>
        <w:t xml:space="preserve">de </w:t>
      </w:r>
      <w:r w:rsidR="00CF5959" w:rsidRPr="00D35D3E">
        <w:rPr>
          <w:rFonts w:ascii="Arial" w:hAnsi="Arial" w:cs="Arial"/>
          <w:color w:val="000000" w:themeColor="text1"/>
          <w:sz w:val="24"/>
          <w:szCs w:val="24"/>
        </w:rPr>
        <w:t xml:space="preserve">março de 2019 </w:t>
      </w:r>
      <w:r w:rsidR="00C8783C" w:rsidRPr="00D35D3E">
        <w:rPr>
          <w:rFonts w:ascii="Arial" w:hAnsi="Arial" w:cs="Arial"/>
          <w:color w:val="000000" w:themeColor="text1"/>
          <w:sz w:val="24"/>
          <w:szCs w:val="24"/>
        </w:rPr>
        <w:t>a</w:t>
      </w:r>
      <w:r w:rsidR="00CF5959" w:rsidRPr="00D35D3E">
        <w:rPr>
          <w:rFonts w:ascii="Arial" w:hAnsi="Arial" w:cs="Arial"/>
          <w:color w:val="000000" w:themeColor="text1"/>
          <w:sz w:val="24"/>
          <w:szCs w:val="24"/>
        </w:rPr>
        <w:t xml:space="preserve"> março de 2020</w:t>
      </w:r>
      <w:r w:rsidR="00C8783C" w:rsidRPr="00D35D3E">
        <w:rPr>
          <w:rFonts w:ascii="Arial" w:hAnsi="Arial" w:cs="Arial"/>
          <w:color w:val="000000" w:themeColor="text1"/>
          <w:sz w:val="24"/>
          <w:szCs w:val="24"/>
        </w:rPr>
        <w:t xml:space="preserve"> e </w:t>
      </w:r>
      <w:r w:rsidR="00CF5959" w:rsidRPr="00D35D3E">
        <w:rPr>
          <w:rFonts w:ascii="Arial" w:hAnsi="Arial" w:cs="Arial"/>
          <w:color w:val="000000" w:themeColor="text1"/>
          <w:sz w:val="24"/>
          <w:szCs w:val="24"/>
        </w:rPr>
        <w:t xml:space="preserve">março de 2020 a março de 2021, </w:t>
      </w:r>
      <w:r w:rsidR="00C8783C" w:rsidRPr="00D35D3E">
        <w:rPr>
          <w:rFonts w:ascii="Arial" w:hAnsi="Arial" w:cs="Arial"/>
          <w:color w:val="000000" w:themeColor="text1"/>
          <w:sz w:val="24"/>
          <w:szCs w:val="24"/>
        </w:rPr>
        <w:t xml:space="preserve">tivemos um </w:t>
      </w:r>
      <w:r w:rsidR="00A93EFB" w:rsidRPr="00D35D3E">
        <w:rPr>
          <w:rFonts w:ascii="Arial" w:hAnsi="Arial" w:cs="Arial"/>
          <w:color w:val="000000" w:themeColor="text1"/>
          <w:sz w:val="24"/>
          <w:szCs w:val="24"/>
        </w:rPr>
        <w:t>aumento</w:t>
      </w:r>
      <w:r w:rsidR="00C8783C" w:rsidRPr="00D35D3E">
        <w:rPr>
          <w:rFonts w:ascii="Arial" w:hAnsi="Arial" w:cs="Arial"/>
          <w:color w:val="000000" w:themeColor="text1"/>
          <w:sz w:val="24"/>
          <w:szCs w:val="24"/>
        </w:rPr>
        <w:t xml:space="preserve"> significativo de </w:t>
      </w:r>
      <w:r w:rsidR="00D35D3E" w:rsidRPr="00D35D3E">
        <w:rPr>
          <w:rFonts w:ascii="Arial" w:hAnsi="Arial" w:cs="Arial"/>
          <w:color w:val="000000" w:themeColor="text1"/>
          <w:sz w:val="24"/>
          <w:szCs w:val="24"/>
        </w:rPr>
        <w:t>27</w:t>
      </w:r>
      <w:r w:rsidR="00CF5959" w:rsidRPr="00D35D3E">
        <w:rPr>
          <w:rFonts w:ascii="Arial" w:hAnsi="Arial" w:cs="Arial"/>
          <w:color w:val="000000" w:themeColor="text1"/>
          <w:sz w:val="24"/>
          <w:szCs w:val="24"/>
        </w:rPr>
        <w:t>%</w:t>
      </w:r>
      <w:r w:rsidR="00C8783C" w:rsidRPr="00D35D3E">
        <w:rPr>
          <w:rFonts w:ascii="Arial" w:hAnsi="Arial" w:cs="Arial"/>
          <w:color w:val="000000" w:themeColor="text1"/>
          <w:sz w:val="24"/>
          <w:szCs w:val="24"/>
        </w:rPr>
        <w:t>.</w:t>
      </w:r>
    </w:p>
    <w:p w14:paraId="258EEAC6" w14:textId="77777777" w:rsidR="00C8783C" w:rsidRPr="00B37406" w:rsidRDefault="00C8783C" w:rsidP="00F92F84">
      <w:pPr>
        <w:pStyle w:val="PargrafodaLista"/>
        <w:spacing w:line="480" w:lineRule="auto"/>
        <w:ind w:firstLine="709"/>
        <w:jc w:val="both"/>
        <w:rPr>
          <w:rFonts w:ascii="Arial" w:hAnsi="Arial" w:cs="Arial"/>
          <w:color w:val="000000" w:themeColor="text1"/>
          <w:sz w:val="24"/>
          <w:szCs w:val="24"/>
        </w:rPr>
      </w:pPr>
    </w:p>
    <w:p w14:paraId="36F83E96" w14:textId="77777777" w:rsidR="00CF5959" w:rsidRPr="00B37406" w:rsidRDefault="00CF5959" w:rsidP="00F92F84">
      <w:pPr>
        <w:spacing w:line="480" w:lineRule="auto"/>
        <w:ind w:firstLine="709"/>
        <w:jc w:val="both"/>
        <w:rPr>
          <w:rFonts w:ascii="Arial" w:hAnsi="Arial" w:cs="Arial"/>
          <w:b/>
          <w:bCs/>
          <w:sz w:val="24"/>
          <w:szCs w:val="24"/>
        </w:rPr>
      </w:pPr>
    </w:p>
    <w:p w14:paraId="1C4F02D7" w14:textId="40D0B529" w:rsidR="00A236F2" w:rsidRPr="00B37406" w:rsidRDefault="00A236F2" w:rsidP="00F92F84">
      <w:pPr>
        <w:pStyle w:val="PargrafodaLista"/>
        <w:ind w:firstLine="709"/>
        <w:rPr>
          <w:rFonts w:ascii="Arial" w:hAnsi="Arial" w:cs="Arial"/>
          <w:b/>
          <w:bCs/>
          <w:sz w:val="24"/>
          <w:szCs w:val="24"/>
        </w:rPr>
      </w:pPr>
    </w:p>
    <w:p w14:paraId="1450772B" w14:textId="12E28152" w:rsidR="00B231D0" w:rsidRPr="00B37406" w:rsidRDefault="00C6332E" w:rsidP="00F92F84">
      <w:pPr>
        <w:spacing w:line="480" w:lineRule="auto"/>
        <w:ind w:firstLine="709"/>
        <w:jc w:val="both"/>
        <w:rPr>
          <w:rFonts w:ascii="Arial" w:hAnsi="Arial" w:cs="Arial"/>
          <w:b/>
          <w:bCs/>
          <w:sz w:val="24"/>
          <w:szCs w:val="24"/>
        </w:rPr>
      </w:pPr>
      <w:r w:rsidRPr="00B37406">
        <w:rPr>
          <w:rFonts w:ascii="Arial" w:hAnsi="Arial" w:cs="Arial"/>
          <w:b/>
          <w:bCs/>
          <w:sz w:val="24"/>
          <w:szCs w:val="24"/>
        </w:rPr>
        <w:t>Discussão</w:t>
      </w:r>
    </w:p>
    <w:p w14:paraId="782A2933" w14:textId="77777777" w:rsidR="00B231D0" w:rsidRPr="00B37406" w:rsidRDefault="00B231D0" w:rsidP="00F92F84">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t xml:space="preserve">Nos dados selecionados sobre internação, podemos dizer que alguns dados colidem, já outros fornecem informações um pouco instáveis. </w:t>
      </w:r>
    </w:p>
    <w:p w14:paraId="56E71F88" w14:textId="5F2D0AB3" w:rsidR="00B57346" w:rsidRDefault="009C0650" w:rsidP="00F92F84">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t>Com os dados atuais, podemos reparar que hou</w:t>
      </w:r>
      <w:r w:rsidR="00143DEC" w:rsidRPr="00B37406">
        <w:rPr>
          <w:rFonts w:ascii="Arial" w:hAnsi="Arial" w:cs="Arial"/>
          <w:sz w:val="24"/>
          <w:szCs w:val="24"/>
        </w:rPr>
        <w:t>ve</w:t>
      </w:r>
      <w:r w:rsidRPr="00B37406">
        <w:rPr>
          <w:rFonts w:ascii="Arial" w:hAnsi="Arial" w:cs="Arial"/>
          <w:sz w:val="24"/>
          <w:szCs w:val="24"/>
        </w:rPr>
        <w:t xml:space="preserve"> um </w:t>
      </w:r>
      <w:r w:rsidR="00143DEC" w:rsidRPr="00B37406">
        <w:rPr>
          <w:rFonts w:ascii="Arial" w:hAnsi="Arial" w:cs="Arial"/>
          <w:sz w:val="24"/>
          <w:szCs w:val="24"/>
        </w:rPr>
        <w:t>resultado</w:t>
      </w:r>
      <w:r w:rsidRPr="00B37406">
        <w:rPr>
          <w:rFonts w:ascii="Arial" w:hAnsi="Arial" w:cs="Arial"/>
          <w:sz w:val="24"/>
          <w:szCs w:val="24"/>
        </w:rPr>
        <w:t xml:space="preserve"> bem </w:t>
      </w:r>
      <w:r w:rsidR="00143DEC" w:rsidRPr="00B37406">
        <w:rPr>
          <w:rFonts w:ascii="Arial" w:hAnsi="Arial" w:cs="Arial"/>
          <w:sz w:val="24"/>
          <w:szCs w:val="24"/>
        </w:rPr>
        <w:t>expressivo</w:t>
      </w:r>
      <w:r w:rsidR="00D27368" w:rsidRPr="00B37406">
        <w:rPr>
          <w:rFonts w:ascii="Arial" w:hAnsi="Arial" w:cs="Arial"/>
          <w:sz w:val="24"/>
          <w:szCs w:val="24"/>
        </w:rPr>
        <w:t xml:space="preserve"> </w:t>
      </w:r>
      <w:r w:rsidR="00143DEC" w:rsidRPr="00B37406">
        <w:rPr>
          <w:rFonts w:ascii="Arial" w:hAnsi="Arial" w:cs="Arial"/>
          <w:sz w:val="24"/>
          <w:szCs w:val="24"/>
        </w:rPr>
        <w:t xml:space="preserve">em cada um dos grupos. Como por exemplo as internações, que tiveram um grande resultado de redução, com um </w:t>
      </w:r>
      <w:r w:rsidR="00D4396B" w:rsidRPr="00B37406">
        <w:rPr>
          <w:rFonts w:ascii="Arial" w:hAnsi="Arial" w:cs="Arial"/>
          <w:sz w:val="24"/>
          <w:szCs w:val="24"/>
        </w:rPr>
        <w:t>capítulo</w:t>
      </w:r>
      <w:r w:rsidR="00143DEC" w:rsidRPr="00B37406">
        <w:rPr>
          <w:rFonts w:ascii="Arial" w:hAnsi="Arial" w:cs="Arial"/>
          <w:sz w:val="24"/>
          <w:szCs w:val="24"/>
        </w:rPr>
        <w:t xml:space="preserve"> de CID sem </w:t>
      </w:r>
      <w:r w:rsidR="003808A0" w:rsidRPr="00B37406">
        <w:rPr>
          <w:rFonts w:ascii="Arial" w:hAnsi="Arial" w:cs="Arial"/>
          <w:sz w:val="24"/>
          <w:szCs w:val="24"/>
        </w:rPr>
        <w:t>da sua exceção</w:t>
      </w:r>
      <w:r w:rsidR="00143DEC" w:rsidRPr="00B37406">
        <w:rPr>
          <w:rFonts w:ascii="Arial" w:hAnsi="Arial" w:cs="Arial"/>
          <w:sz w:val="24"/>
          <w:szCs w:val="24"/>
        </w:rPr>
        <w:t xml:space="preserve"> </w:t>
      </w:r>
      <w:r w:rsidR="001E24C5">
        <w:rPr>
          <w:rFonts w:ascii="Arial" w:hAnsi="Arial" w:cs="Arial"/>
          <w:sz w:val="24"/>
          <w:szCs w:val="24"/>
        </w:rPr>
        <w:t>d</w:t>
      </w:r>
      <w:r w:rsidR="00143DEC" w:rsidRPr="00B37406">
        <w:rPr>
          <w:rFonts w:ascii="Arial" w:hAnsi="Arial" w:cs="Arial"/>
          <w:sz w:val="24"/>
          <w:szCs w:val="24"/>
        </w:rPr>
        <w:t xml:space="preserve">o </w:t>
      </w:r>
      <w:r w:rsidR="00143DEC" w:rsidRPr="001E24C5">
        <w:rPr>
          <w:rFonts w:ascii="Arial" w:hAnsi="Arial" w:cs="Arial"/>
          <w:sz w:val="24"/>
          <w:szCs w:val="24"/>
        </w:rPr>
        <w:t>grupo</w:t>
      </w:r>
      <w:r w:rsidR="001549BE" w:rsidRPr="001E24C5">
        <w:rPr>
          <w:rFonts w:ascii="Arial" w:hAnsi="Arial" w:cs="Arial"/>
          <w:sz w:val="24"/>
          <w:szCs w:val="24"/>
        </w:rPr>
        <w:t xml:space="preserve"> I</w:t>
      </w:r>
      <w:r w:rsidR="001E24C5">
        <w:rPr>
          <w:rFonts w:ascii="Arial" w:hAnsi="Arial" w:cs="Arial"/>
          <w:sz w:val="24"/>
          <w:szCs w:val="24"/>
        </w:rPr>
        <w:t>,</w:t>
      </w:r>
      <w:r w:rsidR="00143DEC" w:rsidRPr="001E24C5">
        <w:rPr>
          <w:rFonts w:ascii="Arial" w:hAnsi="Arial" w:cs="Arial"/>
          <w:sz w:val="24"/>
          <w:szCs w:val="24"/>
        </w:rPr>
        <w:t xml:space="preserve"> </w:t>
      </w:r>
      <w:r w:rsidR="001E24C5" w:rsidRPr="001E24C5">
        <w:rPr>
          <w:rFonts w:ascii="Arial" w:eastAsia="Times New Roman" w:hAnsi="Arial" w:cs="Arial"/>
          <w:color w:val="000000"/>
          <w:sz w:val="24"/>
          <w:szCs w:val="24"/>
        </w:rPr>
        <w:t>algumas doenças infecciosas e parasitárias</w:t>
      </w:r>
      <w:r w:rsidR="001E24C5">
        <w:rPr>
          <w:rFonts w:ascii="Arial" w:hAnsi="Arial" w:cs="Arial"/>
          <w:sz w:val="24"/>
          <w:szCs w:val="24"/>
        </w:rPr>
        <w:t xml:space="preserve">, </w:t>
      </w:r>
      <w:r w:rsidR="001549BE" w:rsidRPr="00B37406">
        <w:rPr>
          <w:rFonts w:ascii="Arial" w:hAnsi="Arial" w:cs="Arial"/>
          <w:sz w:val="24"/>
          <w:szCs w:val="24"/>
        </w:rPr>
        <w:t>que</w:t>
      </w:r>
      <w:r w:rsidR="00143DEC" w:rsidRPr="00B37406">
        <w:rPr>
          <w:rFonts w:ascii="Arial" w:hAnsi="Arial" w:cs="Arial"/>
          <w:sz w:val="24"/>
          <w:szCs w:val="24"/>
        </w:rPr>
        <w:t xml:space="preserve"> </w:t>
      </w:r>
      <w:r w:rsidR="001549BE" w:rsidRPr="00B37406">
        <w:rPr>
          <w:rFonts w:ascii="Arial" w:hAnsi="Arial" w:cs="Arial"/>
          <w:sz w:val="24"/>
          <w:szCs w:val="24"/>
        </w:rPr>
        <w:t>aumentou</w:t>
      </w:r>
      <w:r w:rsidR="00143DEC" w:rsidRPr="00B37406">
        <w:rPr>
          <w:rFonts w:ascii="Arial" w:hAnsi="Arial" w:cs="Arial"/>
          <w:sz w:val="24"/>
          <w:szCs w:val="24"/>
        </w:rPr>
        <w:t xml:space="preserve"> signi</w:t>
      </w:r>
      <w:r w:rsidR="001549BE" w:rsidRPr="00B37406">
        <w:rPr>
          <w:rFonts w:ascii="Arial" w:hAnsi="Arial" w:cs="Arial"/>
          <w:sz w:val="24"/>
          <w:szCs w:val="24"/>
        </w:rPr>
        <w:t>f</w:t>
      </w:r>
      <w:r w:rsidR="00143DEC" w:rsidRPr="00B37406">
        <w:rPr>
          <w:rFonts w:ascii="Arial" w:hAnsi="Arial" w:cs="Arial"/>
          <w:sz w:val="24"/>
          <w:szCs w:val="24"/>
        </w:rPr>
        <w:t>i</w:t>
      </w:r>
      <w:r w:rsidR="001549BE" w:rsidRPr="00B37406">
        <w:rPr>
          <w:rFonts w:ascii="Arial" w:hAnsi="Arial" w:cs="Arial"/>
          <w:sz w:val="24"/>
          <w:szCs w:val="24"/>
        </w:rPr>
        <w:t>cati</w:t>
      </w:r>
      <w:r w:rsidR="00143DEC" w:rsidRPr="00B37406">
        <w:rPr>
          <w:rFonts w:ascii="Arial" w:hAnsi="Arial" w:cs="Arial"/>
          <w:sz w:val="24"/>
          <w:szCs w:val="24"/>
        </w:rPr>
        <w:t xml:space="preserve">vamente, com uma variação </w:t>
      </w:r>
      <w:r w:rsidR="00D4396B" w:rsidRPr="00B37406">
        <w:rPr>
          <w:rFonts w:ascii="Arial" w:hAnsi="Arial" w:cs="Arial"/>
          <w:sz w:val="24"/>
          <w:szCs w:val="24"/>
        </w:rPr>
        <w:t>de 54,28%, ou seja,</w:t>
      </w:r>
      <w:r w:rsidR="001549BE" w:rsidRPr="00B37406">
        <w:rPr>
          <w:rFonts w:ascii="Arial" w:hAnsi="Arial" w:cs="Arial"/>
          <w:sz w:val="24"/>
          <w:szCs w:val="24"/>
        </w:rPr>
        <w:t xml:space="preserve"> aumentou por volta dos 480.000 de internações</w:t>
      </w:r>
      <w:r w:rsidR="00143DEC" w:rsidRPr="00B37406">
        <w:rPr>
          <w:rFonts w:ascii="Arial" w:hAnsi="Arial" w:cs="Arial"/>
          <w:sz w:val="24"/>
          <w:szCs w:val="24"/>
        </w:rPr>
        <w:t>.</w:t>
      </w:r>
      <w:r w:rsidR="001549BE" w:rsidRPr="00B37406">
        <w:rPr>
          <w:rFonts w:ascii="Arial" w:hAnsi="Arial" w:cs="Arial"/>
          <w:sz w:val="24"/>
          <w:szCs w:val="24"/>
        </w:rPr>
        <w:t xml:space="preserve"> Isso se repetiu em todos outros aspetos também, </w:t>
      </w:r>
      <w:r w:rsidR="001549BE" w:rsidRPr="00B37406">
        <w:rPr>
          <w:rFonts w:ascii="Arial" w:hAnsi="Arial" w:cs="Arial"/>
          <w:sz w:val="24"/>
          <w:szCs w:val="24"/>
        </w:rPr>
        <w:lastRenderedPageBreak/>
        <w:t>que é de se esperar, pois todos eles estão</w:t>
      </w:r>
      <w:r w:rsidR="00E57230" w:rsidRPr="00B37406">
        <w:rPr>
          <w:rFonts w:ascii="Arial" w:hAnsi="Arial" w:cs="Arial"/>
          <w:sz w:val="24"/>
          <w:szCs w:val="24"/>
        </w:rPr>
        <w:t xml:space="preserve"> interligados</w:t>
      </w:r>
      <w:r w:rsidR="001549BE" w:rsidRPr="00B37406">
        <w:rPr>
          <w:rFonts w:ascii="Arial" w:hAnsi="Arial" w:cs="Arial"/>
          <w:sz w:val="24"/>
          <w:szCs w:val="24"/>
        </w:rPr>
        <w:t>.</w:t>
      </w:r>
      <w:r w:rsidR="00E57230" w:rsidRPr="00B37406">
        <w:rPr>
          <w:rFonts w:ascii="Arial" w:hAnsi="Arial" w:cs="Arial"/>
          <w:sz w:val="24"/>
          <w:szCs w:val="24"/>
        </w:rPr>
        <w:t xml:space="preserve"> Neste mesmo grupo era de se esperar que houvesse um aumento entre os períodos antes e durante a pandemia de covid, pois dentro desse grupo </w:t>
      </w:r>
      <w:r w:rsidR="003808A0" w:rsidRPr="00B37406">
        <w:rPr>
          <w:rFonts w:ascii="Arial" w:hAnsi="Arial" w:cs="Arial"/>
          <w:sz w:val="24"/>
          <w:szCs w:val="24"/>
        </w:rPr>
        <w:t>está</w:t>
      </w:r>
      <w:r w:rsidR="00E57230" w:rsidRPr="00B37406">
        <w:rPr>
          <w:rFonts w:ascii="Arial" w:hAnsi="Arial" w:cs="Arial"/>
          <w:sz w:val="24"/>
          <w:szCs w:val="24"/>
        </w:rPr>
        <w:t xml:space="preserve"> a doença que se é a causa de todo esse alvoroço. </w:t>
      </w:r>
      <w:r w:rsidR="00B57346">
        <w:rPr>
          <w:rFonts w:ascii="Arial" w:hAnsi="Arial" w:cs="Arial"/>
          <w:sz w:val="24"/>
          <w:szCs w:val="24"/>
        </w:rPr>
        <w:t xml:space="preserve">Pode-se dizer em relação a outras doenças, tiveram uma melhora inesperada, como por exemplo nos capítulos referentes a nutrição e saúde mental. </w:t>
      </w:r>
      <w:r w:rsidR="00B57346" w:rsidRPr="004E65B8">
        <w:rPr>
          <w:rFonts w:ascii="Arial" w:hAnsi="Arial" w:cs="Arial"/>
          <w:sz w:val="24"/>
          <w:szCs w:val="24"/>
          <w:highlight w:val="yellow"/>
        </w:rPr>
        <w:t xml:space="preserve">Pesquisas indicam que a situação de isolamento social, no aspecto do enfrentamento ao coronavírus, foi uma boa opção, mas considerando outros aspectos como o nutricional e psicológico, faltou suporte. </w:t>
      </w:r>
      <w:r w:rsidR="00B701CC" w:rsidRPr="004E65B8">
        <w:rPr>
          <w:rFonts w:ascii="Arial" w:hAnsi="Arial" w:cs="Arial"/>
          <w:sz w:val="24"/>
          <w:szCs w:val="24"/>
          <w:highlight w:val="yellow"/>
        </w:rPr>
        <w:t xml:space="preserve">No quesito nutricional, muitas pessoas, devido </w:t>
      </w:r>
      <w:proofErr w:type="spellStart"/>
      <w:r w:rsidR="00B701CC" w:rsidRPr="004E65B8">
        <w:rPr>
          <w:rFonts w:ascii="Arial" w:hAnsi="Arial" w:cs="Arial"/>
          <w:sz w:val="24"/>
          <w:szCs w:val="24"/>
          <w:highlight w:val="yellow"/>
        </w:rPr>
        <w:t>a</w:t>
      </w:r>
      <w:proofErr w:type="spellEnd"/>
      <w:r w:rsidR="00B701CC" w:rsidRPr="004E65B8">
        <w:rPr>
          <w:rFonts w:ascii="Arial" w:hAnsi="Arial" w:cs="Arial"/>
          <w:sz w:val="24"/>
          <w:szCs w:val="24"/>
          <w:highlight w:val="yellow"/>
        </w:rPr>
        <w:t xml:space="preserve"> falta de trabalho, </w:t>
      </w:r>
      <w:r w:rsidR="001D1460" w:rsidRPr="004E65B8">
        <w:rPr>
          <w:rFonts w:ascii="Arial" w:hAnsi="Arial" w:cs="Arial"/>
          <w:sz w:val="24"/>
          <w:szCs w:val="24"/>
          <w:highlight w:val="yellow"/>
        </w:rPr>
        <w:t xml:space="preserve">buscam meios de ocupar o tempo livre jogando e comento, sem exercícios físicos, tornando uma forte </w:t>
      </w:r>
      <w:proofErr w:type="spellStart"/>
      <w:r w:rsidR="001D1460" w:rsidRPr="004E65B8">
        <w:rPr>
          <w:rFonts w:ascii="Arial" w:hAnsi="Arial" w:cs="Arial"/>
          <w:sz w:val="24"/>
          <w:szCs w:val="24"/>
          <w:highlight w:val="yellow"/>
        </w:rPr>
        <w:t>influencia</w:t>
      </w:r>
      <w:proofErr w:type="spellEnd"/>
      <w:r w:rsidR="001D1460" w:rsidRPr="004E65B8">
        <w:rPr>
          <w:rFonts w:ascii="Arial" w:hAnsi="Arial" w:cs="Arial"/>
          <w:sz w:val="24"/>
          <w:szCs w:val="24"/>
          <w:highlight w:val="yellow"/>
        </w:rPr>
        <w:t xml:space="preserve"> a doenças nutricionais. Já nos aspectos de saúde mental, pode-se afirmar que com o afastamento social, se torna mais difícil o acesso a familiares, amigos e namorados, podendo causas diversas doenças, como o desequilíbrio emocional, ansiedade, estresse, depressão, entre outros. Como nesses dois casos não houve aumento, pode-se dizer que não houve muitos casos graves, levando-se a pensar que essas pessoas pegaram casos leves que não tenha necessidade de muita </w:t>
      </w:r>
      <w:proofErr w:type="gramStart"/>
      <w:r w:rsidR="001D1460" w:rsidRPr="004E65B8">
        <w:rPr>
          <w:rFonts w:ascii="Arial" w:hAnsi="Arial" w:cs="Arial"/>
          <w:sz w:val="24"/>
          <w:szCs w:val="24"/>
          <w:highlight w:val="yellow"/>
        </w:rPr>
        <w:t>atenção</w:t>
      </w:r>
      <w:r w:rsidR="004E65B8" w:rsidRPr="004E65B8">
        <w:rPr>
          <w:rFonts w:ascii="Arial" w:hAnsi="Arial" w:cs="Arial"/>
          <w:sz w:val="24"/>
          <w:szCs w:val="24"/>
        </w:rPr>
        <w:t>(</w:t>
      </w:r>
      <w:proofErr w:type="gramEnd"/>
      <w:r w:rsidR="004E65B8" w:rsidRPr="004E65B8">
        <w:rPr>
          <w:rFonts w:ascii="Arial" w:hAnsi="Arial" w:cs="Arial"/>
          <w:sz w:val="24"/>
          <w:szCs w:val="24"/>
        </w:rPr>
        <w:t>)</w:t>
      </w:r>
      <w:r w:rsidR="001D1460" w:rsidRPr="004E65B8">
        <w:rPr>
          <w:rFonts w:ascii="Arial" w:hAnsi="Arial" w:cs="Arial"/>
          <w:sz w:val="24"/>
          <w:szCs w:val="24"/>
        </w:rPr>
        <w:t>.</w:t>
      </w:r>
    </w:p>
    <w:p w14:paraId="2BF9971D" w14:textId="61FE5990" w:rsidR="00B231D0" w:rsidRPr="00B37406" w:rsidRDefault="00E57230" w:rsidP="00F92F84">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t xml:space="preserve">Dentre os </w:t>
      </w:r>
      <w:r w:rsidR="00D4396B" w:rsidRPr="00B37406">
        <w:rPr>
          <w:rFonts w:ascii="Arial" w:hAnsi="Arial" w:cs="Arial"/>
          <w:sz w:val="24"/>
          <w:szCs w:val="24"/>
        </w:rPr>
        <w:t>outros grupos</w:t>
      </w:r>
      <w:r w:rsidRPr="00B37406">
        <w:rPr>
          <w:rFonts w:ascii="Arial" w:hAnsi="Arial" w:cs="Arial"/>
          <w:sz w:val="24"/>
          <w:szCs w:val="24"/>
        </w:rPr>
        <w:t xml:space="preserve"> de doença, também houve aumentos em seu custo ou no núme</w:t>
      </w:r>
      <w:r w:rsidR="00D14271" w:rsidRPr="00B37406">
        <w:rPr>
          <w:rFonts w:ascii="Arial" w:hAnsi="Arial" w:cs="Arial"/>
          <w:sz w:val="24"/>
          <w:szCs w:val="24"/>
        </w:rPr>
        <w:t>ro de óbitos</w:t>
      </w:r>
      <w:r w:rsidR="0092799C" w:rsidRPr="00B37406">
        <w:rPr>
          <w:rFonts w:ascii="Arial" w:hAnsi="Arial" w:cs="Arial"/>
          <w:sz w:val="24"/>
          <w:szCs w:val="24"/>
        </w:rPr>
        <w:t xml:space="preserve">, revertendo diversas ideias obtidas antes dos </w:t>
      </w:r>
      <w:r w:rsidR="000E68B7" w:rsidRPr="00B37406">
        <w:rPr>
          <w:rFonts w:ascii="Arial" w:hAnsi="Arial" w:cs="Arial"/>
          <w:sz w:val="24"/>
          <w:szCs w:val="24"/>
        </w:rPr>
        <w:t>projetos e</w:t>
      </w:r>
      <w:r w:rsidR="008B3AEA" w:rsidRPr="00B37406">
        <w:rPr>
          <w:rFonts w:ascii="Arial" w:hAnsi="Arial" w:cs="Arial"/>
          <w:sz w:val="24"/>
          <w:szCs w:val="24"/>
        </w:rPr>
        <w:t xml:space="preserve"> outras foram surgindo.</w:t>
      </w:r>
      <w:r w:rsidR="00B9168A">
        <w:rPr>
          <w:rFonts w:ascii="Arial" w:hAnsi="Arial" w:cs="Arial"/>
          <w:sz w:val="24"/>
          <w:szCs w:val="24"/>
        </w:rPr>
        <w:t xml:space="preserve"> Como por exemplo em relação aos custos dos fármacos e o custo de um tratamento com um paciente de COVID. No</w:t>
      </w:r>
      <w:r w:rsidR="00C74149">
        <w:rPr>
          <w:rFonts w:ascii="Arial" w:hAnsi="Arial" w:cs="Arial"/>
          <w:sz w:val="24"/>
          <w:szCs w:val="24"/>
        </w:rPr>
        <w:t xml:space="preserve"> primeiro exemplo, podemos dizer que apesar </w:t>
      </w:r>
      <w:r w:rsidR="001E24C5">
        <w:rPr>
          <w:rFonts w:ascii="Arial" w:hAnsi="Arial" w:cs="Arial"/>
          <w:sz w:val="24"/>
          <w:szCs w:val="24"/>
        </w:rPr>
        <w:t>número</w:t>
      </w:r>
      <w:r w:rsidR="00C74149">
        <w:rPr>
          <w:rFonts w:ascii="Arial" w:hAnsi="Arial" w:cs="Arial"/>
          <w:sz w:val="24"/>
          <w:szCs w:val="24"/>
        </w:rPr>
        <w:t xml:space="preserve"> de cada </w:t>
      </w:r>
      <w:r w:rsidR="001E24C5">
        <w:rPr>
          <w:rFonts w:ascii="Arial" w:hAnsi="Arial" w:cs="Arial"/>
          <w:sz w:val="24"/>
          <w:szCs w:val="24"/>
        </w:rPr>
        <w:t>capítulo</w:t>
      </w:r>
      <w:r w:rsidR="00C74149">
        <w:rPr>
          <w:rFonts w:ascii="Arial" w:hAnsi="Arial" w:cs="Arial"/>
          <w:sz w:val="24"/>
          <w:szCs w:val="24"/>
        </w:rPr>
        <w:t xml:space="preserve"> ter diminuído muito, a dife</w:t>
      </w:r>
      <w:r w:rsidR="001E24C5">
        <w:rPr>
          <w:rFonts w:ascii="Arial" w:hAnsi="Arial" w:cs="Arial"/>
          <w:sz w:val="24"/>
          <w:szCs w:val="24"/>
        </w:rPr>
        <w:t>re</w:t>
      </w:r>
      <w:r w:rsidR="00C74149">
        <w:rPr>
          <w:rFonts w:ascii="Arial" w:hAnsi="Arial" w:cs="Arial"/>
          <w:sz w:val="24"/>
          <w:szCs w:val="24"/>
        </w:rPr>
        <w:t xml:space="preserve">nça nos valores, foi menor, n sendo proporcional a redução do </w:t>
      </w:r>
      <w:r w:rsidR="001E24C5">
        <w:rPr>
          <w:rFonts w:ascii="Arial" w:hAnsi="Arial" w:cs="Arial"/>
          <w:sz w:val="24"/>
          <w:szCs w:val="24"/>
        </w:rPr>
        <w:t>número</w:t>
      </w:r>
      <w:r w:rsidR="00C74149">
        <w:rPr>
          <w:rFonts w:ascii="Arial" w:hAnsi="Arial" w:cs="Arial"/>
          <w:sz w:val="24"/>
          <w:szCs w:val="24"/>
        </w:rPr>
        <w:t xml:space="preserve"> de internações, isso se </w:t>
      </w:r>
      <w:r w:rsidR="001E24C5">
        <w:rPr>
          <w:rFonts w:ascii="Arial" w:hAnsi="Arial" w:cs="Arial"/>
          <w:sz w:val="24"/>
          <w:szCs w:val="24"/>
        </w:rPr>
        <w:t>dá</w:t>
      </w:r>
      <w:r w:rsidR="00C74149">
        <w:rPr>
          <w:rFonts w:ascii="Arial" w:hAnsi="Arial" w:cs="Arial"/>
          <w:sz w:val="24"/>
          <w:szCs w:val="24"/>
        </w:rPr>
        <w:t xml:space="preserve">, pelo aumento nos custos dos fármacos e em sua mão de obra, isso se </w:t>
      </w:r>
      <w:r w:rsidR="00032D3B">
        <w:rPr>
          <w:rFonts w:ascii="Arial" w:hAnsi="Arial" w:cs="Arial"/>
          <w:sz w:val="24"/>
          <w:szCs w:val="24"/>
        </w:rPr>
        <w:t>dá</w:t>
      </w:r>
      <w:r w:rsidR="00C74149">
        <w:rPr>
          <w:rFonts w:ascii="Arial" w:hAnsi="Arial" w:cs="Arial"/>
          <w:sz w:val="24"/>
          <w:szCs w:val="24"/>
        </w:rPr>
        <w:t xml:space="preserve"> para perceber bastante nos </w:t>
      </w:r>
      <w:r w:rsidR="00C74149">
        <w:rPr>
          <w:rFonts w:ascii="Arial" w:hAnsi="Arial" w:cs="Arial"/>
          <w:sz w:val="24"/>
          <w:szCs w:val="24"/>
        </w:rPr>
        <w:lastRenderedPageBreak/>
        <w:t xml:space="preserve">capítulos 15, 16, 19, 20 e 21. Está hipótese também tem ligação a segunda hipótese, no qual o </w:t>
      </w:r>
      <w:r w:rsidR="001E24C5">
        <w:rPr>
          <w:rFonts w:ascii="Arial" w:hAnsi="Arial" w:cs="Arial"/>
          <w:sz w:val="24"/>
          <w:szCs w:val="24"/>
        </w:rPr>
        <w:t>capítulo</w:t>
      </w:r>
      <w:r w:rsidR="00C74149">
        <w:rPr>
          <w:rFonts w:ascii="Arial" w:hAnsi="Arial" w:cs="Arial"/>
          <w:sz w:val="24"/>
          <w:szCs w:val="24"/>
        </w:rPr>
        <w:t xml:space="preserve"> um cresceu muito tendo </w:t>
      </w:r>
      <w:r w:rsidR="004842F0">
        <w:rPr>
          <w:rFonts w:ascii="Arial" w:hAnsi="Arial" w:cs="Arial"/>
          <w:sz w:val="24"/>
          <w:szCs w:val="24"/>
        </w:rPr>
        <w:t>um acréscimo de</w:t>
      </w:r>
      <w:r w:rsidR="00C74149">
        <w:rPr>
          <w:rFonts w:ascii="Arial" w:hAnsi="Arial" w:cs="Arial"/>
          <w:sz w:val="24"/>
          <w:szCs w:val="24"/>
        </w:rPr>
        <w:t xml:space="preserve"> </w:t>
      </w:r>
      <w:r w:rsidR="004842F0">
        <w:rPr>
          <w:rFonts w:ascii="Arial" w:hAnsi="Arial" w:cs="Arial"/>
          <w:sz w:val="24"/>
          <w:szCs w:val="24"/>
        </w:rPr>
        <w:t xml:space="preserve">291,20% e no caso do número de internações foi um aumento de </w:t>
      </w:r>
      <w:r w:rsidR="004842F0" w:rsidRPr="00B37406">
        <w:rPr>
          <w:rFonts w:ascii="Arial" w:hAnsi="Arial" w:cs="Arial"/>
          <w:sz w:val="24"/>
          <w:szCs w:val="24"/>
        </w:rPr>
        <w:t>54,28%</w:t>
      </w:r>
      <w:r w:rsidR="004842F0">
        <w:rPr>
          <w:rFonts w:ascii="Arial" w:hAnsi="Arial" w:cs="Arial"/>
          <w:sz w:val="24"/>
          <w:szCs w:val="24"/>
        </w:rPr>
        <w:t>, fazendo-nos perce</w:t>
      </w:r>
      <w:r w:rsidR="00BB23A0">
        <w:rPr>
          <w:rFonts w:ascii="Arial" w:hAnsi="Arial" w:cs="Arial"/>
          <w:sz w:val="24"/>
          <w:szCs w:val="24"/>
        </w:rPr>
        <w:t>ber</w:t>
      </w:r>
      <w:r w:rsidR="00032D3B">
        <w:rPr>
          <w:rFonts w:ascii="Arial" w:hAnsi="Arial" w:cs="Arial"/>
          <w:sz w:val="24"/>
          <w:szCs w:val="24"/>
        </w:rPr>
        <w:t xml:space="preserve"> uma alteração muito desproporcional, dando a supor de que o tratamento do Coronavírus tem um custo alto</w:t>
      </w:r>
      <w:r w:rsidR="00C42AB7">
        <w:rPr>
          <w:rFonts w:ascii="Arial" w:hAnsi="Arial" w:cs="Arial"/>
          <w:sz w:val="24"/>
          <w:szCs w:val="24"/>
        </w:rPr>
        <w:t>.</w:t>
      </w:r>
    </w:p>
    <w:p w14:paraId="000C03FE" w14:textId="095DC686" w:rsidR="008B3AEA" w:rsidRPr="00B37406" w:rsidRDefault="008B3AEA" w:rsidP="00F92F84">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t xml:space="preserve">Com estas informações podemos dizer que várias ideias e opiniões surgidas no período da pandemia eram muito precipitadas, como a ideia que as pessoas iam engravidar mais, ou por terem que ficar trancados dentro de quatro paredes, sem poder sair, poderiam causar diversas doenças, como obesidade e doenças do psicológico. Sendo que, de acordo com os dados, não foi bem isso o que aconteceu pois </w:t>
      </w:r>
      <w:r w:rsidR="003808A0" w:rsidRPr="00B37406">
        <w:rPr>
          <w:rFonts w:ascii="Arial" w:hAnsi="Arial" w:cs="Arial"/>
          <w:sz w:val="24"/>
          <w:szCs w:val="24"/>
        </w:rPr>
        <w:t>o número de internação em relação a esses casos diminuiu</w:t>
      </w:r>
      <w:r w:rsidRPr="00B37406">
        <w:rPr>
          <w:rFonts w:ascii="Arial" w:hAnsi="Arial" w:cs="Arial"/>
          <w:sz w:val="24"/>
          <w:szCs w:val="24"/>
        </w:rPr>
        <w:t xml:space="preserve"> (V.   Transtornos mentais e comportamentais diminuiu 20%, XV.  Gravidez parto e puerpério diminuiu 6,64% e IV.  Doenças endócrinas nutricionais e metabólicas </w:t>
      </w:r>
      <w:r w:rsidR="008A3CE9" w:rsidRPr="00B37406">
        <w:rPr>
          <w:rFonts w:ascii="Arial" w:hAnsi="Arial" w:cs="Arial"/>
          <w:sz w:val="24"/>
          <w:szCs w:val="24"/>
        </w:rPr>
        <w:t>diminui</w:t>
      </w:r>
      <w:r w:rsidRPr="00B37406">
        <w:rPr>
          <w:rFonts w:ascii="Arial" w:hAnsi="Arial" w:cs="Arial"/>
          <w:sz w:val="24"/>
          <w:szCs w:val="24"/>
        </w:rPr>
        <w:t xml:space="preserve"> 23,58</w:t>
      </w:r>
      <w:r w:rsidR="000E68B7" w:rsidRPr="00B37406">
        <w:rPr>
          <w:rFonts w:ascii="Arial" w:hAnsi="Arial" w:cs="Arial"/>
          <w:sz w:val="24"/>
          <w:szCs w:val="24"/>
        </w:rPr>
        <w:t>%</w:t>
      </w:r>
      <w:r w:rsidRPr="00B37406">
        <w:rPr>
          <w:rFonts w:ascii="Arial" w:hAnsi="Arial" w:cs="Arial"/>
          <w:sz w:val="24"/>
          <w:szCs w:val="24"/>
        </w:rPr>
        <w:t xml:space="preserve">). </w:t>
      </w:r>
    </w:p>
    <w:p w14:paraId="5463BF4D" w14:textId="62E1145E" w:rsidR="000E68B7" w:rsidRPr="00B37406" w:rsidRDefault="000E68B7" w:rsidP="00F92F84">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t>Uma ideia que foi reforçada durante toda essa análise, foi que os custos aumentaram, com os medicamentos não foram diferentes, apesar da redução de internações, os custos de forma geral, aumentaram cerca de 106,19</w:t>
      </w:r>
      <w:r w:rsidR="008A3CE9" w:rsidRPr="00B37406">
        <w:rPr>
          <w:rFonts w:ascii="Arial" w:hAnsi="Arial" w:cs="Arial"/>
          <w:sz w:val="24"/>
          <w:szCs w:val="24"/>
        </w:rPr>
        <w:t xml:space="preserve">%.  Apesar de quase todos os números de internações apresentarem melhora significativas, o custo não acompanhou, todos os capítulos houve uma redução nos custos, foi algo pequeno comparado ao que deveria ser o ideal, tendo na maioria uma redução de 0% a 15% com exceção a doenças dos grupos IV, VII e VIII que tiveram </w:t>
      </w:r>
      <w:r w:rsidR="003B3E33" w:rsidRPr="00B37406">
        <w:rPr>
          <w:rFonts w:ascii="Arial" w:hAnsi="Arial" w:cs="Arial"/>
          <w:sz w:val="24"/>
          <w:szCs w:val="24"/>
        </w:rPr>
        <w:t xml:space="preserve">por volta dos 30%. Já os outro 6 que tiveram um aumento evidente, três deles tiveram </w:t>
      </w:r>
      <w:r w:rsidR="00F33A1F" w:rsidRPr="00B37406">
        <w:rPr>
          <w:rFonts w:ascii="Arial" w:hAnsi="Arial" w:cs="Arial"/>
          <w:sz w:val="24"/>
          <w:szCs w:val="24"/>
        </w:rPr>
        <w:t>um aumento maior</w:t>
      </w:r>
      <w:r w:rsidR="003B3E33" w:rsidRPr="00B37406">
        <w:rPr>
          <w:rFonts w:ascii="Arial" w:hAnsi="Arial" w:cs="Arial"/>
          <w:sz w:val="24"/>
          <w:szCs w:val="24"/>
        </w:rPr>
        <w:t xml:space="preserve"> do que 200%.</w:t>
      </w:r>
    </w:p>
    <w:p w14:paraId="16BDA88C" w14:textId="04F7D0A4" w:rsidR="003B3E33" w:rsidRPr="00B37406" w:rsidRDefault="003B3E33" w:rsidP="00F92F84">
      <w:pPr>
        <w:pStyle w:val="PargrafodaLista"/>
        <w:spacing w:line="480" w:lineRule="auto"/>
        <w:ind w:left="0" w:firstLine="709"/>
        <w:jc w:val="both"/>
        <w:rPr>
          <w:rFonts w:ascii="Arial" w:hAnsi="Arial" w:cs="Arial"/>
          <w:sz w:val="24"/>
          <w:szCs w:val="24"/>
        </w:rPr>
      </w:pPr>
    </w:p>
    <w:p w14:paraId="0969FFAD" w14:textId="627D800C" w:rsidR="00A236F2" w:rsidRPr="00B37406" w:rsidRDefault="009A680F" w:rsidP="00032D3B">
      <w:pPr>
        <w:pStyle w:val="PargrafodaLista"/>
        <w:spacing w:line="480" w:lineRule="auto"/>
        <w:ind w:left="0" w:firstLine="709"/>
        <w:jc w:val="both"/>
        <w:rPr>
          <w:rFonts w:ascii="Arial" w:hAnsi="Arial" w:cs="Arial"/>
          <w:sz w:val="24"/>
          <w:szCs w:val="24"/>
        </w:rPr>
      </w:pPr>
      <w:r w:rsidRPr="00B37406">
        <w:rPr>
          <w:rFonts w:ascii="Arial" w:hAnsi="Arial" w:cs="Arial"/>
          <w:sz w:val="24"/>
          <w:szCs w:val="24"/>
        </w:rPr>
        <w:lastRenderedPageBreak/>
        <w:t xml:space="preserve">No caso dos óbitos, também causou algumas contradições, pois o índice de óbitos foi mais elevado, tendo diversas doenças que aumentaram a quantidade, mesmo tendo uma quantidade menor de internação. Isso pode dar como </w:t>
      </w:r>
      <w:r w:rsidR="002313D4" w:rsidRPr="00B37406">
        <w:rPr>
          <w:rFonts w:ascii="Arial" w:hAnsi="Arial" w:cs="Arial"/>
          <w:sz w:val="24"/>
          <w:szCs w:val="24"/>
        </w:rPr>
        <w:t>consequência</w:t>
      </w:r>
      <w:r w:rsidRPr="00B37406">
        <w:rPr>
          <w:rFonts w:ascii="Arial" w:hAnsi="Arial" w:cs="Arial"/>
          <w:sz w:val="24"/>
          <w:szCs w:val="24"/>
        </w:rPr>
        <w:t xml:space="preserve"> </w:t>
      </w:r>
      <w:r w:rsidR="001E24C5" w:rsidRPr="00B37406">
        <w:rPr>
          <w:rFonts w:ascii="Arial" w:hAnsi="Arial" w:cs="Arial"/>
          <w:sz w:val="24"/>
          <w:szCs w:val="24"/>
        </w:rPr>
        <w:t>de os</w:t>
      </w:r>
      <w:r w:rsidR="002313D4" w:rsidRPr="00B37406">
        <w:rPr>
          <w:rFonts w:ascii="Arial" w:hAnsi="Arial" w:cs="Arial"/>
          <w:sz w:val="24"/>
          <w:szCs w:val="24"/>
        </w:rPr>
        <w:t xml:space="preserve"> custos terem aumentado, deixando mais difícil o acesso para o medicamento </w:t>
      </w:r>
      <w:r w:rsidR="00D4396B" w:rsidRPr="00B37406">
        <w:rPr>
          <w:rFonts w:ascii="Arial" w:hAnsi="Arial" w:cs="Arial"/>
          <w:sz w:val="24"/>
          <w:szCs w:val="24"/>
        </w:rPr>
        <w:t>e consequentemente</w:t>
      </w:r>
      <w:r w:rsidR="002313D4" w:rsidRPr="00B37406">
        <w:rPr>
          <w:rFonts w:ascii="Arial" w:hAnsi="Arial" w:cs="Arial"/>
          <w:sz w:val="24"/>
          <w:szCs w:val="24"/>
        </w:rPr>
        <w:t xml:space="preserve"> causando a </w:t>
      </w:r>
      <w:r w:rsidRPr="00B37406">
        <w:rPr>
          <w:rFonts w:ascii="Arial" w:hAnsi="Arial" w:cs="Arial"/>
          <w:sz w:val="24"/>
          <w:szCs w:val="24"/>
        </w:rPr>
        <w:t xml:space="preserve">piora no tratamento </w:t>
      </w:r>
      <w:r w:rsidR="002313D4" w:rsidRPr="00B37406">
        <w:rPr>
          <w:rFonts w:ascii="Arial" w:hAnsi="Arial" w:cs="Arial"/>
          <w:sz w:val="24"/>
          <w:szCs w:val="24"/>
        </w:rPr>
        <w:t>de pacientes.</w:t>
      </w:r>
      <w:r w:rsidR="00A93EFB" w:rsidRPr="00B37406">
        <w:rPr>
          <w:rFonts w:ascii="Arial" w:hAnsi="Arial" w:cs="Arial"/>
          <w:sz w:val="24"/>
          <w:szCs w:val="24"/>
        </w:rPr>
        <w:tab/>
      </w:r>
    </w:p>
    <w:p w14:paraId="5AE05BDF" w14:textId="77777777" w:rsidR="00F92F84" w:rsidRPr="00B37406" w:rsidRDefault="00F92F84" w:rsidP="00F92F84">
      <w:pPr>
        <w:spacing w:line="480" w:lineRule="auto"/>
        <w:ind w:firstLine="709"/>
        <w:jc w:val="both"/>
        <w:rPr>
          <w:rFonts w:ascii="Arial" w:hAnsi="Arial" w:cs="Arial"/>
          <w:sz w:val="24"/>
          <w:szCs w:val="24"/>
        </w:rPr>
      </w:pPr>
    </w:p>
    <w:p w14:paraId="75D05F62" w14:textId="3A49F9F1" w:rsidR="006E6A4B" w:rsidRPr="00B37406" w:rsidRDefault="00552B10" w:rsidP="009228FF">
      <w:pPr>
        <w:spacing w:line="480" w:lineRule="auto"/>
        <w:jc w:val="both"/>
        <w:rPr>
          <w:rFonts w:ascii="Arial" w:hAnsi="Arial" w:cs="Arial"/>
          <w:b/>
          <w:bCs/>
          <w:sz w:val="24"/>
          <w:szCs w:val="24"/>
        </w:rPr>
      </w:pPr>
      <w:r w:rsidRPr="00B37406">
        <w:rPr>
          <w:rFonts w:ascii="Arial" w:hAnsi="Arial" w:cs="Arial"/>
          <w:b/>
          <w:bCs/>
          <w:sz w:val="24"/>
          <w:szCs w:val="24"/>
        </w:rPr>
        <w:t>C</w:t>
      </w:r>
      <w:r w:rsidR="006E6A4B" w:rsidRPr="00B37406">
        <w:rPr>
          <w:rFonts w:ascii="Arial" w:hAnsi="Arial" w:cs="Arial"/>
          <w:b/>
          <w:bCs/>
          <w:sz w:val="24"/>
          <w:szCs w:val="24"/>
        </w:rPr>
        <w:t>o</w:t>
      </w:r>
      <w:r w:rsidRPr="00B37406">
        <w:rPr>
          <w:rFonts w:ascii="Arial" w:hAnsi="Arial" w:cs="Arial"/>
          <w:b/>
          <w:bCs/>
          <w:sz w:val="24"/>
          <w:szCs w:val="24"/>
        </w:rPr>
        <w:t>n</w:t>
      </w:r>
      <w:r w:rsidR="006E6A4B" w:rsidRPr="00B37406">
        <w:rPr>
          <w:rFonts w:ascii="Arial" w:hAnsi="Arial" w:cs="Arial"/>
          <w:b/>
          <w:bCs/>
          <w:sz w:val="24"/>
          <w:szCs w:val="24"/>
        </w:rPr>
        <w:t>clusão</w:t>
      </w:r>
    </w:p>
    <w:p w14:paraId="736F4596" w14:textId="77777777" w:rsidR="003808A0" w:rsidRDefault="003808A0" w:rsidP="003808A0">
      <w:pPr>
        <w:spacing w:line="480" w:lineRule="auto"/>
        <w:ind w:firstLine="709"/>
        <w:jc w:val="both"/>
        <w:rPr>
          <w:rFonts w:ascii="Arial" w:hAnsi="Arial" w:cs="Arial"/>
          <w:sz w:val="24"/>
          <w:szCs w:val="24"/>
        </w:rPr>
      </w:pPr>
      <w:r w:rsidRPr="00B37406">
        <w:rPr>
          <w:rFonts w:ascii="Arial" w:hAnsi="Arial" w:cs="Arial"/>
          <w:sz w:val="24"/>
          <w:szCs w:val="24"/>
        </w:rPr>
        <w:t>De modo geram pode-se dizer que realmente houve a redução na utilização do SUS nos dados de internação, mas os dados de custo, óbitos e de mortalidade aumentaram, tornando-se um forte sinal de pandemia e suas influências.</w:t>
      </w:r>
    </w:p>
    <w:p w14:paraId="6AC68069" w14:textId="4065391B" w:rsidR="00DB6125" w:rsidRPr="002B4E35" w:rsidRDefault="00DB6125">
      <w:pPr>
        <w:rPr>
          <w:rFonts w:ascii="Arial" w:hAnsi="Arial" w:cs="Arial"/>
          <w:b/>
          <w:bCs/>
          <w:sz w:val="24"/>
          <w:szCs w:val="24"/>
        </w:rPr>
      </w:pPr>
    </w:p>
    <w:p w14:paraId="064C8C57" w14:textId="41B09CAE" w:rsidR="009C40F7" w:rsidRPr="002B4E35" w:rsidRDefault="009C40F7">
      <w:pPr>
        <w:rPr>
          <w:rFonts w:ascii="Arial" w:hAnsi="Arial" w:cs="Arial"/>
          <w:b/>
          <w:bCs/>
          <w:sz w:val="24"/>
          <w:szCs w:val="24"/>
        </w:rPr>
      </w:pPr>
    </w:p>
    <w:p w14:paraId="2F778618" w14:textId="17601A1E" w:rsidR="009C40F7" w:rsidRPr="002B4E35" w:rsidRDefault="009C40F7">
      <w:pPr>
        <w:rPr>
          <w:rFonts w:ascii="Arial" w:hAnsi="Arial" w:cs="Arial"/>
          <w:b/>
          <w:bCs/>
          <w:sz w:val="24"/>
          <w:szCs w:val="24"/>
        </w:rPr>
      </w:pPr>
      <w:r w:rsidRPr="002B4E35">
        <w:rPr>
          <w:rFonts w:ascii="Arial" w:hAnsi="Arial" w:cs="Arial"/>
          <w:b/>
          <w:bCs/>
          <w:sz w:val="24"/>
          <w:szCs w:val="24"/>
        </w:rPr>
        <w:br w:type="page"/>
      </w:r>
    </w:p>
    <w:p w14:paraId="785A37C4" w14:textId="77777777" w:rsidR="00FA1894" w:rsidRDefault="009C40F7" w:rsidP="00FA1894">
      <w:pPr>
        <w:spacing w:line="480" w:lineRule="auto"/>
        <w:jc w:val="both"/>
        <w:rPr>
          <w:rFonts w:ascii="Arial" w:hAnsi="Arial" w:cs="Arial"/>
          <w:b/>
          <w:bCs/>
          <w:sz w:val="24"/>
          <w:szCs w:val="24"/>
        </w:rPr>
      </w:pPr>
      <w:r w:rsidRPr="002B4E35">
        <w:rPr>
          <w:rFonts w:ascii="Arial" w:hAnsi="Arial" w:cs="Arial"/>
          <w:b/>
          <w:bCs/>
          <w:sz w:val="24"/>
          <w:szCs w:val="24"/>
        </w:rPr>
        <w:lastRenderedPageBreak/>
        <w:t>Referências:</w:t>
      </w:r>
    </w:p>
    <w:p w14:paraId="42977EE1" w14:textId="48EB5BEC" w:rsidR="00FA1894" w:rsidRPr="00FA1894" w:rsidRDefault="00BD3060" w:rsidP="00FA1894">
      <w:pPr>
        <w:pStyle w:val="PargrafodaLista"/>
        <w:numPr>
          <w:ilvl w:val="0"/>
          <w:numId w:val="6"/>
        </w:numPr>
        <w:spacing w:line="480" w:lineRule="auto"/>
        <w:jc w:val="both"/>
        <w:rPr>
          <w:rFonts w:ascii="Arial" w:hAnsi="Arial" w:cs="Arial"/>
          <w:color w:val="000000"/>
          <w:sz w:val="24"/>
          <w:szCs w:val="24"/>
        </w:rPr>
      </w:pPr>
      <w:r w:rsidRPr="00FA1894">
        <w:rPr>
          <w:rFonts w:ascii="Arial" w:hAnsi="Arial" w:cs="Arial"/>
          <w:color w:val="000000"/>
          <w:sz w:val="24"/>
          <w:szCs w:val="24"/>
        </w:rPr>
        <w:t>Organização Mundial da Saúde. Disponível em:</w:t>
      </w:r>
      <w:hyperlink r:id="rId10" w:history="1">
        <w:r w:rsidRPr="00FA1894">
          <w:rPr>
            <w:rStyle w:val="Hyperlink"/>
            <w:rFonts w:ascii="Arial" w:hAnsi="Arial" w:cs="Arial"/>
            <w:color w:val="000000"/>
            <w:sz w:val="24"/>
            <w:szCs w:val="24"/>
          </w:rPr>
          <w:t xml:space="preserve"> </w:t>
        </w:r>
        <w:r w:rsidRPr="00FA1894">
          <w:rPr>
            <w:rStyle w:val="Hyperlink"/>
            <w:rFonts w:ascii="Arial" w:hAnsi="Arial" w:cs="Arial"/>
            <w:color w:val="1155CC"/>
            <w:sz w:val="24"/>
            <w:szCs w:val="24"/>
          </w:rPr>
          <w:t>https://www.who.int/pt/home</w:t>
        </w:r>
      </w:hyperlink>
      <w:r w:rsidRPr="00FA1894">
        <w:rPr>
          <w:rFonts w:ascii="Arial" w:hAnsi="Arial" w:cs="Arial"/>
          <w:color w:val="000000"/>
          <w:sz w:val="24"/>
          <w:szCs w:val="24"/>
        </w:rPr>
        <w:t>  Acesso em: 22 de maio de 2021.</w:t>
      </w:r>
    </w:p>
    <w:p w14:paraId="38D8F023" w14:textId="77777777" w:rsidR="00FA1894" w:rsidRPr="00FA1894" w:rsidRDefault="00BD3060" w:rsidP="00FA1894">
      <w:pPr>
        <w:pStyle w:val="PargrafodaLista"/>
        <w:numPr>
          <w:ilvl w:val="0"/>
          <w:numId w:val="6"/>
        </w:numPr>
        <w:spacing w:line="480" w:lineRule="auto"/>
        <w:jc w:val="both"/>
        <w:rPr>
          <w:rFonts w:ascii="Arial" w:hAnsi="Arial" w:cs="Arial"/>
          <w:b/>
          <w:bCs/>
          <w:sz w:val="24"/>
          <w:szCs w:val="24"/>
        </w:rPr>
      </w:pPr>
      <w:r w:rsidRPr="00FA1894">
        <w:rPr>
          <w:rFonts w:ascii="Arial" w:hAnsi="Arial" w:cs="Arial"/>
          <w:color w:val="000000"/>
          <w:sz w:val="24"/>
          <w:szCs w:val="24"/>
        </w:rPr>
        <w:t xml:space="preserve">Sistema Único de Saúde. Disponível em: </w:t>
      </w:r>
      <w:r w:rsidRPr="00FA1894">
        <w:rPr>
          <w:rStyle w:val="apple-tab-span"/>
          <w:rFonts w:ascii="Arial" w:hAnsi="Arial" w:cs="Arial"/>
          <w:color w:val="000000"/>
          <w:sz w:val="24"/>
          <w:szCs w:val="24"/>
        </w:rPr>
        <w:tab/>
      </w:r>
      <w:r w:rsidRPr="00FA1894">
        <w:rPr>
          <w:rFonts w:ascii="Arial" w:hAnsi="Arial" w:cs="Arial"/>
          <w:color w:val="000000"/>
          <w:sz w:val="24"/>
          <w:szCs w:val="24"/>
        </w:rPr>
        <w:t>Acesso em: 22 de maio de 2021.</w:t>
      </w:r>
    </w:p>
    <w:p w14:paraId="509CE631" w14:textId="77777777" w:rsidR="00FA1894" w:rsidRPr="00FA1894" w:rsidRDefault="00BD3060" w:rsidP="00FA1894">
      <w:pPr>
        <w:pStyle w:val="PargrafodaLista"/>
        <w:numPr>
          <w:ilvl w:val="0"/>
          <w:numId w:val="6"/>
        </w:numPr>
        <w:spacing w:line="480" w:lineRule="auto"/>
        <w:jc w:val="both"/>
        <w:rPr>
          <w:rFonts w:ascii="Arial" w:hAnsi="Arial" w:cs="Arial"/>
          <w:b/>
          <w:bCs/>
          <w:sz w:val="24"/>
          <w:szCs w:val="24"/>
        </w:rPr>
      </w:pPr>
      <w:r w:rsidRPr="00FA1894">
        <w:rPr>
          <w:rFonts w:ascii="Arial" w:hAnsi="Arial" w:cs="Arial"/>
          <w:color w:val="000000"/>
        </w:rPr>
        <w:t xml:space="preserve">Ministério da Saúde. Portal da Saúde. DATASUS. Disponível em: </w:t>
      </w:r>
      <w:hyperlink r:id="rId11" w:history="1">
        <w:r w:rsidRPr="00FA1894">
          <w:rPr>
            <w:rStyle w:val="Hyperlink"/>
            <w:rFonts w:ascii="Arial" w:hAnsi="Arial" w:cs="Arial"/>
            <w:color w:val="000000"/>
            <w:sz w:val="24"/>
            <w:szCs w:val="24"/>
          </w:rPr>
          <w:t> </w:t>
        </w:r>
        <w:r w:rsidRPr="00FA1894">
          <w:rPr>
            <w:rStyle w:val="Hyperlink"/>
            <w:rFonts w:ascii="Arial" w:hAnsi="Arial" w:cs="Arial"/>
            <w:color w:val="1155CC"/>
            <w:sz w:val="24"/>
            <w:szCs w:val="24"/>
          </w:rPr>
          <w:t>http://www2.datasus.gov.br/DATASUS/</w:t>
        </w:r>
      </w:hyperlink>
      <w:r w:rsidRPr="00FA1894">
        <w:rPr>
          <w:rFonts w:ascii="Arial" w:hAnsi="Arial" w:cs="Arial"/>
          <w:color w:val="000000"/>
        </w:rPr>
        <w:t>  Acesso em: 22 de maio de 2021.</w:t>
      </w:r>
    </w:p>
    <w:p w14:paraId="08EA6385" w14:textId="77777777" w:rsidR="00FA1894" w:rsidRPr="00FA1894" w:rsidRDefault="00BD3060" w:rsidP="00FA1894">
      <w:pPr>
        <w:pStyle w:val="PargrafodaLista"/>
        <w:numPr>
          <w:ilvl w:val="0"/>
          <w:numId w:val="6"/>
        </w:numPr>
        <w:spacing w:line="480" w:lineRule="auto"/>
        <w:jc w:val="both"/>
        <w:rPr>
          <w:sz w:val="24"/>
          <w:szCs w:val="24"/>
        </w:rPr>
      </w:pPr>
      <w:r w:rsidRPr="00FA1894">
        <w:rPr>
          <w:rFonts w:ascii="Arial" w:hAnsi="Arial" w:cs="Arial"/>
          <w:color w:val="000000"/>
        </w:rPr>
        <w:t xml:space="preserve">Ministério da Saúde. Portal da Saúde. DATASUS. Disponível em: </w:t>
      </w:r>
      <w:hyperlink r:id="rId12" w:history="1">
        <w:r w:rsidRPr="00FA1894">
          <w:rPr>
            <w:rStyle w:val="Hyperlink"/>
            <w:rFonts w:ascii="Arial" w:hAnsi="Arial" w:cs="Arial"/>
            <w:color w:val="000000"/>
            <w:sz w:val="24"/>
            <w:szCs w:val="24"/>
          </w:rPr>
          <w:t> </w:t>
        </w:r>
        <w:r w:rsidRPr="00FA1894">
          <w:rPr>
            <w:rStyle w:val="Hyperlink"/>
            <w:rFonts w:ascii="Arial" w:hAnsi="Arial" w:cs="Arial"/>
            <w:color w:val="1155CC"/>
            <w:sz w:val="24"/>
            <w:szCs w:val="24"/>
          </w:rPr>
          <w:t>http://tabnet.datasus.gov.br/tabdata/LivroIDB/2edrev/a10.pdf</w:t>
        </w:r>
      </w:hyperlink>
      <w:r w:rsidRPr="00FA1894">
        <w:rPr>
          <w:rFonts w:ascii="Arial" w:hAnsi="Arial" w:cs="Arial"/>
          <w:color w:val="000000"/>
        </w:rPr>
        <w:t xml:space="preserve"> Acesso em: 15 de junho de 2021.</w:t>
      </w:r>
    </w:p>
    <w:p w14:paraId="6862688D" w14:textId="77777777" w:rsidR="00FA1894" w:rsidRPr="00FA1894" w:rsidRDefault="00FA1894" w:rsidP="00FA1894">
      <w:pPr>
        <w:pStyle w:val="PargrafodaLista"/>
        <w:numPr>
          <w:ilvl w:val="0"/>
          <w:numId w:val="6"/>
        </w:numPr>
        <w:spacing w:line="480" w:lineRule="auto"/>
        <w:jc w:val="both"/>
        <w:rPr>
          <w:sz w:val="24"/>
          <w:szCs w:val="24"/>
        </w:rPr>
      </w:pPr>
      <w:r w:rsidRPr="00BD3060">
        <w:rPr>
          <w:rFonts w:ascii="Arial" w:hAnsi="Arial" w:cs="Arial"/>
          <w:color w:val="000000"/>
        </w:rPr>
        <w:t xml:space="preserve"> </w:t>
      </w:r>
      <w:r w:rsidR="00BD3060" w:rsidRPr="00BD3060">
        <w:rPr>
          <w:rFonts w:ascii="Arial" w:hAnsi="Arial" w:cs="Arial"/>
          <w:color w:val="000000"/>
          <w:sz w:val="24"/>
          <w:szCs w:val="24"/>
        </w:rPr>
        <w:t>Noronha KVMS, Guedes GR, Turra CM;  Andrade MV,  Botega L,  Nogueira D,  Julia Almeida Calazans JA, Carvalho L, Servo L, Ferreira MF, Pandemia por COVID-19 no Brasil: análise da demanda e da oferta de leitos hospitalares e equipamentos de ventilação assistida segundo diferentes cenários, Disponível em:</w:t>
      </w:r>
      <w:hyperlink r:id="rId13" w:history="1">
        <w:r w:rsidR="00BD3060" w:rsidRPr="00BD3060">
          <w:rPr>
            <w:rStyle w:val="Hyperlink"/>
            <w:rFonts w:ascii="Arial" w:hAnsi="Arial" w:cs="Arial"/>
            <w:color w:val="000000"/>
            <w:sz w:val="24"/>
            <w:szCs w:val="24"/>
          </w:rPr>
          <w:t xml:space="preserve"> </w:t>
        </w:r>
        <w:r w:rsidR="00BD3060" w:rsidRPr="00BD3060">
          <w:rPr>
            <w:rStyle w:val="Hyperlink"/>
            <w:rFonts w:ascii="Arial" w:hAnsi="Arial" w:cs="Arial"/>
            <w:color w:val="1155CC"/>
            <w:sz w:val="24"/>
            <w:szCs w:val="24"/>
          </w:rPr>
          <w:t>https://www.scielo.br/j/csp/a/MMd3ZfwYstDqbpRxFRR53Wx/?lang=pt#</w:t>
        </w:r>
      </w:hyperlink>
      <w:r w:rsidR="00BD3060" w:rsidRPr="00BD3060">
        <w:rPr>
          <w:rFonts w:ascii="Arial" w:hAnsi="Arial" w:cs="Arial"/>
          <w:color w:val="000000"/>
          <w:sz w:val="24"/>
          <w:szCs w:val="24"/>
        </w:rPr>
        <w:t>, Acesso em: 29 de junho de 2021</w:t>
      </w:r>
    </w:p>
    <w:p w14:paraId="2CB6EBEF" w14:textId="77777777" w:rsidR="00FA1894" w:rsidRPr="00FA1894" w:rsidRDefault="00BD3060" w:rsidP="00FA1894">
      <w:pPr>
        <w:pStyle w:val="PargrafodaLista"/>
        <w:numPr>
          <w:ilvl w:val="0"/>
          <w:numId w:val="6"/>
        </w:numPr>
        <w:spacing w:line="480" w:lineRule="auto"/>
        <w:jc w:val="both"/>
        <w:rPr>
          <w:sz w:val="24"/>
          <w:szCs w:val="24"/>
        </w:rPr>
      </w:pPr>
      <w:r w:rsidRPr="00BD3060">
        <w:rPr>
          <w:rFonts w:ascii="Arial" w:hAnsi="Arial" w:cs="Arial"/>
          <w:color w:val="000000"/>
          <w:sz w:val="24"/>
          <w:szCs w:val="24"/>
        </w:rPr>
        <w:t>Rache B, Rocha R, Nunes L, Spinola P e Massuda A. Para Além do Custeio: Necessidades de Investimento em Leitos de UTI no SUS sob Diferentes Cenários da COVID-19. Disponível em:</w:t>
      </w:r>
      <w:hyperlink r:id="rId14" w:history="1">
        <w:r w:rsidRPr="00BD3060">
          <w:rPr>
            <w:rStyle w:val="Hyperlink"/>
            <w:rFonts w:ascii="Arial" w:hAnsi="Arial" w:cs="Arial"/>
            <w:color w:val="000000"/>
            <w:sz w:val="24"/>
            <w:szCs w:val="24"/>
          </w:rPr>
          <w:t xml:space="preserve"> </w:t>
        </w:r>
        <w:r w:rsidRPr="00BD3060">
          <w:rPr>
            <w:rStyle w:val="Hyperlink"/>
            <w:rFonts w:ascii="Arial" w:hAnsi="Arial" w:cs="Arial"/>
            <w:color w:val="1155CC"/>
            <w:sz w:val="24"/>
            <w:szCs w:val="24"/>
          </w:rPr>
          <w:t>https://ieps.org.br/pesquisas/para-alem-do-custeio-necessidades-de-investimento-em-leitos-de-uti-no-sus-sob-diferentes-cenarios-da-covid-19/</w:t>
        </w:r>
      </w:hyperlink>
      <w:r w:rsidRPr="00BD3060">
        <w:rPr>
          <w:rFonts w:ascii="Arial" w:hAnsi="Arial" w:cs="Arial"/>
          <w:color w:val="000000"/>
          <w:sz w:val="24"/>
          <w:szCs w:val="24"/>
        </w:rPr>
        <w:t>, Acesso em: 29 de junho de 2021</w:t>
      </w:r>
    </w:p>
    <w:p w14:paraId="3AA035B7" w14:textId="77777777" w:rsidR="00FA1894" w:rsidRPr="00FA1894" w:rsidRDefault="00BD3060" w:rsidP="00FA1894">
      <w:pPr>
        <w:pStyle w:val="PargrafodaLista"/>
        <w:numPr>
          <w:ilvl w:val="0"/>
          <w:numId w:val="6"/>
        </w:numPr>
        <w:spacing w:line="480" w:lineRule="auto"/>
        <w:jc w:val="both"/>
        <w:rPr>
          <w:sz w:val="24"/>
          <w:szCs w:val="24"/>
        </w:rPr>
      </w:pPr>
      <w:r w:rsidRPr="00BD3060">
        <w:rPr>
          <w:rFonts w:ascii="Arial" w:hAnsi="Arial" w:cs="Arial"/>
          <w:color w:val="000000"/>
          <w:sz w:val="24"/>
          <w:szCs w:val="24"/>
        </w:rPr>
        <w:lastRenderedPageBreak/>
        <w:t xml:space="preserve">Teixeira CFS, Soares CM, Souza EA, Lisboa S, Pinto ICM, Andrade LR, Espiridião MA.  A saúde dos profissionais de saúde no enfrentamento da pandemia de Covid- 19.  Disponível em: </w:t>
      </w:r>
      <w:hyperlink r:id="rId15" w:history="1">
        <w:r w:rsidRPr="00BD3060">
          <w:rPr>
            <w:rStyle w:val="Hyperlink"/>
            <w:rFonts w:ascii="Arial" w:hAnsi="Arial" w:cs="Arial"/>
            <w:color w:val="000000"/>
            <w:sz w:val="24"/>
            <w:szCs w:val="24"/>
          </w:rPr>
          <w:t> </w:t>
        </w:r>
        <w:r w:rsidRPr="00BD3060">
          <w:rPr>
            <w:rStyle w:val="Hyperlink"/>
            <w:rFonts w:ascii="Arial" w:hAnsi="Arial" w:cs="Arial"/>
            <w:color w:val="1155CC"/>
            <w:sz w:val="24"/>
            <w:szCs w:val="24"/>
          </w:rPr>
          <w:t>https://www.scielosp.org/article/csc/2020.v25n9/3465-3474/</w:t>
        </w:r>
      </w:hyperlink>
      <w:r w:rsidRPr="00BD3060">
        <w:rPr>
          <w:rFonts w:ascii="Arial" w:hAnsi="Arial" w:cs="Arial"/>
          <w:color w:val="000000"/>
          <w:sz w:val="24"/>
          <w:szCs w:val="24"/>
        </w:rPr>
        <w:t>, Acesso em: 29 de junho de 2021</w:t>
      </w:r>
    </w:p>
    <w:p w14:paraId="6D11715C" w14:textId="77777777" w:rsidR="00FA1894" w:rsidRPr="00FA1894" w:rsidRDefault="00BD3060" w:rsidP="00FA1894">
      <w:pPr>
        <w:pStyle w:val="PargrafodaLista"/>
        <w:numPr>
          <w:ilvl w:val="0"/>
          <w:numId w:val="6"/>
        </w:numPr>
        <w:spacing w:line="480" w:lineRule="auto"/>
        <w:jc w:val="both"/>
        <w:rPr>
          <w:sz w:val="24"/>
          <w:szCs w:val="24"/>
        </w:rPr>
      </w:pPr>
      <w:r w:rsidRPr="00BD3060">
        <w:rPr>
          <w:rFonts w:ascii="Arial" w:hAnsi="Arial" w:cs="Arial"/>
          <w:color w:val="000000"/>
          <w:sz w:val="24"/>
          <w:szCs w:val="24"/>
        </w:rPr>
        <w:t xml:space="preserve">Faro A, </w:t>
      </w:r>
      <w:proofErr w:type="spellStart"/>
      <w:r w:rsidRPr="00BD3060">
        <w:rPr>
          <w:rFonts w:ascii="Arial" w:hAnsi="Arial" w:cs="Arial"/>
          <w:color w:val="000000"/>
          <w:sz w:val="24"/>
          <w:szCs w:val="24"/>
        </w:rPr>
        <w:t>Bahiano</w:t>
      </w:r>
      <w:proofErr w:type="spellEnd"/>
      <w:r w:rsidRPr="00BD3060">
        <w:rPr>
          <w:rFonts w:ascii="Arial" w:hAnsi="Arial" w:cs="Arial"/>
          <w:color w:val="000000"/>
          <w:sz w:val="24"/>
          <w:szCs w:val="24"/>
        </w:rPr>
        <w:t xml:space="preserve"> MA, Nakano TC, Reis C, Silva BFP, Vitti LS COVID-19 e saúde mental: a emergência do cuidado. Disponível em:</w:t>
      </w:r>
      <w:hyperlink r:id="rId16" w:history="1">
        <w:r w:rsidRPr="00BD3060">
          <w:rPr>
            <w:rStyle w:val="Hyperlink"/>
            <w:rFonts w:ascii="Arial" w:hAnsi="Arial" w:cs="Arial"/>
            <w:color w:val="000000"/>
            <w:sz w:val="24"/>
            <w:szCs w:val="24"/>
          </w:rPr>
          <w:t xml:space="preserve"> </w:t>
        </w:r>
        <w:r w:rsidRPr="00BD3060">
          <w:rPr>
            <w:rStyle w:val="Hyperlink"/>
            <w:rFonts w:ascii="Arial" w:hAnsi="Arial" w:cs="Arial"/>
            <w:color w:val="1155CC"/>
            <w:sz w:val="24"/>
            <w:szCs w:val="24"/>
          </w:rPr>
          <w:t>https://www.scielo.br/j/estpsi/a/dkxZ6QwHRPhZLsR3z8m7hvF/?lang=pt#</w:t>
        </w:r>
      </w:hyperlink>
      <w:r w:rsidRPr="00BD3060">
        <w:rPr>
          <w:rFonts w:ascii="Arial" w:hAnsi="Arial" w:cs="Arial"/>
          <w:color w:val="000000"/>
          <w:sz w:val="24"/>
          <w:szCs w:val="24"/>
        </w:rPr>
        <w:t>, Acesso em: 29 de junho de 2021</w:t>
      </w:r>
    </w:p>
    <w:p w14:paraId="7C5A1D66" w14:textId="77777777" w:rsidR="00FA1894" w:rsidRPr="00FA1894" w:rsidRDefault="00BD3060" w:rsidP="00FA1894">
      <w:pPr>
        <w:pStyle w:val="PargrafodaLista"/>
        <w:numPr>
          <w:ilvl w:val="0"/>
          <w:numId w:val="6"/>
        </w:numPr>
        <w:spacing w:line="480" w:lineRule="auto"/>
        <w:jc w:val="both"/>
        <w:rPr>
          <w:sz w:val="24"/>
          <w:szCs w:val="24"/>
        </w:rPr>
      </w:pPr>
      <w:r w:rsidRPr="00BD3060">
        <w:rPr>
          <w:rFonts w:ascii="Arial" w:hAnsi="Arial" w:cs="Arial"/>
          <w:color w:val="000000"/>
          <w:sz w:val="24"/>
          <w:szCs w:val="24"/>
        </w:rPr>
        <w:t>Almeida ALC, Monteiro T, Mello MSS, Cedro AV, Lopes LN, Ribeiro APMR, Mota JGC, Mendes RS, Almeida PAA, Ferreira MA, Arruda DM, Santos AAP, Rios VG, Dantas MRN, Silva VA, Silva MG, Sampaio MHS, Guimarães AR, Junior MGS - Repercussões da Pandemia de COVID-19 na Prática Assistencial de um Hospital Terciário Disponível em:</w:t>
      </w:r>
      <w:hyperlink r:id="rId17" w:history="1">
        <w:r w:rsidRPr="00BD3060">
          <w:rPr>
            <w:rStyle w:val="Hyperlink"/>
            <w:rFonts w:ascii="Arial" w:hAnsi="Arial" w:cs="Arial"/>
            <w:color w:val="000000"/>
            <w:sz w:val="24"/>
            <w:szCs w:val="24"/>
          </w:rPr>
          <w:t xml:space="preserve"> </w:t>
        </w:r>
        <w:r w:rsidRPr="00BD3060">
          <w:rPr>
            <w:rStyle w:val="Hyperlink"/>
            <w:rFonts w:ascii="Arial" w:hAnsi="Arial" w:cs="Arial"/>
            <w:color w:val="1155CC"/>
            <w:sz w:val="24"/>
            <w:szCs w:val="24"/>
          </w:rPr>
          <w:t>https://www.scielo.br/j/abc/a/bzXzmkXDVnyzgcQqRjxJbrf/?lang=pt#</w:t>
        </w:r>
      </w:hyperlink>
      <w:r w:rsidRPr="00BD3060">
        <w:rPr>
          <w:rFonts w:ascii="Arial" w:hAnsi="Arial" w:cs="Arial"/>
          <w:color w:val="000000"/>
          <w:sz w:val="24"/>
          <w:szCs w:val="24"/>
        </w:rPr>
        <w:t>, Acesso em: 30 de junho de 2021.</w:t>
      </w:r>
    </w:p>
    <w:p w14:paraId="34FC5D2F" w14:textId="77777777" w:rsidR="00FA1894" w:rsidRPr="00FA1894" w:rsidRDefault="00BD3060" w:rsidP="00FA1894">
      <w:pPr>
        <w:pStyle w:val="PargrafodaLista"/>
        <w:numPr>
          <w:ilvl w:val="0"/>
          <w:numId w:val="6"/>
        </w:numPr>
        <w:spacing w:line="480" w:lineRule="auto"/>
        <w:jc w:val="both"/>
        <w:rPr>
          <w:sz w:val="24"/>
          <w:szCs w:val="24"/>
        </w:rPr>
      </w:pPr>
      <w:r w:rsidRPr="00FA1894">
        <w:rPr>
          <w:rFonts w:ascii="Arial" w:hAnsi="Arial" w:cs="Arial"/>
          <w:color w:val="000000"/>
          <w:lang w:val="en-US"/>
        </w:rPr>
        <w:t xml:space="preserve">Waldman A, Shaw A, </w:t>
      </w:r>
      <w:proofErr w:type="spellStart"/>
      <w:r w:rsidRPr="00FA1894">
        <w:rPr>
          <w:rFonts w:ascii="Arial" w:hAnsi="Arial" w:cs="Arial"/>
          <w:color w:val="000000"/>
          <w:lang w:val="en-US"/>
        </w:rPr>
        <w:t>Ngu</w:t>
      </w:r>
      <w:proofErr w:type="spellEnd"/>
      <w:r w:rsidRPr="00FA1894">
        <w:rPr>
          <w:rFonts w:ascii="Arial" w:hAnsi="Arial" w:cs="Arial"/>
          <w:color w:val="000000"/>
          <w:lang w:val="en-US"/>
        </w:rPr>
        <w:t xml:space="preserve"> A, Campbell S. Are hospitals near me ready for coronavirus? Here are nine different scenarios. ProPublica 2020; 17 </w:t>
      </w:r>
      <w:proofErr w:type="gramStart"/>
      <w:r w:rsidRPr="00FA1894">
        <w:rPr>
          <w:rFonts w:ascii="Arial" w:hAnsi="Arial" w:cs="Arial"/>
          <w:color w:val="000000"/>
          <w:lang w:val="en-US"/>
        </w:rPr>
        <w:t>mar</w:t>
      </w:r>
      <w:proofErr w:type="gramEnd"/>
      <w:r w:rsidRPr="00FA1894">
        <w:rPr>
          <w:rFonts w:ascii="Arial" w:hAnsi="Arial" w:cs="Arial"/>
          <w:color w:val="000000"/>
          <w:lang w:val="en-US"/>
        </w:rPr>
        <w:t xml:space="preserve">. https://projects.propublica.org/ graphics/covid-hospitals. </w:t>
      </w:r>
      <w:proofErr w:type="spellStart"/>
      <w:r w:rsidRPr="00FA1894">
        <w:rPr>
          <w:rFonts w:ascii="Arial" w:hAnsi="Arial" w:cs="Arial"/>
          <w:color w:val="000000"/>
          <w:lang w:val="en-US"/>
        </w:rPr>
        <w:t>Acesso</w:t>
      </w:r>
      <w:proofErr w:type="spellEnd"/>
      <w:r w:rsidRPr="00FA1894">
        <w:rPr>
          <w:rFonts w:ascii="Arial" w:hAnsi="Arial" w:cs="Arial"/>
          <w:color w:val="000000"/>
          <w:lang w:val="en-US"/>
        </w:rPr>
        <w:t xml:space="preserve"> </w:t>
      </w:r>
      <w:proofErr w:type="spellStart"/>
      <w:r w:rsidRPr="00FA1894">
        <w:rPr>
          <w:rFonts w:ascii="Arial" w:hAnsi="Arial" w:cs="Arial"/>
          <w:color w:val="000000"/>
          <w:lang w:val="en-US"/>
        </w:rPr>
        <w:t>em</w:t>
      </w:r>
      <w:proofErr w:type="spellEnd"/>
      <w:r w:rsidRPr="00FA1894">
        <w:rPr>
          <w:rFonts w:ascii="Arial" w:hAnsi="Arial" w:cs="Arial"/>
          <w:color w:val="000000"/>
          <w:lang w:val="en-US"/>
        </w:rPr>
        <w:t xml:space="preserve">: 02 de </w:t>
      </w:r>
      <w:proofErr w:type="spellStart"/>
      <w:r w:rsidRPr="00FA1894">
        <w:rPr>
          <w:rFonts w:ascii="Arial" w:hAnsi="Arial" w:cs="Arial"/>
          <w:color w:val="000000"/>
          <w:lang w:val="en-US"/>
        </w:rPr>
        <w:t>julho</w:t>
      </w:r>
      <w:proofErr w:type="spellEnd"/>
      <w:r w:rsidRPr="00FA1894">
        <w:rPr>
          <w:rFonts w:ascii="Arial" w:hAnsi="Arial" w:cs="Arial"/>
          <w:color w:val="000000"/>
          <w:lang w:val="en-US"/>
        </w:rPr>
        <w:t xml:space="preserve"> de 2021.</w:t>
      </w:r>
    </w:p>
    <w:p w14:paraId="020F675F" w14:textId="72A81361" w:rsidR="00BD3060" w:rsidRPr="00BD3060" w:rsidRDefault="00BD3060" w:rsidP="00FA1894">
      <w:pPr>
        <w:pStyle w:val="PargrafodaLista"/>
        <w:numPr>
          <w:ilvl w:val="0"/>
          <w:numId w:val="6"/>
        </w:numPr>
        <w:spacing w:line="480" w:lineRule="auto"/>
        <w:jc w:val="both"/>
        <w:rPr>
          <w:sz w:val="24"/>
          <w:szCs w:val="24"/>
        </w:rPr>
      </w:pPr>
      <w:r w:rsidRPr="00BD3060">
        <w:rPr>
          <w:rFonts w:ascii="Arial" w:hAnsi="Arial" w:cs="Arial"/>
          <w:color w:val="000000"/>
          <w:sz w:val="24"/>
          <w:szCs w:val="24"/>
          <w:lang w:val="en-US"/>
        </w:rPr>
        <w:t xml:space="preserve"> Walker PGT, Whittaker C, Watson O, </w:t>
      </w:r>
      <w:proofErr w:type="spellStart"/>
      <w:r w:rsidRPr="00BD3060">
        <w:rPr>
          <w:rFonts w:ascii="Arial" w:hAnsi="Arial" w:cs="Arial"/>
          <w:color w:val="000000"/>
          <w:sz w:val="24"/>
          <w:szCs w:val="24"/>
          <w:lang w:val="en-US"/>
        </w:rPr>
        <w:t>Baguelin</w:t>
      </w:r>
      <w:proofErr w:type="spellEnd"/>
      <w:r w:rsidRPr="00BD3060">
        <w:rPr>
          <w:rFonts w:ascii="Arial" w:hAnsi="Arial" w:cs="Arial"/>
          <w:color w:val="000000"/>
          <w:sz w:val="24"/>
          <w:szCs w:val="24"/>
          <w:lang w:val="en-US"/>
        </w:rPr>
        <w:t xml:space="preserve"> M, Ainslie KEC, Bhatia S, et al. The global impact of COVID-19 and strategies for mitigation and suppression. https://spiral.imperial. ac.uk:8443/handle/10044/1/77735. </w:t>
      </w:r>
      <w:r w:rsidRPr="00BD3060">
        <w:rPr>
          <w:rFonts w:ascii="Arial" w:hAnsi="Arial" w:cs="Arial"/>
          <w:color w:val="000000"/>
          <w:sz w:val="24"/>
          <w:szCs w:val="24"/>
        </w:rPr>
        <w:t>Acesso em: 02 de julho de 2021.</w:t>
      </w:r>
    </w:p>
    <w:p w14:paraId="278995C4" w14:textId="6287406D" w:rsidR="004B7A0C" w:rsidRPr="004B7A0C" w:rsidRDefault="004B7A0C" w:rsidP="00FA1894">
      <w:pPr>
        <w:pStyle w:val="PargrafodaLista"/>
        <w:spacing w:line="480" w:lineRule="auto"/>
        <w:ind w:left="1080"/>
        <w:jc w:val="both"/>
        <w:rPr>
          <w:rFonts w:ascii="Arial" w:hAnsi="Arial" w:cs="Arial"/>
          <w:sz w:val="28"/>
          <w:szCs w:val="28"/>
        </w:rPr>
      </w:pPr>
    </w:p>
    <w:sectPr w:rsidR="004B7A0C" w:rsidRPr="004B7A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EEC3" w14:textId="77777777" w:rsidR="00526A5C" w:rsidRDefault="00526A5C" w:rsidP="00C23403">
      <w:pPr>
        <w:spacing w:after="0" w:line="240" w:lineRule="auto"/>
      </w:pPr>
      <w:r>
        <w:separator/>
      </w:r>
    </w:p>
  </w:endnote>
  <w:endnote w:type="continuationSeparator" w:id="0">
    <w:p w14:paraId="6E0B7F85" w14:textId="77777777" w:rsidR="00526A5C" w:rsidRDefault="00526A5C" w:rsidP="00C2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C212" w14:textId="77777777" w:rsidR="00526A5C" w:rsidRDefault="00526A5C" w:rsidP="00C23403">
      <w:pPr>
        <w:spacing w:after="0" w:line="240" w:lineRule="auto"/>
      </w:pPr>
      <w:r>
        <w:separator/>
      </w:r>
    </w:p>
  </w:footnote>
  <w:footnote w:type="continuationSeparator" w:id="0">
    <w:p w14:paraId="09FA14C1" w14:textId="77777777" w:rsidR="00526A5C" w:rsidRDefault="00526A5C" w:rsidP="00C23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DA4"/>
    <w:multiLevelType w:val="hybridMultilevel"/>
    <w:tmpl w:val="C6346208"/>
    <w:lvl w:ilvl="0" w:tplc="6A9EA920">
      <w:start w:val="1"/>
      <w:numFmt w:val="decimal"/>
      <w:lvlText w:val="%1."/>
      <w:lvlJc w:val="left"/>
      <w:pPr>
        <w:ind w:left="795" w:hanging="795"/>
      </w:pPr>
      <w:rPr>
        <w:rFonts w:hint="default"/>
        <w:b/>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0D07A67"/>
    <w:multiLevelType w:val="hybridMultilevel"/>
    <w:tmpl w:val="BAD62A74"/>
    <w:lvl w:ilvl="0" w:tplc="0416000F">
      <w:start w:val="1"/>
      <w:numFmt w:val="decimal"/>
      <w:lvlText w:val="%1."/>
      <w:lvlJc w:val="left"/>
      <w:pPr>
        <w:ind w:left="709" w:hanging="360"/>
      </w:pPr>
    </w:lvl>
    <w:lvl w:ilvl="1" w:tplc="04160019" w:tentative="1">
      <w:start w:val="1"/>
      <w:numFmt w:val="lowerLetter"/>
      <w:lvlText w:val="%2."/>
      <w:lvlJc w:val="left"/>
      <w:pPr>
        <w:ind w:left="1429" w:hanging="360"/>
      </w:pPr>
    </w:lvl>
    <w:lvl w:ilvl="2" w:tplc="0416001B" w:tentative="1">
      <w:start w:val="1"/>
      <w:numFmt w:val="lowerRoman"/>
      <w:lvlText w:val="%3."/>
      <w:lvlJc w:val="right"/>
      <w:pPr>
        <w:ind w:left="2149" w:hanging="180"/>
      </w:pPr>
    </w:lvl>
    <w:lvl w:ilvl="3" w:tplc="0416000F" w:tentative="1">
      <w:start w:val="1"/>
      <w:numFmt w:val="decimal"/>
      <w:lvlText w:val="%4."/>
      <w:lvlJc w:val="left"/>
      <w:pPr>
        <w:ind w:left="2869" w:hanging="360"/>
      </w:pPr>
    </w:lvl>
    <w:lvl w:ilvl="4" w:tplc="04160019" w:tentative="1">
      <w:start w:val="1"/>
      <w:numFmt w:val="lowerLetter"/>
      <w:lvlText w:val="%5."/>
      <w:lvlJc w:val="left"/>
      <w:pPr>
        <w:ind w:left="3589" w:hanging="360"/>
      </w:pPr>
    </w:lvl>
    <w:lvl w:ilvl="5" w:tplc="0416001B" w:tentative="1">
      <w:start w:val="1"/>
      <w:numFmt w:val="lowerRoman"/>
      <w:lvlText w:val="%6."/>
      <w:lvlJc w:val="right"/>
      <w:pPr>
        <w:ind w:left="4309" w:hanging="180"/>
      </w:pPr>
    </w:lvl>
    <w:lvl w:ilvl="6" w:tplc="0416000F" w:tentative="1">
      <w:start w:val="1"/>
      <w:numFmt w:val="decimal"/>
      <w:lvlText w:val="%7."/>
      <w:lvlJc w:val="left"/>
      <w:pPr>
        <w:ind w:left="5029" w:hanging="360"/>
      </w:pPr>
    </w:lvl>
    <w:lvl w:ilvl="7" w:tplc="04160019" w:tentative="1">
      <w:start w:val="1"/>
      <w:numFmt w:val="lowerLetter"/>
      <w:lvlText w:val="%8."/>
      <w:lvlJc w:val="left"/>
      <w:pPr>
        <w:ind w:left="5749" w:hanging="360"/>
      </w:pPr>
    </w:lvl>
    <w:lvl w:ilvl="8" w:tplc="0416001B" w:tentative="1">
      <w:start w:val="1"/>
      <w:numFmt w:val="lowerRoman"/>
      <w:lvlText w:val="%9."/>
      <w:lvlJc w:val="right"/>
      <w:pPr>
        <w:ind w:left="6469" w:hanging="180"/>
      </w:pPr>
    </w:lvl>
  </w:abstractNum>
  <w:abstractNum w:abstractNumId="2" w15:restartNumberingAfterBreak="0">
    <w:nsid w:val="2632106D"/>
    <w:multiLevelType w:val="hybridMultilevel"/>
    <w:tmpl w:val="CEB0C1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C404CF"/>
    <w:multiLevelType w:val="hybridMultilevel"/>
    <w:tmpl w:val="C330A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1842F5"/>
    <w:multiLevelType w:val="hybridMultilevel"/>
    <w:tmpl w:val="CEB0C1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A4B"/>
    <w:rsid w:val="0001102D"/>
    <w:rsid w:val="00012170"/>
    <w:rsid w:val="00016996"/>
    <w:rsid w:val="00016BCB"/>
    <w:rsid w:val="00026F1F"/>
    <w:rsid w:val="00031EBA"/>
    <w:rsid w:val="00032D3B"/>
    <w:rsid w:val="0003326B"/>
    <w:rsid w:val="00034979"/>
    <w:rsid w:val="00046EF1"/>
    <w:rsid w:val="00050417"/>
    <w:rsid w:val="00055B56"/>
    <w:rsid w:val="00060C95"/>
    <w:rsid w:val="00063249"/>
    <w:rsid w:val="00063738"/>
    <w:rsid w:val="00065111"/>
    <w:rsid w:val="00074C9A"/>
    <w:rsid w:val="00080AFB"/>
    <w:rsid w:val="00083AC7"/>
    <w:rsid w:val="000A4D13"/>
    <w:rsid w:val="000B043B"/>
    <w:rsid w:val="000B22AA"/>
    <w:rsid w:val="000B4DD2"/>
    <w:rsid w:val="000C0ACE"/>
    <w:rsid w:val="000C2D79"/>
    <w:rsid w:val="000D517C"/>
    <w:rsid w:val="000D55DD"/>
    <w:rsid w:val="000D581C"/>
    <w:rsid w:val="000E3C94"/>
    <w:rsid w:val="000E51AE"/>
    <w:rsid w:val="000E68B7"/>
    <w:rsid w:val="000F0E3D"/>
    <w:rsid w:val="000F34F1"/>
    <w:rsid w:val="000F6A37"/>
    <w:rsid w:val="00105691"/>
    <w:rsid w:val="0011451C"/>
    <w:rsid w:val="00122910"/>
    <w:rsid w:val="00143DEC"/>
    <w:rsid w:val="00152783"/>
    <w:rsid w:val="001529EB"/>
    <w:rsid w:val="001549BE"/>
    <w:rsid w:val="0016185B"/>
    <w:rsid w:val="00175373"/>
    <w:rsid w:val="001767BE"/>
    <w:rsid w:val="00183E90"/>
    <w:rsid w:val="0018701C"/>
    <w:rsid w:val="00190C30"/>
    <w:rsid w:val="00197582"/>
    <w:rsid w:val="001A1912"/>
    <w:rsid w:val="001A2417"/>
    <w:rsid w:val="001A2D89"/>
    <w:rsid w:val="001A31B8"/>
    <w:rsid w:val="001A4DEA"/>
    <w:rsid w:val="001B00DE"/>
    <w:rsid w:val="001B4589"/>
    <w:rsid w:val="001B69AE"/>
    <w:rsid w:val="001C1922"/>
    <w:rsid w:val="001C713F"/>
    <w:rsid w:val="001D1460"/>
    <w:rsid w:val="001D2167"/>
    <w:rsid w:val="001D701F"/>
    <w:rsid w:val="001E0370"/>
    <w:rsid w:val="001E150F"/>
    <w:rsid w:val="001E1F97"/>
    <w:rsid w:val="001E24C5"/>
    <w:rsid w:val="001E2C08"/>
    <w:rsid w:val="001E7056"/>
    <w:rsid w:val="001F1A61"/>
    <w:rsid w:val="001F710A"/>
    <w:rsid w:val="001F76CE"/>
    <w:rsid w:val="002027F5"/>
    <w:rsid w:val="002126E5"/>
    <w:rsid w:val="00213AA4"/>
    <w:rsid w:val="00214572"/>
    <w:rsid w:val="002211F8"/>
    <w:rsid w:val="002313D4"/>
    <w:rsid w:val="00234025"/>
    <w:rsid w:val="00243F3F"/>
    <w:rsid w:val="002452ED"/>
    <w:rsid w:val="00245E8D"/>
    <w:rsid w:val="00246A52"/>
    <w:rsid w:val="002508B4"/>
    <w:rsid w:val="00251D63"/>
    <w:rsid w:val="00253D3E"/>
    <w:rsid w:val="002620C5"/>
    <w:rsid w:val="00270BE4"/>
    <w:rsid w:val="00272B10"/>
    <w:rsid w:val="002750A4"/>
    <w:rsid w:val="0028286A"/>
    <w:rsid w:val="00290BF7"/>
    <w:rsid w:val="0029391B"/>
    <w:rsid w:val="002A2CD6"/>
    <w:rsid w:val="002A61CC"/>
    <w:rsid w:val="002A6C5D"/>
    <w:rsid w:val="002B020E"/>
    <w:rsid w:val="002B02BD"/>
    <w:rsid w:val="002B202E"/>
    <w:rsid w:val="002B2755"/>
    <w:rsid w:val="002B4E35"/>
    <w:rsid w:val="002C06AC"/>
    <w:rsid w:val="002C0981"/>
    <w:rsid w:val="002C1C92"/>
    <w:rsid w:val="002C74D6"/>
    <w:rsid w:val="002D5C71"/>
    <w:rsid w:val="002F3980"/>
    <w:rsid w:val="002F4734"/>
    <w:rsid w:val="00302518"/>
    <w:rsid w:val="00305E9F"/>
    <w:rsid w:val="00313D95"/>
    <w:rsid w:val="00322D85"/>
    <w:rsid w:val="00327A8E"/>
    <w:rsid w:val="00335415"/>
    <w:rsid w:val="00344AFB"/>
    <w:rsid w:val="00344D3F"/>
    <w:rsid w:val="00351B1D"/>
    <w:rsid w:val="003612FF"/>
    <w:rsid w:val="00374D6E"/>
    <w:rsid w:val="00376AE0"/>
    <w:rsid w:val="003770AD"/>
    <w:rsid w:val="00377DF0"/>
    <w:rsid w:val="003808A0"/>
    <w:rsid w:val="003863AC"/>
    <w:rsid w:val="00387854"/>
    <w:rsid w:val="003928CB"/>
    <w:rsid w:val="003A38DE"/>
    <w:rsid w:val="003A7FD0"/>
    <w:rsid w:val="003B3E33"/>
    <w:rsid w:val="003B5845"/>
    <w:rsid w:val="003B5D3E"/>
    <w:rsid w:val="003B6C68"/>
    <w:rsid w:val="003C2003"/>
    <w:rsid w:val="003D1510"/>
    <w:rsid w:val="003D395B"/>
    <w:rsid w:val="003E2341"/>
    <w:rsid w:val="003F1552"/>
    <w:rsid w:val="003F419B"/>
    <w:rsid w:val="00401C16"/>
    <w:rsid w:val="004111A2"/>
    <w:rsid w:val="00412CA5"/>
    <w:rsid w:val="0041542E"/>
    <w:rsid w:val="00421BE7"/>
    <w:rsid w:val="00437930"/>
    <w:rsid w:val="0044616B"/>
    <w:rsid w:val="00447D82"/>
    <w:rsid w:val="00456916"/>
    <w:rsid w:val="00464856"/>
    <w:rsid w:val="00467C88"/>
    <w:rsid w:val="00467FB4"/>
    <w:rsid w:val="00472811"/>
    <w:rsid w:val="00473642"/>
    <w:rsid w:val="00474292"/>
    <w:rsid w:val="00481936"/>
    <w:rsid w:val="004842F0"/>
    <w:rsid w:val="00486BA4"/>
    <w:rsid w:val="00491A61"/>
    <w:rsid w:val="0049237F"/>
    <w:rsid w:val="00496F1D"/>
    <w:rsid w:val="004A4778"/>
    <w:rsid w:val="004A7575"/>
    <w:rsid w:val="004A7D85"/>
    <w:rsid w:val="004B1FDB"/>
    <w:rsid w:val="004B7A0C"/>
    <w:rsid w:val="004B7CE4"/>
    <w:rsid w:val="004C1829"/>
    <w:rsid w:val="004C52CD"/>
    <w:rsid w:val="004C7966"/>
    <w:rsid w:val="004D6CC0"/>
    <w:rsid w:val="004E3E38"/>
    <w:rsid w:val="004E65B8"/>
    <w:rsid w:val="004E7180"/>
    <w:rsid w:val="004F21A6"/>
    <w:rsid w:val="005024E9"/>
    <w:rsid w:val="00505C17"/>
    <w:rsid w:val="00506364"/>
    <w:rsid w:val="00512F44"/>
    <w:rsid w:val="00522F5C"/>
    <w:rsid w:val="00526A5C"/>
    <w:rsid w:val="005330F2"/>
    <w:rsid w:val="00552B10"/>
    <w:rsid w:val="005567E1"/>
    <w:rsid w:val="005879E2"/>
    <w:rsid w:val="005917A3"/>
    <w:rsid w:val="00595661"/>
    <w:rsid w:val="005A2B7E"/>
    <w:rsid w:val="005A64EC"/>
    <w:rsid w:val="005B06CC"/>
    <w:rsid w:val="005B1972"/>
    <w:rsid w:val="005B37CB"/>
    <w:rsid w:val="005D0264"/>
    <w:rsid w:val="005D4EFE"/>
    <w:rsid w:val="005D7601"/>
    <w:rsid w:val="005E0D29"/>
    <w:rsid w:val="005E5DF0"/>
    <w:rsid w:val="005F0D71"/>
    <w:rsid w:val="005F7FCF"/>
    <w:rsid w:val="00600700"/>
    <w:rsid w:val="006019D0"/>
    <w:rsid w:val="0060401F"/>
    <w:rsid w:val="0062311C"/>
    <w:rsid w:val="0062345E"/>
    <w:rsid w:val="006241DC"/>
    <w:rsid w:val="00630AE9"/>
    <w:rsid w:val="0063185F"/>
    <w:rsid w:val="00634A9C"/>
    <w:rsid w:val="00636BF3"/>
    <w:rsid w:val="006378DE"/>
    <w:rsid w:val="006409AC"/>
    <w:rsid w:val="00641C9D"/>
    <w:rsid w:val="00645756"/>
    <w:rsid w:val="00651E07"/>
    <w:rsid w:val="006608EF"/>
    <w:rsid w:val="00660A58"/>
    <w:rsid w:val="0066258E"/>
    <w:rsid w:val="006657F9"/>
    <w:rsid w:val="00667235"/>
    <w:rsid w:val="00673896"/>
    <w:rsid w:val="00673967"/>
    <w:rsid w:val="00677CFF"/>
    <w:rsid w:val="00686D88"/>
    <w:rsid w:val="00693FBA"/>
    <w:rsid w:val="0069668C"/>
    <w:rsid w:val="006A11B7"/>
    <w:rsid w:val="006A5DF8"/>
    <w:rsid w:val="006A72E7"/>
    <w:rsid w:val="006A7EB4"/>
    <w:rsid w:val="006B22CA"/>
    <w:rsid w:val="006B4328"/>
    <w:rsid w:val="006B744C"/>
    <w:rsid w:val="006C2B64"/>
    <w:rsid w:val="006C419B"/>
    <w:rsid w:val="006C44BA"/>
    <w:rsid w:val="006D1B86"/>
    <w:rsid w:val="006E6A4B"/>
    <w:rsid w:val="006F398F"/>
    <w:rsid w:val="007021A5"/>
    <w:rsid w:val="00703EDE"/>
    <w:rsid w:val="00706630"/>
    <w:rsid w:val="00706FB4"/>
    <w:rsid w:val="00710B72"/>
    <w:rsid w:val="00711AA9"/>
    <w:rsid w:val="007231B0"/>
    <w:rsid w:val="00723DFD"/>
    <w:rsid w:val="007267B1"/>
    <w:rsid w:val="00727A16"/>
    <w:rsid w:val="00731381"/>
    <w:rsid w:val="00731C3A"/>
    <w:rsid w:val="00732BB1"/>
    <w:rsid w:val="00735026"/>
    <w:rsid w:val="00740A25"/>
    <w:rsid w:val="0074767F"/>
    <w:rsid w:val="00750974"/>
    <w:rsid w:val="00751769"/>
    <w:rsid w:val="00760319"/>
    <w:rsid w:val="007679C2"/>
    <w:rsid w:val="00774F53"/>
    <w:rsid w:val="007772C9"/>
    <w:rsid w:val="007963D3"/>
    <w:rsid w:val="007A63A4"/>
    <w:rsid w:val="007B64A8"/>
    <w:rsid w:val="007C01DC"/>
    <w:rsid w:val="007C6A7E"/>
    <w:rsid w:val="007D00EA"/>
    <w:rsid w:val="007D66C8"/>
    <w:rsid w:val="007E023F"/>
    <w:rsid w:val="007E4980"/>
    <w:rsid w:val="007F0BED"/>
    <w:rsid w:val="00803378"/>
    <w:rsid w:val="008113F4"/>
    <w:rsid w:val="00814C3E"/>
    <w:rsid w:val="008173AA"/>
    <w:rsid w:val="00820922"/>
    <w:rsid w:val="00822940"/>
    <w:rsid w:val="00823F95"/>
    <w:rsid w:val="0085395F"/>
    <w:rsid w:val="00866041"/>
    <w:rsid w:val="00871DEA"/>
    <w:rsid w:val="008732B0"/>
    <w:rsid w:val="00877454"/>
    <w:rsid w:val="00880BF6"/>
    <w:rsid w:val="0088682F"/>
    <w:rsid w:val="00893CCB"/>
    <w:rsid w:val="008A3CE9"/>
    <w:rsid w:val="008A6780"/>
    <w:rsid w:val="008B325E"/>
    <w:rsid w:val="008B3AEA"/>
    <w:rsid w:val="008B7441"/>
    <w:rsid w:val="008C1DF2"/>
    <w:rsid w:val="008C77ED"/>
    <w:rsid w:val="008D5BF9"/>
    <w:rsid w:val="008F1DA7"/>
    <w:rsid w:val="008F6A05"/>
    <w:rsid w:val="0090171F"/>
    <w:rsid w:val="009102C6"/>
    <w:rsid w:val="009228FF"/>
    <w:rsid w:val="0092799C"/>
    <w:rsid w:val="009348F0"/>
    <w:rsid w:val="00941C8E"/>
    <w:rsid w:val="0094331E"/>
    <w:rsid w:val="009452F6"/>
    <w:rsid w:val="0094545A"/>
    <w:rsid w:val="009475C1"/>
    <w:rsid w:val="00952554"/>
    <w:rsid w:val="00956190"/>
    <w:rsid w:val="009617B8"/>
    <w:rsid w:val="00962E88"/>
    <w:rsid w:val="009630B3"/>
    <w:rsid w:val="009649CD"/>
    <w:rsid w:val="00964BEA"/>
    <w:rsid w:val="0096564E"/>
    <w:rsid w:val="00967702"/>
    <w:rsid w:val="0098446B"/>
    <w:rsid w:val="00985194"/>
    <w:rsid w:val="009900B2"/>
    <w:rsid w:val="00993AE6"/>
    <w:rsid w:val="00996F9E"/>
    <w:rsid w:val="009A680F"/>
    <w:rsid w:val="009C0650"/>
    <w:rsid w:val="009C1044"/>
    <w:rsid w:val="009C40F7"/>
    <w:rsid w:val="009C5A09"/>
    <w:rsid w:val="009D558D"/>
    <w:rsid w:val="009F2E2B"/>
    <w:rsid w:val="009F3624"/>
    <w:rsid w:val="00A05E6E"/>
    <w:rsid w:val="00A06656"/>
    <w:rsid w:val="00A073E9"/>
    <w:rsid w:val="00A10059"/>
    <w:rsid w:val="00A1076E"/>
    <w:rsid w:val="00A13147"/>
    <w:rsid w:val="00A16BB3"/>
    <w:rsid w:val="00A2018E"/>
    <w:rsid w:val="00A21051"/>
    <w:rsid w:val="00A236F2"/>
    <w:rsid w:val="00A30B1D"/>
    <w:rsid w:val="00A32F1A"/>
    <w:rsid w:val="00A435A0"/>
    <w:rsid w:val="00A47F4A"/>
    <w:rsid w:val="00A55D71"/>
    <w:rsid w:val="00A60BDD"/>
    <w:rsid w:val="00A65FE6"/>
    <w:rsid w:val="00A757A6"/>
    <w:rsid w:val="00A84CD1"/>
    <w:rsid w:val="00A93EFB"/>
    <w:rsid w:val="00A94E77"/>
    <w:rsid w:val="00AA0ED6"/>
    <w:rsid w:val="00AA37B0"/>
    <w:rsid w:val="00AB5D81"/>
    <w:rsid w:val="00AD0108"/>
    <w:rsid w:val="00AD3D01"/>
    <w:rsid w:val="00AE1770"/>
    <w:rsid w:val="00AF1835"/>
    <w:rsid w:val="00AF61D1"/>
    <w:rsid w:val="00AF717F"/>
    <w:rsid w:val="00AF765F"/>
    <w:rsid w:val="00B000F9"/>
    <w:rsid w:val="00B105B2"/>
    <w:rsid w:val="00B12F39"/>
    <w:rsid w:val="00B17E06"/>
    <w:rsid w:val="00B2186F"/>
    <w:rsid w:val="00B231D0"/>
    <w:rsid w:val="00B37406"/>
    <w:rsid w:val="00B46FAF"/>
    <w:rsid w:val="00B52B84"/>
    <w:rsid w:val="00B5526E"/>
    <w:rsid w:val="00B57346"/>
    <w:rsid w:val="00B57D5F"/>
    <w:rsid w:val="00B6797A"/>
    <w:rsid w:val="00B701CC"/>
    <w:rsid w:val="00B70BC7"/>
    <w:rsid w:val="00B72183"/>
    <w:rsid w:val="00B72817"/>
    <w:rsid w:val="00B81747"/>
    <w:rsid w:val="00B9168A"/>
    <w:rsid w:val="00B934EF"/>
    <w:rsid w:val="00B96CE6"/>
    <w:rsid w:val="00BB23A0"/>
    <w:rsid w:val="00BC036E"/>
    <w:rsid w:val="00BD1C01"/>
    <w:rsid w:val="00BD3060"/>
    <w:rsid w:val="00BF01AC"/>
    <w:rsid w:val="00BF534C"/>
    <w:rsid w:val="00BF64AC"/>
    <w:rsid w:val="00C11AC9"/>
    <w:rsid w:val="00C12062"/>
    <w:rsid w:val="00C12BD0"/>
    <w:rsid w:val="00C226A8"/>
    <w:rsid w:val="00C23403"/>
    <w:rsid w:val="00C23997"/>
    <w:rsid w:val="00C32035"/>
    <w:rsid w:val="00C32792"/>
    <w:rsid w:val="00C32A70"/>
    <w:rsid w:val="00C350D7"/>
    <w:rsid w:val="00C3694A"/>
    <w:rsid w:val="00C42AB7"/>
    <w:rsid w:val="00C47892"/>
    <w:rsid w:val="00C54A4A"/>
    <w:rsid w:val="00C60136"/>
    <w:rsid w:val="00C6023F"/>
    <w:rsid w:val="00C6332E"/>
    <w:rsid w:val="00C74149"/>
    <w:rsid w:val="00C752F4"/>
    <w:rsid w:val="00C81151"/>
    <w:rsid w:val="00C8783C"/>
    <w:rsid w:val="00C87F2A"/>
    <w:rsid w:val="00C90861"/>
    <w:rsid w:val="00CA411E"/>
    <w:rsid w:val="00CA786F"/>
    <w:rsid w:val="00CB2B26"/>
    <w:rsid w:val="00CB3056"/>
    <w:rsid w:val="00CB676D"/>
    <w:rsid w:val="00CC1EE7"/>
    <w:rsid w:val="00CD0B6A"/>
    <w:rsid w:val="00CE179E"/>
    <w:rsid w:val="00CF1DE7"/>
    <w:rsid w:val="00CF5959"/>
    <w:rsid w:val="00CF6E60"/>
    <w:rsid w:val="00D01EDF"/>
    <w:rsid w:val="00D0287C"/>
    <w:rsid w:val="00D14271"/>
    <w:rsid w:val="00D27368"/>
    <w:rsid w:val="00D303A2"/>
    <w:rsid w:val="00D3412B"/>
    <w:rsid w:val="00D35D3E"/>
    <w:rsid w:val="00D36680"/>
    <w:rsid w:val="00D366F0"/>
    <w:rsid w:val="00D40CA2"/>
    <w:rsid w:val="00D4396B"/>
    <w:rsid w:val="00D5194A"/>
    <w:rsid w:val="00D61ED1"/>
    <w:rsid w:val="00D66ABE"/>
    <w:rsid w:val="00D71080"/>
    <w:rsid w:val="00D83E68"/>
    <w:rsid w:val="00D85F9D"/>
    <w:rsid w:val="00D910E1"/>
    <w:rsid w:val="00D963C6"/>
    <w:rsid w:val="00DA1E5E"/>
    <w:rsid w:val="00DA682E"/>
    <w:rsid w:val="00DB2F09"/>
    <w:rsid w:val="00DB6125"/>
    <w:rsid w:val="00DD0374"/>
    <w:rsid w:val="00DD05FA"/>
    <w:rsid w:val="00DD6A16"/>
    <w:rsid w:val="00DD7EFD"/>
    <w:rsid w:val="00DE0443"/>
    <w:rsid w:val="00DE0C70"/>
    <w:rsid w:val="00DF1484"/>
    <w:rsid w:val="00DF659C"/>
    <w:rsid w:val="00DF7377"/>
    <w:rsid w:val="00DF791A"/>
    <w:rsid w:val="00E03443"/>
    <w:rsid w:val="00E04078"/>
    <w:rsid w:val="00E070EA"/>
    <w:rsid w:val="00E20470"/>
    <w:rsid w:val="00E31D05"/>
    <w:rsid w:val="00E33123"/>
    <w:rsid w:val="00E36B95"/>
    <w:rsid w:val="00E42646"/>
    <w:rsid w:val="00E5012B"/>
    <w:rsid w:val="00E564EB"/>
    <w:rsid w:val="00E57230"/>
    <w:rsid w:val="00E57246"/>
    <w:rsid w:val="00E57551"/>
    <w:rsid w:val="00E57F48"/>
    <w:rsid w:val="00E629D0"/>
    <w:rsid w:val="00E663C2"/>
    <w:rsid w:val="00E6730F"/>
    <w:rsid w:val="00E70BAA"/>
    <w:rsid w:val="00E71902"/>
    <w:rsid w:val="00E71A68"/>
    <w:rsid w:val="00E83DBC"/>
    <w:rsid w:val="00E87631"/>
    <w:rsid w:val="00E90433"/>
    <w:rsid w:val="00E916D6"/>
    <w:rsid w:val="00E93419"/>
    <w:rsid w:val="00E977F3"/>
    <w:rsid w:val="00EA4EDA"/>
    <w:rsid w:val="00EB732E"/>
    <w:rsid w:val="00EC56F5"/>
    <w:rsid w:val="00EC7224"/>
    <w:rsid w:val="00ED0FFD"/>
    <w:rsid w:val="00ED3106"/>
    <w:rsid w:val="00ED384D"/>
    <w:rsid w:val="00ED3AAA"/>
    <w:rsid w:val="00ED483A"/>
    <w:rsid w:val="00ED66A5"/>
    <w:rsid w:val="00ED7247"/>
    <w:rsid w:val="00EE42FE"/>
    <w:rsid w:val="00EF5376"/>
    <w:rsid w:val="00F0411F"/>
    <w:rsid w:val="00F05E3B"/>
    <w:rsid w:val="00F102BC"/>
    <w:rsid w:val="00F114BA"/>
    <w:rsid w:val="00F1252B"/>
    <w:rsid w:val="00F147A1"/>
    <w:rsid w:val="00F249DB"/>
    <w:rsid w:val="00F33A1F"/>
    <w:rsid w:val="00F35B61"/>
    <w:rsid w:val="00F3606B"/>
    <w:rsid w:val="00F46AA2"/>
    <w:rsid w:val="00F54D1C"/>
    <w:rsid w:val="00F562A1"/>
    <w:rsid w:val="00F61F0C"/>
    <w:rsid w:val="00F62609"/>
    <w:rsid w:val="00F76EB3"/>
    <w:rsid w:val="00F804DF"/>
    <w:rsid w:val="00F85787"/>
    <w:rsid w:val="00F8632B"/>
    <w:rsid w:val="00F87D3D"/>
    <w:rsid w:val="00F92F84"/>
    <w:rsid w:val="00FA14E1"/>
    <w:rsid w:val="00FA1894"/>
    <w:rsid w:val="00FA6D5C"/>
    <w:rsid w:val="00FA6E46"/>
    <w:rsid w:val="00FC1910"/>
    <w:rsid w:val="00FC40D1"/>
    <w:rsid w:val="00FC61B1"/>
    <w:rsid w:val="00FC6B2D"/>
    <w:rsid w:val="00FD35AA"/>
    <w:rsid w:val="00FD685E"/>
    <w:rsid w:val="00FE47E7"/>
    <w:rsid w:val="00FF3061"/>
    <w:rsid w:val="00FF65D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A5CEE"/>
  <w15:docId w15:val="{88E86A1B-38CD-49FD-AB1A-2558B96C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72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472811"/>
    <w:rPr>
      <w:color w:val="0000FF"/>
      <w:u w:val="single"/>
    </w:rPr>
  </w:style>
  <w:style w:type="character" w:customStyle="1" w:styleId="apple-tab-span">
    <w:name w:val="apple-tab-span"/>
    <w:basedOn w:val="Fontepargpadro"/>
    <w:rsid w:val="00472811"/>
  </w:style>
  <w:style w:type="paragraph" w:styleId="PargrafodaLista">
    <w:name w:val="List Paragraph"/>
    <w:basedOn w:val="Normal"/>
    <w:uiPriority w:val="34"/>
    <w:qFormat/>
    <w:rsid w:val="00031EBA"/>
    <w:pPr>
      <w:ind w:left="720"/>
      <w:contextualSpacing/>
    </w:pPr>
  </w:style>
  <w:style w:type="character" w:styleId="MenoPendente">
    <w:name w:val="Unresolved Mention"/>
    <w:basedOn w:val="Fontepargpadro"/>
    <w:uiPriority w:val="99"/>
    <w:semiHidden/>
    <w:unhideWhenUsed/>
    <w:rsid w:val="00B72817"/>
    <w:rPr>
      <w:color w:val="605E5C"/>
      <w:shd w:val="clear" w:color="auto" w:fill="E1DFDD"/>
    </w:rPr>
  </w:style>
  <w:style w:type="character" w:styleId="HiperlinkVisitado">
    <w:name w:val="FollowedHyperlink"/>
    <w:basedOn w:val="Fontepargpadro"/>
    <w:uiPriority w:val="99"/>
    <w:semiHidden/>
    <w:unhideWhenUsed/>
    <w:rsid w:val="00245E8D"/>
    <w:rPr>
      <w:color w:val="954F72" w:themeColor="followedHyperlink"/>
      <w:u w:val="single"/>
    </w:rPr>
  </w:style>
  <w:style w:type="table" w:styleId="Tabelacomgrade">
    <w:name w:val="Table Grid"/>
    <w:basedOn w:val="Tabelanormal"/>
    <w:uiPriority w:val="39"/>
    <w:rsid w:val="001A2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C2340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3403"/>
    <w:rPr>
      <w:sz w:val="20"/>
      <w:szCs w:val="20"/>
    </w:rPr>
  </w:style>
  <w:style w:type="character" w:styleId="Refdenotaderodap">
    <w:name w:val="footnote reference"/>
    <w:basedOn w:val="Fontepargpadro"/>
    <w:uiPriority w:val="99"/>
    <w:semiHidden/>
    <w:unhideWhenUsed/>
    <w:rsid w:val="00C23403"/>
    <w:rPr>
      <w:vertAlign w:val="superscript"/>
    </w:rPr>
  </w:style>
  <w:style w:type="paragraph" w:styleId="Textodenotadefim">
    <w:name w:val="endnote text"/>
    <w:basedOn w:val="Normal"/>
    <w:link w:val="TextodenotadefimChar"/>
    <w:uiPriority w:val="99"/>
    <w:semiHidden/>
    <w:unhideWhenUsed/>
    <w:rsid w:val="00C2340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23403"/>
    <w:rPr>
      <w:sz w:val="20"/>
      <w:szCs w:val="20"/>
    </w:rPr>
  </w:style>
  <w:style w:type="character" w:styleId="Refdenotadefim">
    <w:name w:val="endnote reference"/>
    <w:basedOn w:val="Fontepargpadro"/>
    <w:uiPriority w:val="99"/>
    <w:semiHidden/>
    <w:unhideWhenUsed/>
    <w:rsid w:val="00C234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8532">
      <w:bodyDiv w:val="1"/>
      <w:marLeft w:val="0"/>
      <w:marRight w:val="0"/>
      <w:marTop w:val="0"/>
      <w:marBottom w:val="0"/>
      <w:divBdr>
        <w:top w:val="none" w:sz="0" w:space="0" w:color="auto"/>
        <w:left w:val="none" w:sz="0" w:space="0" w:color="auto"/>
        <w:bottom w:val="none" w:sz="0" w:space="0" w:color="auto"/>
        <w:right w:val="none" w:sz="0" w:space="0" w:color="auto"/>
      </w:divBdr>
    </w:div>
    <w:div w:id="166596778">
      <w:bodyDiv w:val="1"/>
      <w:marLeft w:val="0"/>
      <w:marRight w:val="0"/>
      <w:marTop w:val="0"/>
      <w:marBottom w:val="0"/>
      <w:divBdr>
        <w:top w:val="none" w:sz="0" w:space="0" w:color="auto"/>
        <w:left w:val="none" w:sz="0" w:space="0" w:color="auto"/>
        <w:bottom w:val="none" w:sz="0" w:space="0" w:color="auto"/>
        <w:right w:val="none" w:sz="0" w:space="0" w:color="auto"/>
      </w:divBdr>
    </w:div>
    <w:div w:id="179977741">
      <w:bodyDiv w:val="1"/>
      <w:marLeft w:val="0"/>
      <w:marRight w:val="0"/>
      <w:marTop w:val="0"/>
      <w:marBottom w:val="0"/>
      <w:divBdr>
        <w:top w:val="none" w:sz="0" w:space="0" w:color="auto"/>
        <w:left w:val="none" w:sz="0" w:space="0" w:color="auto"/>
        <w:bottom w:val="none" w:sz="0" w:space="0" w:color="auto"/>
        <w:right w:val="none" w:sz="0" w:space="0" w:color="auto"/>
      </w:divBdr>
    </w:div>
    <w:div w:id="300158988">
      <w:bodyDiv w:val="1"/>
      <w:marLeft w:val="0"/>
      <w:marRight w:val="0"/>
      <w:marTop w:val="0"/>
      <w:marBottom w:val="0"/>
      <w:divBdr>
        <w:top w:val="none" w:sz="0" w:space="0" w:color="auto"/>
        <w:left w:val="none" w:sz="0" w:space="0" w:color="auto"/>
        <w:bottom w:val="none" w:sz="0" w:space="0" w:color="auto"/>
        <w:right w:val="none" w:sz="0" w:space="0" w:color="auto"/>
      </w:divBdr>
    </w:div>
    <w:div w:id="509680220">
      <w:bodyDiv w:val="1"/>
      <w:marLeft w:val="0"/>
      <w:marRight w:val="0"/>
      <w:marTop w:val="0"/>
      <w:marBottom w:val="0"/>
      <w:divBdr>
        <w:top w:val="none" w:sz="0" w:space="0" w:color="auto"/>
        <w:left w:val="none" w:sz="0" w:space="0" w:color="auto"/>
        <w:bottom w:val="none" w:sz="0" w:space="0" w:color="auto"/>
        <w:right w:val="none" w:sz="0" w:space="0" w:color="auto"/>
      </w:divBdr>
    </w:div>
    <w:div w:id="551695862">
      <w:bodyDiv w:val="1"/>
      <w:marLeft w:val="0"/>
      <w:marRight w:val="0"/>
      <w:marTop w:val="0"/>
      <w:marBottom w:val="0"/>
      <w:divBdr>
        <w:top w:val="none" w:sz="0" w:space="0" w:color="auto"/>
        <w:left w:val="none" w:sz="0" w:space="0" w:color="auto"/>
        <w:bottom w:val="none" w:sz="0" w:space="0" w:color="auto"/>
        <w:right w:val="none" w:sz="0" w:space="0" w:color="auto"/>
      </w:divBdr>
    </w:div>
    <w:div w:id="1071393332">
      <w:bodyDiv w:val="1"/>
      <w:marLeft w:val="0"/>
      <w:marRight w:val="0"/>
      <w:marTop w:val="0"/>
      <w:marBottom w:val="0"/>
      <w:divBdr>
        <w:top w:val="none" w:sz="0" w:space="0" w:color="auto"/>
        <w:left w:val="none" w:sz="0" w:space="0" w:color="auto"/>
        <w:bottom w:val="none" w:sz="0" w:space="0" w:color="auto"/>
        <w:right w:val="none" w:sz="0" w:space="0" w:color="auto"/>
      </w:divBdr>
    </w:div>
    <w:div w:id="1091198673">
      <w:bodyDiv w:val="1"/>
      <w:marLeft w:val="0"/>
      <w:marRight w:val="0"/>
      <w:marTop w:val="0"/>
      <w:marBottom w:val="0"/>
      <w:divBdr>
        <w:top w:val="none" w:sz="0" w:space="0" w:color="auto"/>
        <w:left w:val="none" w:sz="0" w:space="0" w:color="auto"/>
        <w:bottom w:val="none" w:sz="0" w:space="0" w:color="auto"/>
        <w:right w:val="none" w:sz="0" w:space="0" w:color="auto"/>
      </w:divBdr>
    </w:div>
    <w:div w:id="1161121309">
      <w:bodyDiv w:val="1"/>
      <w:marLeft w:val="0"/>
      <w:marRight w:val="0"/>
      <w:marTop w:val="0"/>
      <w:marBottom w:val="0"/>
      <w:divBdr>
        <w:top w:val="none" w:sz="0" w:space="0" w:color="auto"/>
        <w:left w:val="none" w:sz="0" w:space="0" w:color="auto"/>
        <w:bottom w:val="none" w:sz="0" w:space="0" w:color="auto"/>
        <w:right w:val="none" w:sz="0" w:space="0" w:color="auto"/>
      </w:divBdr>
    </w:div>
    <w:div w:id="1224681133">
      <w:bodyDiv w:val="1"/>
      <w:marLeft w:val="0"/>
      <w:marRight w:val="0"/>
      <w:marTop w:val="0"/>
      <w:marBottom w:val="0"/>
      <w:divBdr>
        <w:top w:val="none" w:sz="0" w:space="0" w:color="auto"/>
        <w:left w:val="none" w:sz="0" w:space="0" w:color="auto"/>
        <w:bottom w:val="none" w:sz="0" w:space="0" w:color="auto"/>
        <w:right w:val="none" w:sz="0" w:space="0" w:color="auto"/>
      </w:divBdr>
    </w:div>
    <w:div w:id="1272981364">
      <w:bodyDiv w:val="1"/>
      <w:marLeft w:val="0"/>
      <w:marRight w:val="0"/>
      <w:marTop w:val="0"/>
      <w:marBottom w:val="0"/>
      <w:divBdr>
        <w:top w:val="none" w:sz="0" w:space="0" w:color="auto"/>
        <w:left w:val="none" w:sz="0" w:space="0" w:color="auto"/>
        <w:bottom w:val="none" w:sz="0" w:space="0" w:color="auto"/>
        <w:right w:val="none" w:sz="0" w:space="0" w:color="auto"/>
      </w:divBdr>
    </w:div>
    <w:div w:id="1583829590">
      <w:bodyDiv w:val="1"/>
      <w:marLeft w:val="0"/>
      <w:marRight w:val="0"/>
      <w:marTop w:val="0"/>
      <w:marBottom w:val="0"/>
      <w:divBdr>
        <w:top w:val="none" w:sz="0" w:space="0" w:color="auto"/>
        <w:left w:val="none" w:sz="0" w:space="0" w:color="auto"/>
        <w:bottom w:val="none" w:sz="0" w:space="0" w:color="auto"/>
        <w:right w:val="none" w:sz="0" w:space="0" w:color="auto"/>
      </w:divBdr>
    </w:div>
    <w:div w:id="1684013590">
      <w:bodyDiv w:val="1"/>
      <w:marLeft w:val="0"/>
      <w:marRight w:val="0"/>
      <w:marTop w:val="0"/>
      <w:marBottom w:val="0"/>
      <w:divBdr>
        <w:top w:val="none" w:sz="0" w:space="0" w:color="auto"/>
        <w:left w:val="none" w:sz="0" w:space="0" w:color="auto"/>
        <w:bottom w:val="none" w:sz="0" w:space="0" w:color="auto"/>
        <w:right w:val="none" w:sz="0" w:space="0" w:color="auto"/>
      </w:divBdr>
    </w:div>
    <w:div w:id="1707368760">
      <w:bodyDiv w:val="1"/>
      <w:marLeft w:val="0"/>
      <w:marRight w:val="0"/>
      <w:marTop w:val="0"/>
      <w:marBottom w:val="0"/>
      <w:divBdr>
        <w:top w:val="none" w:sz="0" w:space="0" w:color="auto"/>
        <w:left w:val="none" w:sz="0" w:space="0" w:color="auto"/>
        <w:bottom w:val="none" w:sz="0" w:space="0" w:color="auto"/>
        <w:right w:val="none" w:sz="0" w:space="0" w:color="auto"/>
      </w:divBdr>
    </w:div>
    <w:div w:id="1790737191">
      <w:bodyDiv w:val="1"/>
      <w:marLeft w:val="0"/>
      <w:marRight w:val="0"/>
      <w:marTop w:val="0"/>
      <w:marBottom w:val="0"/>
      <w:divBdr>
        <w:top w:val="none" w:sz="0" w:space="0" w:color="auto"/>
        <w:left w:val="none" w:sz="0" w:space="0" w:color="auto"/>
        <w:bottom w:val="none" w:sz="0" w:space="0" w:color="auto"/>
        <w:right w:val="none" w:sz="0" w:space="0" w:color="auto"/>
      </w:divBdr>
    </w:div>
    <w:div w:id="1810318702">
      <w:bodyDiv w:val="1"/>
      <w:marLeft w:val="0"/>
      <w:marRight w:val="0"/>
      <w:marTop w:val="0"/>
      <w:marBottom w:val="0"/>
      <w:divBdr>
        <w:top w:val="none" w:sz="0" w:space="0" w:color="auto"/>
        <w:left w:val="none" w:sz="0" w:space="0" w:color="auto"/>
        <w:bottom w:val="none" w:sz="0" w:space="0" w:color="auto"/>
        <w:right w:val="none" w:sz="0" w:space="0" w:color="auto"/>
      </w:divBdr>
    </w:div>
    <w:div w:id="1818103723">
      <w:bodyDiv w:val="1"/>
      <w:marLeft w:val="0"/>
      <w:marRight w:val="0"/>
      <w:marTop w:val="0"/>
      <w:marBottom w:val="0"/>
      <w:divBdr>
        <w:top w:val="none" w:sz="0" w:space="0" w:color="auto"/>
        <w:left w:val="none" w:sz="0" w:space="0" w:color="auto"/>
        <w:bottom w:val="none" w:sz="0" w:space="0" w:color="auto"/>
        <w:right w:val="none" w:sz="0" w:space="0" w:color="auto"/>
      </w:divBdr>
    </w:div>
    <w:div w:id="1851405440">
      <w:bodyDiv w:val="1"/>
      <w:marLeft w:val="0"/>
      <w:marRight w:val="0"/>
      <w:marTop w:val="0"/>
      <w:marBottom w:val="0"/>
      <w:divBdr>
        <w:top w:val="none" w:sz="0" w:space="0" w:color="auto"/>
        <w:left w:val="none" w:sz="0" w:space="0" w:color="auto"/>
        <w:bottom w:val="none" w:sz="0" w:space="0" w:color="auto"/>
        <w:right w:val="none" w:sz="0" w:space="0" w:color="auto"/>
      </w:divBdr>
    </w:div>
    <w:div w:id="1959290835">
      <w:bodyDiv w:val="1"/>
      <w:marLeft w:val="0"/>
      <w:marRight w:val="0"/>
      <w:marTop w:val="0"/>
      <w:marBottom w:val="0"/>
      <w:divBdr>
        <w:top w:val="none" w:sz="0" w:space="0" w:color="auto"/>
        <w:left w:val="none" w:sz="0" w:space="0" w:color="auto"/>
        <w:bottom w:val="none" w:sz="0" w:space="0" w:color="auto"/>
        <w:right w:val="none" w:sz="0" w:space="0" w:color="auto"/>
      </w:divBdr>
    </w:div>
    <w:div w:id="2021079955">
      <w:bodyDiv w:val="1"/>
      <w:marLeft w:val="0"/>
      <w:marRight w:val="0"/>
      <w:marTop w:val="0"/>
      <w:marBottom w:val="0"/>
      <w:divBdr>
        <w:top w:val="none" w:sz="0" w:space="0" w:color="auto"/>
        <w:left w:val="none" w:sz="0" w:space="0" w:color="auto"/>
        <w:bottom w:val="none" w:sz="0" w:space="0" w:color="auto"/>
        <w:right w:val="none" w:sz="0" w:space="0" w:color="auto"/>
      </w:divBdr>
    </w:div>
    <w:div w:id="2024354205">
      <w:bodyDiv w:val="1"/>
      <w:marLeft w:val="0"/>
      <w:marRight w:val="0"/>
      <w:marTop w:val="0"/>
      <w:marBottom w:val="0"/>
      <w:divBdr>
        <w:top w:val="none" w:sz="0" w:space="0" w:color="auto"/>
        <w:left w:val="none" w:sz="0" w:space="0" w:color="auto"/>
        <w:bottom w:val="none" w:sz="0" w:space="0" w:color="auto"/>
        <w:right w:val="none" w:sz="0" w:space="0" w:color="auto"/>
      </w:divBdr>
    </w:div>
    <w:div w:id="204979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2.datasus.gov.br/DATASUS/" TargetMode="External"/><Relationship Id="rId13" Type="http://schemas.openxmlformats.org/officeDocument/2006/relationships/hyperlink" Target="https://www.scielo.br/j/csp/a/MMd3ZfwYstDqbpRxFRR53Wx/?lang=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bnet.datasus.gov.br/tabdata/LivroIDB/2edrev/a10.pdf%20" TargetMode="External"/><Relationship Id="rId17" Type="http://schemas.openxmlformats.org/officeDocument/2006/relationships/hyperlink" Target="https://www.scielo.br/j/abc/a/bzXzmkXDVnyzgcQqRjxJbrf/?lang=pt" TargetMode="External"/><Relationship Id="rId2" Type="http://schemas.openxmlformats.org/officeDocument/2006/relationships/numbering" Target="numbering.xml"/><Relationship Id="rId16" Type="http://schemas.openxmlformats.org/officeDocument/2006/relationships/hyperlink" Target="https://www.scielo.br/j/estpsi/a/dkxZ6QwHRPhZLsR3z8m7hvF/?lan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datasus.gov.br/DATASUS/" TargetMode="External"/><Relationship Id="rId5" Type="http://schemas.openxmlformats.org/officeDocument/2006/relationships/webSettings" Target="webSettings.xml"/><Relationship Id="rId15" Type="http://schemas.openxmlformats.org/officeDocument/2006/relationships/hyperlink" Target="https://www.scielosp.org/article/csc/2020.v25n9/3465-3474/" TargetMode="External"/><Relationship Id="rId10" Type="http://schemas.openxmlformats.org/officeDocument/2006/relationships/hyperlink" Target="https://www.who.int/pt/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eps.org.br/pesquisas/para-alem-do-custeio-necessidades-de-investimento-em-leitos-de-uti-no-sus-sob-diferentes-cenarios-da-covid-1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8C10-00AF-466A-BEA0-F29E4AFE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4883</TotalTime>
  <Pages>23</Pages>
  <Words>4682</Words>
  <Characters>25286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iglesias</dc:creator>
  <cp:keywords/>
  <dc:description/>
  <cp:lastModifiedBy>enzo iglesias</cp:lastModifiedBy>
  <cp:revision>2</cp:revision>
  <dcterms:created xsi:type="dcterms:W3CDTF">2021-06-29T19:40:00Z</dcterms:created>
  <dcterms:modified xsi:type="dcterms:W3CDTF">2021-07-21T13:13:00Z</dcterms:modified>
</cp:coreProperties>
</file>