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after="100" w:before="400"/>
        <w:jc w:val="center"/>
      </w:pPr>
      <w:r>
        <w:rPr>
          <w:rFonts w:ascii="Calibri Light" w:cs="Calibri Light" w:eastAsia="Calibri Light" w:hAnsi="Calibri Light"/>
          <w:color w:val="1F4E79"/>
          <w:sz w:val="52"/>
          <w:szCs w:val="52"/>
        </w:rPr>
        <w:t xml:space="preserve">Relatório de Laboratório</w:t>
      </w:r>
    </w:p>
    <w:p>
      <w:pPr>
        <w:spacing w:after="320" w:line="276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Laboratório de Experimentação de Software - Lab02 - Assistentes de IA vs. codificação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Curso</w:t>
            </w:r>
          </w:p>
        </w:tc>
        <w:tc>
          <w:tcPr>
            <w:tcW w:type="dxa" w:w="6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Engenharia de Software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Disciplina</w:t>
            </w:r>
          </w:p>
        </w:tc>
        <w:tc>
          <w:tcPr>
            <w:tcW w:type="dxa" w:w="6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Laboratório de Experimentação de Software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Turno / Período</w:t>
            </w:r>
          </w:p>
        </w:tc>
        <w:tc>
          <w:tcPr>
            <w:tcW w:type="dxa" w:w="6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Noite / 6º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Professor(a)</w:t>
            </w:r>
          </w:p>
        </w:tc>
        <w:tc>
          <w:tcPr>
            <w:tcW w:type="dxa" w:w="6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Danilo Maia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Laboratório</w:t>
            </w:r>
          </w:p>
        </w:tc>
        <w:tc>
          <w:tcPr>
            <w:tcW w:type="dxa" w:w="6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Lab02 - Assistentes de IA vs. codificação manual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Grupo (trio)</w:t>
            </w:r>
          </w:p>
        </w:tc>
        <w:tc>
          <w:tcPr>
            <w:tcW w:type="dxa" w:w="6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Enzo Casaes · Cauê Moraes · Leonardo Viana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Link do repositório / GitHub Projects</w:t>
            </w:r>
          </w:p>
        </w:tc>
        <w:tc>
          <w:tcPr>
            <w:tcW w:type="dxa" w:w="6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Repositório: https://github.com/Enzocasaes/Laboratorio-medicao-experimentacao-de-software
GitHub Projects: [PREENCHER LINK DO BOARD]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de entrega</w:t>
            </w:r>
          </w:p>
        </w:tc>
        <w:tc>
          <w:tcPr>
            <w:tcW w:type="dxa" w:w="6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[PREENCHER DATA DE ENTREGA]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1. Introdução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Ferramentas de IA generativa para programação, como GitHub Copilot, ChatGPT, Claude e Gemini, tornaram-se comuns no desenvolvimento de software. Apesar dessa adoção, grande parte do debate sobre ganhos de produtividade e qualidade ainda se apoia em relatos individuais. Este laboratório busca produzir evidência controlada e reproduzível por meio de um experimento que compara a resolução de katas de programação com e sem assistência de IA.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estudo avalia três dimensões: produtividade, medida pelo tempo até uma solução passar em todos os testes de aceitação; qualidade funcional, observada pela taxa de testes de aceitação aprovados; e qualidade estrutural, avaliada por complexidade ciclomática, duplicação de código e métricas de apoio. O experimento adota desenho crossover/within-subject, com time-box máximo de 35 minutos por trial.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Questões de Pesquisa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RQ1 - O uso de assistente de IA reduz o tempo necessário para resolver uma tarefa de programação?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RQ2 - O uso de assistente de IA reduz a quantidade de defeitos, operacionalizada pelos testes que falham no código produzido?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RQ3 - O uso de assistente de IA altera a complexidade ciclomática ou a duplicação do código produzido?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Hipóteses definidas antes da análise dos dados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RQ1: H0 - não existe diferença no tempo até verde entre com-ia e sem-ia; H1 - existe diferença entre os tratamentos.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RQ2: H0 - não existe diferença na taxa de sucesso funcional entre os tratamentos; H1 - existe diferença.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RQ3: H0 - não existe diferença nas métricas estruturais entre os tratamentos; H1 - existe diferença. A RQ3 foi desdobrada em duas sub-hipóteses independentes: H3a (complexidade ciclomática média por função) e H3b (percentual de linhas duplicadas).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família de hipóteses submetida à correção de Holm foi fixada no desenho, antes da coleta, em quatro elementos: H1, H2, H3a e H3b. Métricas de apoio à RQ3 (LOC, Índice de Manutenibilidade, número de funções e complexidade máxima) foram mantidas deliberadamente fora dessa família, para evitar ampliar o conjunto de testes depois de observar os dados.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Como contribuição adicional do grupo, foram incluídos um instrumento próprio de métricas para JavaScript com testes automatizados, um protocolo de baixa indexação dos katas para reduzir o risco de memorização, e uma análise estatística complementar com tamanho de efeito e correção de Holm. O Índice de Manutenibilidade e o número de prompts foram mantidos como métricas exploratórias.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2. Contexto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Este é o laboratório dedicado ao processo de resolução de katas com e sem IA. O objeto de estudo não é um repositório externo, mas o próprio processo experimental: estudantes de graduação resolvem tarefas de dificuldade comparável em condições controladas, alternando o tratamento com-ia e sem-ia. A análise é orientada pelo GQM (Goal-Question-Metric): o objetivo é comparar o efeito do assistente de IA sobre tempo de resolução, defeitos funcionais e estrutura do código.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Foram definidos seis katas autorais em JavaScript, com 12 testes de aceitação automatizados por kata e solução de referência entre 42 e 51 LOC. O uso de exercícios autorais e pouco indexados reduz a ameaça de o assistente apenas reproduzir uma solução conhecida. O desenho prevê 3 participantes x 6 katas = 18 trials, sendo 9 com-ia e 9 sem-ia.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coleta foi concluída integralmente: os 18 trials foram executados pelos três participantes, e todos os seis katas formam pares completos para o teste de Wilcoxon.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3. Metodologia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experimento utiliza desenho crossover/within-subject, contrabalanceado por matriz integrante x kata. Cada participante resolve seis katas individualmente, metade com assistente de IA e metade sem assistente, em ordem contrabalanceada definida por quadrado latino. O time-box é de 35 minutos por trial. Um trial que não atingir todos os testes dentro desse limite permanece na base como censurado em 2100 segundos, evitando descarte seletivo.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3.1 Principais Desafios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primeiro desafio foi construir katas de dificuldade comparável e, ao mesmo tempo, pouco suscetíveis à memorização pelo modelo. Para isso, o grupo utilizou exercícios autorais e realizou uma checagem de baixa indexação, com busca textual e teste de reconhecimento direto pelo assistente.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Outro desafio foi preservar a comparabilidade entre os tratamentos. O mesmo assistente deve ser utilizado em todos os trials com-ia, enquanto nos trials sem-ia o assistente e o autocomplete de IA permanecem desativados. A coleta também depende de cronometragem uniforme e de uma regra única para trials incompletos.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Desvios de protocolo registrados. </w:t>
      </w:r>
      <w:r>
        <w:rPr>
          <w:rFonts w:ascii="Calibri" w:cs="Calibri" w:eastAsia="Calibri" w:hAnsi="Calibri"/>
          <w:sz w:val="20"/>
          <w:szCs w:val="20"/>
        </w:rPr>
        <w:t xml:space="preserve">A coleta foi concluída, mas quatro desvios foram documentados no próprio trials.csv, em vez de corrigidos silenciosamente: (i) nos três trials com-ia de P3, o assistente utilizado foi o Claude Code, e não o claude.ai fixado no documento de ambiente; (ii) em dois trials sem-ia de P2 e um de P3, houve consulta ao assistente para dúvidas de procedimento, sem ajuda algorítmica; (iii) em caue_kata-04_com-ia a solução de referência foi aberta por engano antes do trial, sem leitura declarada; (iv) em leo_kata-03_sem-ia o cronômetro foi encerrado após o instante real de conclusão, e o tempo verdadeiro (23:05) foi lançado pelo comando de registro manual. Todos são tratados como ameaças à validade na seção 4.3.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Por fim, a linguagem escolhida foi JavaScript, para a qual CK e Radon não se aplicam diretamente. Isso exigiu a construção de um instrumento próprio para coletar complexidade ciclomática, duplicação, LOC e Índice de Manutenibilidade de modo consistente e reprodutível.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3.2 Tomadas de Decisão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Assistente: </w:t>
      </w:r>
      <w:r>
        <w:rPr>
          <w:rFonts w:ascii="Calibri" w:cs="Calibri" w:eastAsia="Calibri" w:hAnsi="Calibri"/>
          <w:sz w:val="20"/>
          <w:szCs w:val="20"/>
        </w:rPr>
        <w:t xml:space="preserve">Claude via claude.ai, plano gratuito, mantido como tratamento único nos trials com-ia. Versão exata do modelo na data da coleta: [PREENCHER]. Exceção registrada: os três trials com-ia de P3 usaram Claude Code.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Linguagem: </w:t>
      </w:r>
      <w:r>
        <w:rPr>
          <w:rFonts w:ascii="Calibri" w:cs="Calibri" w:eastAsia="Calibri" w:hAnsi="Calibri"/>
          <w:sz w:val="20"/>
          <w:szCs w:val="20"/>
        </w:rPr>
        <w:t xml:space="preserve">JavaScript com Node.js &gt;= 18 e testes de aceitação via node:test.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Katas: </w:t>
      </w:r>
      <w:r>
        <w:rPr>
          <w:rFonts w:ascii="Calibri" w:cs="Calibri" w:eastAsia="Calibri" w:hAnsi="Calibri"/>
          <w:sz w:val="20"/>
          <w:szCs w:val="20"/>
        </w:rPr>
        <w:t xml:space="preserve">seis exercícios autorais, com 12 testes de aceitação cada, para reduzir diferenças de cobertura e risco de memorização.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Time-box: </w:t>
      </w:r>
      <w:r>
        <w:rPr>
          <w:rFonts w:ascii="Calibri" w:cs="Calibri" w:eastAsia="Calibri" w:hAnsi="Calibri"/>
          <w:sz w:val="20"/>
          <w:szCs w:val="20"/>
        </w:rPr>
        <w:t xml:space="preserve">35 minutos por trial; trials sem sucesso devem ser registrados como censurados em 2100 s e nunca descartados. Nenhum trial atingiu o limite.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Estatística descritiva: </w:t>
      </w:r>
      <w:r>
        <w:rPr>
          <w:rFonts w:ascii="Calibri" w:cs="Calibri" w:eastAsia="Calibri" w:hAnsi="Calibri"/>
          <w:sz w:val="20"/>
          <w:szCs w:val="20"/>
        </w:rPr>
        <w:t xml:space="preserve">mediana e IQR, por serem mais robustos a outliers em amostras pequenas.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Estatística inferencial: </w:t>
      </w:r>
      <w:r>
        <w:rPr>
          <w:rFonts w:ascii="Calibri" w:cs="Calibri" w:eastAsia="Calibri" w:hAnsi="Calibri"/>
          <w:sz w:val="20"/>
          <w:szCs w:val="20"/>
        </w:rPr>
        <w:t xml:space="preserve">Wilcoxon signed-rank pareado por kata, bilateral, alfa = 0,05, com p exato por enumeração, correção de Holm sobre as quatro hipóteses da família e tamanho de efeito r reportado sempre.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Outliers: </w:t>
      </w:r>
      <w:r>
        <w:rPr>
          <w:rFonts w:ascii="Calibri" w:cs="Calibri" w:eastAsia="Calibri" w:hAnsi="Calibri"/>
          <w:sz w:val="20"/>
          <w:szCs w:val="20"/>
        </w:rPr>
        <w:t xml:space="preserve">mantidos e discutidos, sem remoção automática. A detecção por IQR x 1,5 não acusou outliers nas métricas estáticas; o trial caue_kata-03_com-ia (355 s) foi mantido apesar de atraso de marcação.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Processo no GitHub Projects: </w:t>
      </w:r>
      <w:r>
        <w:rPr>
          <w:rFonts w:ascii="Calibri" w:cs="Calibri" w:eastAsia="Calibri" w:hAnsi="Calibri"/>
          <w:sz w:val="20"/>
          <w:szCs w:val="20"/>
        </w:rPr>
        <w:t xml:space="preserve">colunas mínimas Backlog -&gt; To Do -&gt; Doing -&gt; Review -&gt; Done. Limite de WIP da coluna Doing: [PREENCHER VALOR E JUSTIFICATIVA].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3.3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400"/>
        <w:gridCol w:w="19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Sprint/Etapa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Entregas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Responsável(is)</w:t>
            </w:r>
          </w:p>
        </w:tc>
        <w:tc>
          <w:tcPr>
            <w:tcW w:type="dxa" w:w="19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S01 - Desenho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Hipóteses; variáveis; tratamentos; desenho crossover; ameaças à validade; configuração do board.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Enzo Casaes</w:t>
            </w:r>
          </w:p>
        </w:tc>
        <w:tc>
          <w:tcPr>
            <w:tcW w:type="dxa" w:w="1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#45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S02 - Preparação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Definição/validação dos 6 katas; testes de aceitação; cronômetro; scripts de métricas; ambiente e protocolo de baixa indexação.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Enzo Casaes (katas, indexação)
Leonardo Viana (ambiente, métricas)</w:t>
            </w:r>
          </w:p>
        </w:tc>
        <w:tc>
          <w:tcPr>
            <w:tcW w:type="dxa" w:w="19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#45, #46, #49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S03 - Execução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Execução dos trials com-ia e sem-ia; registro de tempo, testes, observações e código final. 18/18 concluídos.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Enzo Casaes (P1)
Cauê Moraes (P2)
Leonardo Viana (P3)</w:t>
            </w:r>
          </w:p>
        </w:tc>
        <w:tc>
          <w:tcPr>
            <w:tcW w:type="dxa" w:w="1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#49, #50, #51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S04 - Análise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Consolidação dos CSVs; mediana/IQR; Wilcoxon; correção de Holm; análise da RQ3; dashboard de resultados.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Cauê Moraes (RQ1/RQ2)
Leonardo Viana (RQ3)
Enzo Casaes (dashboard)</w:t>
            </w:r>
          </w:p>
        </w:tc>
        <w:tc>
          <w:tcPr>
            <w:tcW w:type="dxa" w:w="19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#55, #56, #57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Relatório Final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Discussão por RQ, ameaças à validade, conclusão, reprodutibilidade e entrega do dashboard.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</w:t>
            </w:r>
          </w:p>
        </w:tc>
        <w:tc>
          <w:tcPr>
            <w:tcW w:type="dxa" w:w="1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[PREENCHER ISSUES]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Configuração do processo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board deve refletir o fluxo real do grupo com Backlog, To Do, Doing, Review e Done, além da política de WIP adotada. O quadro abaixo deve ser substituído pelo print final do GitHub Projects antes da entrega.</w:t>
      </w:r>
    </w:p>
    <w:p>
      <w:pPr>
        <w:pBdr>
          <w:top w:val="single" w:color="BFBFBF" w:sz="6" w:space="12"/>
          <w:bottom w:val="single" w:color="BFBFBF" w:sz="6" w:space="12"/>
          <w:left w:val="single" w:color="BFBFBF" w:sz="6" w:space="12"/>
          <w:right w:val="single" w:color="BFBFBF" w:sz="6" w:space="12"/>
        </w:pBdr>
        <w:spacing w:after="240" w:before="120"/>
        <w:jc w:val="center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INSERIR AQUI O PRINT FINAL DO GITHUB PROJECTS / KANBAN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3.4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 no experimento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VS Code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 utilizada nos trials. Versão de cada integrante: [PREENCHER].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/ claude.ai</w:t>
            </w:r>
          </w:p>
        </w:tc>
        <w:tc>
          <w:tcPr>
            <w:tcW w:type="dxa" w:w="63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Assistente utilizado nos trials com-ia. Versão exata do modelo: [PREENCHER]. Em P3, Claude Code (desvio registrado).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 &gt;= 18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Execução dos katas, testes e scripts de coleta/análise.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node:test</w:t>
            </w:r>
          </w:p>
        </w:tc>
        <w:tc>
          <w:tcPr>
            <w:tcW w:type="dxa" w:w="63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Testes automatizados de aceitação: 12 por kata.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cronometro.js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Cronometragem única do time-to-green e registro do trial.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preparar-trial.js</w:t>
            </w:r>
          </w:p>
        </w:tc>
        <w:tc>
          <w:tcPr>
            <w:tcW w:type="dxa" w:w="63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Monta a pasta do trial (enunciado, suíte e esqueleto) antes de iniciar o cronômetro.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metricas.js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Instrumento próprio: McCabe médio, duplicação, LOC e MI.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analise.js</w:t>
            </w:r>
          </w:p>
        </w:tc>
        <w:tc>
          <w:tcPr>
            <w:tcW w:type="dxa" w:w="63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Medianas/IQR, Wilcoxon exato, tamanho de efeito e correção de Holm.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dashboard.py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e visualizações em Pandas + Matplotlib/Seaborn.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 / GitHub / GitHub Projects v2</w:t>
            </w:r>
          </w:p>
        </w:tc>
        <w:tc>
          <w:tcPr>
            <w:tcW w:type="dxa" w:w="63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Versionamento, rastreabilidade dos artefatos e gestão do processo.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3.5 Tabela de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50"/>
        <w:gridCol w:w="3600"/>
        <w:gridCol w:w="1030"/>
        <w:gridCol w:w="2100"/>
      </w:tblGrid>
      <w:tr>
        <w:trPr>
          <w:tblHeader/>
        </w:trPr>
        <w:tc>
          <w:tcPr>
            <w:tcW w:type="dxa" w:w="78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tcW w:type="dxa" w:w="18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 Operacional</w:t>
            </w:r>
          </w:p>
        </w:tc>
        <w:tc>
          <w:tcPr>
            <w:tcW w:type="dxa" w:w="103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Unidade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Ferramenta / Fonte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RQ1</w:t>
            </w:r>
          </w:p>
        </w:tc>
        <w:tc>
          <w:tcPr>
            <w:tcW w:type="dxa" w:w="1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Time-to-Green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Tempo entre início do trial e instante em que 100% dos testes passam; se não houver sucesso até 35 min, registrar 2100 s e marcar censurado.</w:t>
            </w:r>
          </w:p>
        </w:tc>
        <w:tc>
          <w:tcPr>
            <w:tcW w:type="dxa" w:w="10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segundos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cronometro.js</w:t>
            </w:r>
          </w:p>
        </w:tc>
      </w:tr>
      <w:tr>
        <w:tc>
          <w:tcPr>
            <w:tcW w:type="dxa" w:w="78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RQ1</w:t>
            </w:r>
          </w:p>
        </w:tc>
        <w:tc>
          <w:tcPr>
            <w:tcW w:type="dxa" w:w="18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Nº de prompts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Contagem de interações enviadas ao assistente durante o trial com-ia.</w:t>
            </w:r>
          </w:p>
        </w:tc>
        <w:tc>
          <w:tcPr>
            <w:tcW w:type="dxa" w:w="103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contagem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do trial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1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Taxa de sucesso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testes_passando / testes_totais ao final do trial.</w:t>
            </w:r>
          </w:p>
        </w:tc>
        <w:tc>
          <w:tcPr>
            <w:tcW w:type="dxa" w:w="10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node:test</w:t>
            </w:r>
          </w:p>
        </w:tc>
      </w:tr>
      <w:tr>
        <w:tc>
          <w:tcPr>
            <w:tcW w:type="dxa" w:w="78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18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Testes falhando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testes_totais - testes_passando ao final do time-box.</w:t>
            </w:r>
          </w:p>
        </w:tc>
        <w:tc>
          <w:tcPr>
            <w:tcW w:type="dxa" w:w="103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contagem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node:test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RQ3a</w:t>
            </w:r>
          </w:p>
        </w:tc>
        <w:tc>
          <w:tcPr>
            <w:tcW w:type="dxa" w:w="1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Complexidade ciclomática média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Média da complexidade de McCabe por função do código final: 1 + if/for/while/do/case/catch/&amp;&amp;/||/??/ternário. Funções aninhadas contam à parte.</w:t>
            </w:r>
          </w:p>
        </w:tc>
        <w:tc>
          <w:tcPr>
            <w:tcW w:type="dxa" w:w="10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metricas.js</w:t>
            </w:r>
          </w:p>
        </w:tc>
      </w:tr>
      <w:tr>
        <w:tc>
          <w:tcPr>
            <w:tcW w:type="dxa" w:w="78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RQ3b</w:t>
            </w:r>
          </w:p>
        </w:tc>
        <w:tc>
          <w:tcPr>
            <w:tcW w:type="dxa" w:w="18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Duplicação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Percentual de linhas significativas cobertas por janelas de 5 linhas repetidas, sem atravessar fronteira de arquivo.</w:t>
            </w:r>
          </w:p>
        </w:tc>
        <w:tc>
          <w:tcPr>
            <w:tcW w:type="dxa" w:w="103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metricas.js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</w:t>
            </w:r>
          </w:p>
        </w:tc>
        <w:tc>
          <w:tcPr>
            <w:tcW w:type="dxa" w:w="1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Linhas não vazias que não são comentário. Métrica de controle obrigatória ao reportar complexidade ou duplicação.</w:t>
            </w:r>
          </w:p>
        </w:tc>
        <w:tc>
          <w:tcPr>
            <w:tcW w:type="dxa" w:w="10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linhas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metricas.js</w:t>
            </w:r>
          </w:p>
        </w:tc>
      </w:tr>
      <w:tr>
        <w:tc>
          <w:tcPr>
            <w:tcW w:type="dxa" w:w="78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</w:t>
            </w:r>
          </w:p>
        </w:tc>
        <w:tc>
          <w:tcPr>
            <w:tcW w:type="dxa" w:w="18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Maintainability Index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composto normalizado 0-100 a partir de complexidade, LOC e volume de Halstead; uso exploratório.</w:t>
            </w:r>
          </w:p>
        </w:tc>
        <w:tc>
          <w:tcPr>
            <w:tcW w:type="dxa" w:w="103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metricas.js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</w:t>
            </w:r>
          </w:p>
        </w:tc>
        <w:tc>
          <w:tcPr>
            <w:tcW w:type="dxa" w:w="1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Nº de funções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Funções detectadas no código final (declaração, expressão, arrow e método). Leitura de apoio.</w:t>
            </w:r>
          </w:p>
        </w:tc>
        <w:tc>
          <w:tcPr>
            <w:tcW w:type="dxa" w:w="10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contagem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metricas.js</w:t>
            </w:r>
          </w:p>
        </w:tc>
      </w:tr>
    </w:tbl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3.6 Inovações Propostas pelo Grupo (30% da nota)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1) Instrumento próprio de métricas para JavaScript.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Como CK é voltado a Java e Radon a Python, o grupo implementou metricas.js em Node puro para manter a linguagem dos katas em JavaScript. O instrumento parte de um tokenizador que descarta comentários, strings, template strings e literais de regex antes de qualquer contagem, de modo que um if dentro de uma string não seja contado como desvio de fluxo. Mede McCabe, duplicação, LOC e MI, e é coberto por testes automatizados, aumentando a reprodutibilidade do laboratório.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2) Protocolo de baixa indexação e reconhecimento.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Além de produzir katas autorais, o grupo verificou se os enunciados eram facilmente localizáveis e se o assistente reconhecia diretamente os exercícios. Nenhum dos seis foi reconhecido no protocolo aplicado, o que reduz - sem eliminar - a ameaça de memorização.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3) Análise estatística complementar.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Além do Wilcoxon solicitado, o grupo calcula o p exato por enumeração dos 2^n sinais possíveis, em vez da aproximação normal, que é ruim com n pequeno; reporta tamanho de efeito r; e aplica correção de Holm sobre as quatro hipóteses da família fixada no desenho. O script também informa o menor p atingível para o n disponível, tornando explícito quando o teste não teria como rejeitar H0 qualquer que fosse o resultado.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4) Métricas exploratórias e de apoio.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Índice de Manutenibilidade e o número de prompts aprofundam a discussão. Para a RQ3, o grupo acrescentou LOC como controle obrigatório e o número de funções como leitura de apoio, mantidos fora da correção de Holm justamente para não ampliar a família de hipóteses depois de ver os dados. Como mostra a seção 4.3, é esse conjunto que permite interpretar corretamente o resultado estrutural.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4. Resultados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4.1 Coleta de Dados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desenho prevê 18 trials: 3 participantes x 6 katas, com 9 com-ia e 9 sem-ia.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coleta foi concluída integralmente</w:t>
      </w:r>
      <w:r>
        <w:rPr>
          <w:rFonts w:ascii="Calibri" w:cs="Calibri" w:eastAsia="Calibri" w:hAnsi="Calibri"/>
          <w:sz w:val="20"/>
          <w:szCs w:val="20"/>
        </w:rPr>
        <w:t xml:space="preserve">: Enzo (P1) 6/6, Cauê (P2) 6/6 e Leonardo (P3) 6/6. A estatística descritiva usa n=9 por tratamento, e a análise inferencial pareada usa 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seis katas</w:t>
      </w:r>
      <w:r>
        <w:rPr>
          <w:rFonts w:ascii="Calibri" w:cs="Calibri" w:eastAsia="Calibri" w:hAnsi="Calibri"/>
          <w:sz w:val="20"/>
          <w:szCs w:val="20"/>
        </w:rPr>
        <w:t xml:space="preserve">, todos com observações nos dois tratamentos.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Nenhum trial foi censurado e nenhum ultrapassou o time-box de 35 minutos. A maior duração observada foi 23:28. Todos os 18 trials encerraram com 12/12 testes de aceitação passando. A duplicação de código foi 0% em todos os trials, criando efeito de teto em RQ2 e efeito de piso em duplicação.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detecção de outliers por IQR x 1,5 não acusou nenhum valor extremo nas métricas estáticas. Em tempo, o trial caue_kata-03_com-ia (355 s) foi mantido: o registro informa que os testes já haviam passado por volta de 266 s, mas a marcação de encerramento ocorreu depois, por dúvida de procedimento. O dado foi mantido e discutido em vez de removido.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Trials do participante P3 (Leonardo), concluídos nesta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700"/>
        <w:gridCol w:w="2200"/>
        <w:gridCol w:w="1600"/>
        <w:gridCol w:w="146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Kata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 até verde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Testes</w:t>
            </w:r>
          </w:p>
        </w:tc>
        <w:tc>
          <w:tcPr>
            <w:tcW w:type="dxa" w:w="14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Prompts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kata-02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sem-ia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09:31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12/12</w:t>
            </w:r>
          </w:p>
        </w:tc>
        <w:tc>
          <w:tcPr>
            <w:tcW w:type="dxa" w:w="1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kata-05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com-ia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02:18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12/12</w:t>
            </w:r>
          </w:p>
        </w:tc>
        <w:tc>
          <w:tcPr>
            <w:tcW w:type="dxa" w:w="14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kata-03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sem-ia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23:05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12/12</w:t>
            </w:r>
          </w:p>
        </w:tc>
        <w:tc>
          <w:tcPr>
            <w:tcW w:type="dxa" w:w="1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kata-06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com-ia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02:51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12/12</w:t>
            </w:r>
          </w:p>
        </w:tc>
        <w:tc>
          <w:tcPr>
            <w:tcW w:type="dxa" w:w="14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kata-04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sem-ia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12:24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12/12</w:t>
            </w:r>
          </w:p>
        </w:tc>
        <w:tc>
          <w:tcPr>
            <w:tcW w:type="dxa" w:w="1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kata-01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com-ia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03:02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12/12</w:t>
            </w:r>
          </w:p>
        </w:tc>
        <w:tc>
          <w:tcPr>
            <w:tcW w:type="dxa" w:w="146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 sequência segue a linha P3 do quadrado latino, alternando os tratamentos para não confundir o efeito do assistente com o efeito de ordem. A mediana de P3 foi 02:51 com IA contra 12:24 sem IA.</w:t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4.2 Visualização Gráfica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RQ1 - </w:t>
      </w:r>
      <w:r>
        <w:rPr>
          <w:rFonts w:ascii="Calibri" w:cs="Calibri" w:eastAsia="Calibri" w:hAnsi="Calibri"/>
          <w:sz w:val="20"/>
          <w:szCs w:val="20"/>
        </w:rPr>
        <w:t xml:space="preserve">O uso de assistente de IA reduz o tempo necessário para resolver uma tarefa de programação?</w:t>
      </w:r>
    </w:p>
    <w:p>
      <w:pPr>
        <w:spacing w:after="40" w:before="160"/>
        <w:jc w:val="center"/>
      </w:pPr>
      <w:r>
        <w:drawing>
          <wp:inline distT="0" distB="0" distL="0" distR="0">
            <wp:extent cx="4381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1 - Comparação pareada do tempo até verde nos seis katas, agora com os dois tratamentos disponíveis.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Nos seis pares completos, o tratamento com-ia foi mais rápido em todos os casos. Na análise agregada, a mediana foi 01:29 com-ia (IQR 00:18-02:57) e 14:26 sem-ia (IQR 09:56-21:06).</w:t>
      </w:r>
    </w:p>
    <w:p>
      <w:pPr>
        <w:spacing w:after="40" w:before="160"/>
        <w:jc w:val="center"/>
      </w:pPr>
      <w:r>
        <w:drawing>
          <wp:inline distT="0" distB="0" distL="0" distR="0">
            <wp:extent cx="2381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2 - Mediana e IQR do time-to-green por tratamento.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RQ2 - </w:t>
      </w:r>
      <w:r>
        <w:rPr>
          <w:rFonts w:ascii="Calibri" w:cs="Calibri" w:eastAsia="Calibri" w:hAnsi="Calibri"/>
          <w:sz w:val="20"/>
          <w:szCs w:val="20"/>
        </w:rPr>
        <w:t xml:space="preserve">O uso de assistente de IA reduz a quantidade de defeitos no código produzido?</w:t>
      </w:r>
    </w:p>
    <w:p>
      <w:pPr>
        <w:spacing w:after="40" w:before="160"/>
        <w:jc w:val="center"/>
      </w:pPr>
      <w:r>
        <w:drawing>
          <wp:inline distT="0" distB="0" distL="0" distR="0">
            <wp:extent cx="2381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3 - Taxa de sucesso dos testes de aceitação por tratamento.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taxa de sucesso foi de 100% em ambos os tratamentos, nos 18 trials. Esta métrica não diferenciou com-ia e sem-ia.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RQ3 - </w:t>
      </w:r>
      <w:r>
        <w:rPr>
          <w:rFonts w:ascii="Calibri" w:cs="Calibri" w:eastAsia="Calibri" w:hAnsi="Calibri"/>
          <w:sz w:val="20"/>
          <w:szCs w:val="20"/>
        </w:rPr>
        <w:t xml:space="preserve">O uso de assistente de IA altera a complexidade ciclomática ou a duplicação do código produzido?</w:t>
      </w:r>
    </w:p>
    <w:p>
      <w:pPr>
        <w:spacing w:after="40" w:before="160"/>
        <w:jc w:val="center"/>
      </w:pPr>
      <w:r>
        <w:drawing>
          <wp:inline distT="0" distB="0" distL="0" distR="0">
            <wp:extent cx="2381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4 - Complexidade ciclomática média por função.</w:t>
      </w:r>
    </w:p>
    <w:p>
      <w:pPr>
        <w:spacing w:after="40" w:before="160"/>
        <w:jc w:val="center"/>
      </w:pPr>
      <w:r>
        <w:drawing>
          <wp:inline distT="0" distB="0" distL="0" distR="0">
            <wp:extent cx="2381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5 - Duplicação de código.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complexidade ciclomática mediana foi 5,00 com-ia (IQR 4,29-9,25) e 3,75 sem-ia (IQR 2,63-6,25). A duplicação foi 0% nos dois tratamentos.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Com a coleta completa, a direção passou a ser consistente</w:t>
      </w:r>
      <w:r>
        <w:rPr>
          <w:rFonts w:ascii="Calibri" w:cs="Calibri" w:eastAsia="Calibri" w:hAnsi="Calibri"/>
          <w:sz w:val="20"/>
          <w:szCs w:val="20"/>
        </w:rPr>
        <w:t xml:space="preserve">: cinco dos seis pares apontam maior complexidade com IA (o único contrário é o kata-02), e o sinal se repete nos três participantes independentemente (P1 +1,50; P2 +5,00; P3 +1,25).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Métricas de controle e aprofundamento</w:t>
      </w:r>
    </w:p>
    <w:p>
      <w:pPr>
        <w:spacing w:after="40" w:before="160"/>
        <w:jc w:val="center"/>
      </w:pPr>
      <w:r>
        <w:drawing>
          <wp:inline distT="0" distB="0" distL="0" distR="0">
            <wp:extent cx="2381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6 - LOC como métrica de controle.</w:t>
      </w:r>
    </w:p>
    <w:p>
      <w:pPr>
        <w:spacing w:after="40" w:before="160"/>
        <w:jc w:val="center"/>
      </w:pPr>
      <w:r>
        <w:drawing>
          <wp:inline distT="0" distB="0" distL="0" distR="0">
            <wp:extent cx="2381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7 - Índice de Manutenibilidade.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LOC mediano foi 38 com-ia e 36 sem-ia, com r = 0,043 e p = 1,000: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 tamanho do código é equivalente entre os tratamentos</w:t>
      </w:r>
      <w:r>
        <w:rPr>
          <w:rFonts w:ascii="Calibri" w:cs="Calibri" w:eastAsia="Calibri" w:hAnsi="Calibri"/>
          <w:sz w:val="20"/>
          <w:szCs w:val="20"/>
        </w:rPr>
        <w:t xml:space="preserve">. Esse controle é o que dá sentido ao resultado de complexidade — a diferença observada não vem de verbosidade. O MI mediano foi 39,87 com-ia e 40,21 sem-ia, praticamente empatado, porque o índice composto compensa a maior complexidade com o LOC equivalente.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métrica de apoio que fecha a interpretação é o número de funções: mediana 3 com-ia contra 4 sem-ia, com r = 0,601 e diferença negativa nos seis katas e nos três participantes. Mesmo LOC, menos funções e maior complexidade por função descrevem código menos decomposto, não código mais longo.</w:t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Calibri Light" w:cs="Calibri Light" w:eastAsia="Calibri Light" w:hAnsi="Calibri Light"/>
          <w:b/>
          <w:bCs/>
          <w:color w:val="2E8B7A"/>
          <w:sz w:val="26"/>
          <w:szCs w:val="26"/>
        </w:rPr>
        <w:t xml:space="preserve">4.3 Discussão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Tabela 3 resume a análise inferencial com a coleta completa. O Wilcoxon usa n=6 pares, um por kata, já que todos os seis têm observações nos dois tratamentos. Em RQ2 e em duplicação todas as diferenças são zero, portanto o teste não é aplicável por ausência de variância.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950"/>
        <w:gridCol w:w="1300"/>
        <w:gridCol w:w="1300"/>
        <w:gridCol w:w="2010"/>
        <w:gridCol w:w="14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 pares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Mediana com-ia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Mediana sem-ia</w:t>
            </w:r>
          </w:p>
        </w:tc>
        <w:tc>
          <w:tcPr>
            <w:tcW w:type="dxa" w:w="201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Wilcoxon / efeito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RQ1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Tempo até verde</w:t>
            </w:r>
          </w:p>
        </w:tc>
        <w:tc>
          <w:tcPr>
            <w:tcW w:type="dxa" w:w="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 s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866 s</w:t>
            </w:r>
          </w:p>
        </w:tc>
        <w:tc>
          <w:tcPr>
            <w:tcW w:type="dxa" w:w="2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V=0; p=0,031; p Holm=0,063; r=0,899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rejeita H0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Taxa de sucesso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(dif.=0)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1,00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1,00</w:t>
            </w:r>
          </w:p>
        </w:tc>
        <w:tc>
          <w:tcPr>
            <w:tcW w:type="dxa" w:w="201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Indisponível: sem variância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 não aplicável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RQ3a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5,00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3,75</w:t>
            </w:r>
          </w:p>
        </w:tc>
        <w:tc>
          <w:tcPr>
            <w:tcW w:type="dxa" w:w="2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V=4; p=0,219; p Holm=0,219; r=0,556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rejeita H0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RQ3b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Duplicação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(dif.=0)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  <w:tc>
          <w:tcPr>
            <w:tcW w:type="dxa" w:w="201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Indisponível: sem variância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 não aplicável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 (controle)</w:t>
            </w:r>
          </w:p>
        </w:tc>
        <w:tc>
          <w:tcPr>
            <w:tcW w:type="dxa" w:w="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r=0,043; p=1,000 (fora de Holm)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 diferença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 (exploratório)</w:t>
            </w:r>
          </w:p>
        </w:tc>
        <w:tc>
          <w:tcPr>
            <w:tcW w:type="dxa" w:w="9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39,87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40,21</w:t>
            </w:r>
          </w:p>
        </w:tc>
        <w:tc>
          <w:tcPr>
            <w:tcW w:type="dxa" w:w="201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r=0,043; p=1,000 (fora de Holm)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 diferença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RQ3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Nº de funções (apoio)</w:t>
            </w:r>
          </w:p>
        </w:tc>
        <w:tc>
          <w:tcPr>
            <w:tcW w:type="dxa" w:w="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0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r=0,601; p=0,188 (fora de Holm)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 diferença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RQ1.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hipótese de menor tempo com IA é fortemente apoiada descritivamente: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os seis pares apresentaram tempo menor com-ia</w:t>
      </w:r>
      <w:r>
        <w:rPr>
          <w:rFonts w:ascii="Calibri" w:cs="Calibri" w:eastAsia="Calibri" w:hAnsi="Calibri"/>
          <w:sz w:val="20"/>
          <w:szCs w:val="20"/>
        </w:rPr>
        <w:t xml:space="preserve">, sem uma única exceção, com mediana das diferenças de -808,5 s (cerca de 13,5 minutos) e tamanho de efeito muito grande (r = 0,899). O p exato bilateral é 0,031, ou seja, o mínimo atingível com seis pares e abaixo de 0,05. Entretanto, após a correção de Holm sobre a família de quatro hipóteses, o p ajustado sobe para 0,063 e não cruza o limiar. Seguindo a regra fixada no desenho, que manda concluir pelo p ajustado,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não se rejeita H0</w:t>
      </w:r>
      <w:r>
        <w:rPr>
          <w:rFonts w:ascii="Calibri" w:cs="Calibri" w:eastAsia="Calibri" w:hAnsi="Calibri"/>
          <w:sz w:val="20"/>
          <w:szCs w:val="20"/>
        </w:rPr>
        <w:t xml:space="preserve">. A leitura correta é que o efeito é grande e perfeitamente consistente, mas o desenho com seis pares não tem poder para sustentá-lo depois do controle de múltiplas comparações.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Vale registrar o contraste com o corte anterior de 12 trials, em que o mesmo teste dispunha de quatro pares e o menor p atingível era 0,125 — ali nem em princípio seria possível chegar à significância. Completar a coleta levou o p bruto exatamente ao limite do que o desenho permite.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RQ2.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expectativa de redução de defeitos não foi confirmada nem refutada estatisticamente, porque os dois tratamentos atingiram 100% de sucesso nos 18 trials. O resultado é um efeito de teto: não houve espaço para a métrica discriminar os grupos. O dado permite afirmar somente que a vantagem temporal observada em RQ1 não veio acompanhada de queda na taxa de sucesso funcional — o que, em si, já é informativo: a aceleração não custou qualidade funcional.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RQ3.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complexidade apresentou mediana maior com-ia (5,00 contra 3,75), com direção consistente em cinco dos seis pares e tamanho de efeito grande (r = 0,556), mas o Wilcoxon não fornece evidência para rejeitar H0 (p Holm = 0,219). A duplicação foi 0% nos dois tratamentos e não pôde ser testada.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 achado relevante aparece quando as três métricas são lidas juntas, como o enunciado exige</w:t>
      </w:r>
      <w:r>
        <w:rPr>
          <w:rFonts w:ascii="Calibri" w:cs="Calibri" w:eastAsia="Calibri" w:hAnsi="Calibri"/>
          <w:sz w:val="20"/>
          <w:szCs w:val="20"/>
        </w:rPr>
        <w:t xml:space="preserve">: com LOC equivalente (r = 0,043) e menos funções no código assistido (mediana 3 contra 4, r = 0,601, diferença negativa em todos os pares), o quadro descrito é o de código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menos decomposto</w:t>
      </w:r>
      <w:r>
        <w:rPr>
          <w:rFonts w:ascii="Calibri" w:cs="Calibri" w:eastAsia="Calibri" w:hAnsi="Calibri"/>
          <w:sz w:val="20"/>
          <w:szCs w:val="20"/>
        </w:rPr>
        <w:t xml:space="preserve">, e não de código mais verboso. A complexidade máxima por trial segue o mesmo sentido (10 contra 9, r = 0,472).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Nenhum desses valores atinge significância com seis pares, e por isso nada aqui é conclusivo. Mas os quatro sinais — complexidade média, complexidade máxima, número de funções e LOC — são coerentes entre si e se repetem entre participantes, o que caracteriza uma hipótese bem formada para réplica, e não ruído.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Sobre a duplicação, o efeito de piso tem explicação no próprio objeto experimental: soluções de 24 a 79 LOC, de função única, praticamente não comportam um bloco repetido de cinco linhas. A métrica não discrimina neste contexto. Uma réplica precisaria de katas maiores, janela menor que cinco linhas, ou detecção por token em vez de linha, como faz o PMD CPD.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Inovações.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O instrumento próprio tornou possível manter JavaScript e coletar as métricas exigidas de forma automatizada e testada. O protocolo de baixa indexação reduz uma ameaça específica do uso de IA. A correção de Holm e o tamanho de efeito são o que permite interpretar RQ1 com honestidade: há uma diferença observada enorme e perfeitamente consistente, que ainda assim não sobrevive ao controle de múltiplas comparações com este n. E as métricas de apoio da RQ3, mantidas fora da família de Holm, são o que transforma um resultado negativo isolado em uma interpretação estrutural defensável.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Ameaças à validade.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Na validade interna, permanecem o efeito de aprendizado e a familiaridade desigual com a IA, além de quatro desvios registrados: o uso de Claude Code em vez de claude.ai nos três trials com-ia de P3, que quebra a ferramenta única do tratamento; as consultas de procedimento ao assistente durante três trials sem-ia; a abertura acidental de uma solução de referência antes de caue_kata-04_com-ia; e o encerramento tardio do cronômetro em leo_kata-03_sem-ia, corrigido por registro manual. Registra-se ainda que P3 executou os seis trials em uma janela de aproximadamente 1h23, contrariando o limite de três trials por sessão previsto no desenho para conter fadiga.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Na validade de construto, testes de aceitação são apenas uma proxy de defeitos, e as métricas estruturais não representam toda a qualidade do código; o MI, por ser composto, chega a mascarar o padrão que as métricas isoladas revelam. Na validade externa, a amostra é reduzida, composta por estudantes e katas pequenos, o que limita a generalização para equipes profissionais e bases legadas. Na validade de conclusão, o principal risco segue sendo o baixo poder: com seis pares, o menor p bilateral atingível é 0,031, de modo que só um efeito perfeitamente consistente poderia ser detectado, e ainda assim a correção de Holm o absorve. Quanto à memorização, os katas autorais e o protocolo de reconhecimento reduzem, mas não eliminam, essa possibilidade.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5. Conclusão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Com a coleta completa dos 18 trials, a condição com-ia apresentou tempo até verde substancialmente menor: mediana de 89 s contra 866 s, uma diferença mediana de aproximadamente 13,5 minutos.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direção se repetiu nos seis katas pareados, sem exceção</w:t>
      </w:r>
      <w:r>
        <w:rPr>
          <w:rFonts w:ascii="Calibri" w:cs="Calibri" w:eastAsia="Calibri" w:hAnsi="Calibri"/>
          <w:sz w:val="20"/>
          <w:szCs w:val="20"/>
        </w:rPr>
        <w:t xml:space="preserve">, com tamanho de efeito muito grande (r = 0,899) e p exato de 0,031. Ainda assim, após a correção de Holm o p ajustado é 0,063 e a hipótese nula não é rejeitada pelo critério fixado no desenho. RQ1 apresenta, portanto, um sinal de produtividade forte e consistente, sem significância estatística sob controle de múltiplas comparações.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Para RQ2, os dois tratamentos obtiveram 100% de sucesso nos testes de aceitação em todos os 18 trials, de modo que não foi observada diferença funcional. O resultado é um efeito de teto, mas permite afirmar que o ganho de tempo não veio acompanhado de perda de qualidade funcional.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Para RQ3, a complexidade ciclomática apresentou mediana maior com-ia (5,00 contra 3,75), agora com direção consistente em cinco dos seis katas e efeito grande (r = 0,556), porém sem diferença estatisticamente sustentada (p Holm = 0,219); a duplicação permaneceu em 0% nos dois tratamentos e não pôde ser testada. Lida junto do controle de LOC, que ficou equivalente, e do número de funções, menor com IA em todos os pares, a evidência descritiva sugere 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 assistente produziu código menos decomposto, e não mais verboso</w:t>
      </w:r>
      <w:r>
        <w:rPr>
          <w:rFonts w:ascii="Calibri" w:cs="Calibri" w:eastAsia="Calibri" w:hAnsi="Calibri"/>
          <w:sz w:val="20"/>
          <w:szCs w:val="20"/>
        </w:rPr>
        <w:t xml:space="preserve"> — um padrão coerente, porém ainda não demonstrado estatisticamente.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As principais limitações são o pequeno número de pares, a utilização de estudantes e katas curtos, os desvios de protocolo registrados na seção 4.3 e as ameaças de aprendizado e memorização. Para uma réplica, o grupo recomenda ampliar o número de participantes — o que aumenta o n de pares e o poder do Wilcoxon —, usar katas maiores e com mais de um módulo, de modo que a duplicação deixe de ter efeito de piso, tarefas com dificuldade suficiente para evitar o teto de 100% em RQ2, e tarefas de manutenção em bases de código reais, mais próximas do uso profissional do assistente.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6. Referências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BASILI, Victor R.; CALDIERA, Gianluigi; ROMBACH, H. Dieter. The Goal Question Metric Approach. In: Encyclopedia of Software Engineering. Wiley, 1994.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ZUSE, Horst. A framework of software measurement. Walter de Gruyter, 2013.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WILCOXON, Frank. Individual comparisons by ranking methods. Biometrics Bulletin, 1945.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HOLM, Sture. A simple sequentially rejective multiple test procedure. Scandinavian Journal of Statistics, 1979.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McCABE, Thomas J. A Complexity Measure. IEEE Transactions on Software Engineering, 1976.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WOHLIN, Claes et al. Experimentation in Software Engineering. Springer, 2012.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Vídeo indicado no template da disciplina: https://www.youtube.com/shorts/YwnaeO95AN8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Repositório do experimento: https://github.com/Enzocasaes/Laboratorio-medicao-experimentacao-de-software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Laboratório de Experimentação de Software - Lab02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f6ce0deef56d5c657b464ac5a04fb72e2e2a36.png"/><Relationship Id="rId9" Type="http://schemas.openxmlformats.org/officeDocument/2006/relationships/image" Target="media/e9deba3a89afe8828a9b138880595d6b0f050d9f.png"/><Relationship Id="rId10" Type="http://schemas.openxmlformats.org/officeDocument/2006/relationships/image" Target="media/74278b5493695717af6e76af6900d2c101b5c9d7.png"/><Relationship Id="rId11" Type="http://schemas.openxmlformats.org/officeDocument/2006/relationships/image" Target="media/c1e0df6a441b31d8b405e98b6510ebe918843a0e.png"/><Relationship Id="rId12" Type="http://schemas.openxmlformats.org/officeDocument/2006/relationships/image" Target="media/8478daed0e790d2257e60d87f96818aed082f72b.png"/><Relationship Id="rId13" Type="http://schemas.openxmlformats.org/officeDocument/2006/relationships/image" Target="media/de119cf81524b97514537301649b9626fbf13ad8.png"/><Relationship Id="rId14" Type="http://schemas.openxmlformats.org/officeDocument/2006/relationships/image" Target="media/759a33566dda9f872fa0a7bfb996857cb3b5fe4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Lab02 - Assistentes de IA vs. codificação manual</dc:title>
  <dc:creator>Enzo Casaes, Cauê Moraes, Leonardo Viana</dc:creator>
  <cp:lastModifiedBy>Un-named</cp:lastModifiedBy>
  <cp:revision>1</cp:revision>
  <dcterms:created xsi:type="dcterms:W3CDTF">2026-09-24T02:10:19.382Z</dcterms:created>
  <dcterms:modified xsi:type="dcterms:W3CDTF">2026-09-24T02:10:19.386Z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