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  <w:r>
        <w:t xml:space="preserve"/>
      </w:r>
    </w:p>
    <w:p>
      <w:pPr>
        <w:spacing w:before="200" w:after="8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RELATÓRIO DE ANÁLISE FORENSE</w:t>
      </w:r>
    </w:p>
    <w:p>
      <w:pPr>
        <w:pBdr>
          <w:bottom w:val="single" w:color="2E75B6" w:sz="12" w:space="4"/>
        </w:pBdr>
        <w:spacing w:before="80" w:after="80"/>
        <w:jc w:val="center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Detecção de Anomalias e Risco Prudencial no Mercado de FIDCs</w:t>
      </w:r>
    </w:p>
    <w:p>
      <w:pPr>
        <w:spacing w:before="80" w:after="80"/>
      </w:pPr>
      <w:r>
        <w:t xml:space="preserve"/>
      </w:r>
    </w:p>
    <w:p>
      <w:pPr>
        <w:spacing w:before="240" w:after="80"/>
        <w:jc w:val="center"/>
      </w:pPr>
      <w:r>
        <w:rPr>
          <w:rFonts w:ascii="Arial" w:cs="Arial" w:eastAsia="Arial" w:hAnsi="Arial"/>
          <w:color w:val="1F3864"/>
          <w:sz w:val="24"/>
          <w:szCs w:val="24"/>
        </w:rPr>
        <w:t xml:space="preserve">Grupos Master, Trustee, Reag e Letsbank</w:t>
      </w:r>
    </w:p>
    <w:p>
      <w:pPr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Exercício 2025 — Resultados do Pipeline Validado</w:t>
      </w:r>
    </w:p>
    <w:p>
      <w:pPr>
        <w:spacing w:before="6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Pesquisa Acadêmica — Uso Interno</w:t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Metodologia: Isolation Forest — Dados CVM 2025</w:t>
      </w:r>
    </w:p>
    <w:p>
      <w:pPr>
        <w:spacing w:before="80" w:after="8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Março de 2026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Glossário de Termos Econômico-Financeiros</w:t>
      </w:r>
    </w:p>
    <w:p>
      <w:pPr>
        <w:spacing w:before="80" w:after="80"/>
        <w:jc w:val="left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Esta seção define os termos de finanças usados no relatório. Termos de computação (Python, Isolation Forest, pct_change etc.) não são explicados aqui — assume-se familiaridade técnica.</w:t>
      </w:r>
    </w:p>
    <w:p>
      <w:pPr>
        <w:spacing w:before="80" w:after="80"/>
      </w:pPr>
      <w:r>
        <w:t xml:space="preserve"/>
      </w:r>
    </w:p>
    <w:p>
      <w:pPr>
        <w:pBdr>
          <w:left w:val="single" w:color="2E75B6" w:sz="8"/>
        </w:pBdr>
        <w:shd w:fill="D6E4F0" w:val="clear"/>
        <w:spacing w:before="140" w:after="140"/>
        <w:ind w:left="3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FIDC (Fundo de Investimento em Direitos Creditórios): </w:t>
      </w:r>
      <w:r>
        <w:rPr>
          <w:rFonts w:ascii="Arial" w:cs="Arial" w:eastAsia="Arial" w:hAnsi="Arial"/>
          <w:sz w:val="20"/>
          <w:szCs w:val="20"/>
        </w:rPr>
        <w:t xml:space="preserve">Uma estrutura jurídica que funciona como um veículo de investimento. Uma empresa que tem muitos contratos a receber (por exemplo, uma financeira que tem 10.000 contratos de empréstimo de clientes) pode 'vender' esses contratos para um FIDC. O FIDC paga por eles hoje e recebe os pagamentos futuros dos devedores. Investidores compram cotas do FIDC e recebem os juros. O problema forense investigado aqui é quando a empresa usa o FIDC para esconder que muitos desses contratos não vão ser pagos.</w:t>
      </w:r>
    </w:p>
    <w:p>
      <w:pPr>
        <w:spacing w:before="80" w:after="80"/>
      </w:pPr>
      <w:r>
        <w:t xml:space="preserve"/>
      </w:r>
    </w:p>
    <w:p>
      <w:pPr>
        <w:pBdr>
          <w:left w:val="single" w:color="2E75B6" w:sz="8"/>
        </w:pBdr>
        <w:shd w:fill="D6E4F0" w:val="clear"/>
        <w:spacing w:before="140" w:after="140"/>
        <w:ind w:left="3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Cedente: </w:t>
      </w:r>
      <w:r>
        <w:rPr>
          <w:rFonts w:ascii="Arial" w:cs="Arial" w:eastAsia="Arial" w:hAnsi="Arial"/>
          <w:sz w:val="20"/>
          <w:szCs w:val="20"/>
        </w:rPr>
        <w:t xml:space="preserve">A empresa ou banco que 'cede' (vende) os contratos de crédito para o FIDC. No caso investigado, o Banco Master e o Letsbank atuavam como cedentes. Se o cedente e o administrador do fundo são do mesmo grupo econômico, há conflito de interesse — o cedente pode pressionar para que inadimplências não sejam declaradas.</w:t>
      </w:r>
    </w:p>
    <w:p>
      <w:pPr>
        <w:spacing w:before="80" w:after="80"/>
      </w:pPr>
      <w:r>
        <w:t xml:space="preserve"/>
      </w:r>
    </w:p>
    <w:p>
      <w:pPr>
        <w:pBdr>
          <w:left w:val="single" w:color="2E75B6" w:sz="8"/>
        </w:pBdr>
        <w:shd w:fill="D6E4F0" w:val="clear"/>
        <w:spacing w:before="140" w:after="140"/>
        <w:ind w:left="3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Administrador / DTVM: </w:t>
      </w:r>
      <w:r>
        <w:rPr>
          <w:rFonts w:ascii="Arial" w:cs="Arial" w:eastAsia="Arial" w:hAnsi="Arial"/>
          <w:sz w:val="20"/>
          <w:szCs w:val="20"/>
        </w:rPr>
        <w:t xml:space="preserve">A instituição responsável por gerir o FIDC — registrar os ativos, calcular o valor das cotas, declarar a inadimplência à CVM. A Trustee DTVM e a Reag Trust DTVM eram administradoras. DTVM = Distribuidora de Títulos e Valores Mobiliários.</w:t>
      </w:r>
    </w:p>
    <w:p>
      <w:pPr>
        <w:spacing w:before="80" w:after="80"/>
      </w:pPr>
      <w:r>
        <w:t xml:space="preserve"/>
      </w:r>
    </w:p>
    <w:p>
      <w:pPr>
        <w:pBdr>
          <w:left w:val="single" w:color="2E75B6" w:sz="8"/>
        </w:pBdr>
        <w:shd w:fill="D6E4F0" w:val="clear"/>
        <w:spacing w:before="140" w:after="140"/>
        <w:ind w:left="3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Inadimplência: </w:t>
      </w:r>
      <w:r>
        <w:rPr>
          <w:rFonts w:ascii="Arial" w:cs="Arial" w:eastAsia="Arial" w:hAnsi="Arial"/>
          <w:sz w:val="20"/>
          <w:szCs w:val="20"/>
        </w:rPr>
        <w:t xml:space="preserve">Contratos de crédito que os devedores pararam de pagar. Um FIDC saudável declara sua inadimplência mensalmente à CVM. O sinal forense desta pesquisa é quando a inadimplência declarada cai enquanto o giro da carteira aumenta — isso sugere que os contratos problemáticos estão sendo substituídos antes de serem reconhecidos como inadimplentes.</w:t>
      </w:r>
    </w:p>
    <w:p>
      <w:pPr>
        <w:spacing w:before="80" w:after="80"/>
      </w:pPr>
      <w:r>
        <w:t xml:space="preserve"/>
      </w:r>
    </w:p>
    <w:p>
      <w:pPr>
        <w:pBdr>
          <w:left w:val="single" w:color="2E75B6" w:sz="8"/>
        </w:pBdr>
        <w:shd w:fill="D6E4F0" w:val="clear"/>
        <w:spacing w:before="140" w:after="140"/>
        <w:ind w:left="3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Recompra / Substituição: </w:t>
      </w:r>
      <w:r>
        <w:rPr>
          <w:rFonts w:ascii="Arial" w:cs="Arial" w:eastAsia="Arial" w:hAnsi="Arial"/>
          <w:sz w:val="20"/>
          <w:szCs w:val="20"/>
        </w:rPr>
        <w:t xml:space="preserve">O cedente pode 'recomprar' de volta um contrato que vendeu ao FIDC — geralmente quando esse contrato está prestes a vencer sem pagamento. Do ponto de vista contábil, isso faz a inadimplência do fundo cair artificialmente. A substituição é a troca de um contrato problemático por um novo, com o mesmo efeito. Ambas são legítimas em pequena escala; em escala sistemática são o mecanismo central de fraude investigado.</w:t>
      </w:r>
    </w:p>
    <w:p>
      <w:pPr>
        <w:spacing w:before="80" w:after="80"/>
      </w:pPr>
      <w:r>
        <w:t xml:space="preserve"/>
      </w:r>
    </w:p>
    <w:p>
      <w:pPr>
        <w:pBdr>
          <w:left w:val="single" w:color="2E75B6" w:sz="8"/>
        </w:pBdr>
        <w:shd w:fill="D6E4F0" w:val="clear"/>
        <w:spacing w:before="140" w:after="140"/>
        <w:ind w:left="3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Patrimônio Líquido (PL): </w:t>
      </w:r>
      <w:r>
        <w:rPr>
          <w:rFonts w:ascii="Arial" w:cs="Arial" w:eastAsia="Arial" w:hAnsi="Arial"/>
          <w:sz w:val="20"/>
          <w:szCs w:val="20"/>
        </w:rPr>
        <w:t xml:space="preserve">O valor total dos ativos do fundo menos suas dívidas. É o denominador usado para calcular as taxas forenses — por exemplo, se um fundo tem R$ 100M de PL e fez R$ 30M em recompras no mês, a taxa de movimentação é 30%. Fundos com PL muito pequeno (alguns tinham PL = R$ 0,01 nos dados brutos) geravam taxas na casa dos trilhões — esses registros foram removidos do pipeline.</w:t>
      </w:r>
    </w:p>
    <w:p>
      <w:pPr>
        <w:spacing w:before="80" w:after="80"/>
      </w:pPr>
      <w:r>
        <w:t xml:space="preserve"/>
      </w:r>
    </w:p>
    <w:p>
      <w:pPr>
        <w:pBdr>
          <w:left w:val="single" w:color="2E75B6" w:sz="8"/>
        </w:pBdr>
        <w:shd w:fill="D6E4F0" w:val="clear"/>
        <w:spacing w:before="140" w:after="140"/>
        <w:ind w:left="3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CVM (Comissão de Valores Mobiliários): </w:t>
      </w:r>
      <w:r>
        <w:rPr>
          <w:rFonts w:ascii="Arial" w:cs="Arial" w:eastAsia="Arial" w:hAnsi="Arial"/>
          <w:sz w:val="20"/>
          <w:szCs w:val="20"/>
        </w:rPr>
        <w:t xml:space="preserve">O regulador do mercado de capitais brasileiro — equivalente à SEC nos EUA. Os FIDCs são obrigados a enviar informes mensais à CVM com dados de patrimônio, carteira de recebíveis, inadimplência e movimentações. Esses informes são públicos e foram a fonte de dados desta pesquisa.</w:t>
      </w:r>
    </w:p>
    <w:p>
      <w:pPr>
        <w:spacing w:before="80" w:after="80"/>
      </w:pPr>
      <w:r>
        <w:t xml:space="preserve"/>
      </w:r>
    </w:p>
    <w:p>
      <w:pPr>
        <w:pBdr>
          <w:left w:val="single" w:color="2E75B6" w:sz="8"/>
        </w:pBdr>
        <w:shd w:fill="D6E4F0" w:val="clear"/>
        <w:spacing w:before="140" w:after="140"/>
        <w:ind w:left="3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FGC (Fundo Garantidor de Créditos): </w:t>
      </w:r>
      <w:r>
        <w:rPr>
          <w:rFonts w:ascii="Arial" w:cs="Arial" w:eastAsia="Arial" w:hAnsi="Arial"/>
          <w:sz w:val="20"/>
          <w:szCs w:val="20"/>
        </w:rPr>
        <w:t xml:space="preserve">Fundo mantido pelos próprios bancos para cobrir perdas de depositantes em caso de falência bancária. O impacto estimado de R$ 51,8 bilhões refere-se ao custo das liquidações do ecossistema Master para esse fundo de garantia.</w:t>
      </w:r>
    </w:p>
    <w:p>
      <w:pPr>
        <w:spacing w:before="80" w:after="80"/>
      </w:pPr>
      <w:r>
        <w:t xml:space="preserve"/>
      </w:r>
    </w:p>
    <w:p>
      <w:pPr>
        <w:pBdr>
          <w:left w:val="single" w:color="2E75B6" w:sz="8"/>
        </w:pBdr>
        <w:shd w:fill="D6E4F0" w:val="clear"/>
        <w:spacing w:before="140" w:after="140"/>
        <w:ind w:left="3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Liquidação Extrajudicial: </w:t>
      </w:r>
      <w:r>
        <w:rPr>
          <w:rFonts w:ascii="Arial" w:cs="Arial" w:eastAsia="Arial" w:hAnsi="Arial"/>
          <w:sz w:val="20"/>
          <w:szCs w:val="20"/>
        </w:rPr>
        <w:t xml:space="preserve">Intervenção do Banco Central que fecha uma instituição financeira fora do processo judicial tradicional. É a medida mais drástica disponível — equivalente a um 'shutdown' forçado. Entre novembro/2025 e fevereiro/2026, o Banco Central decretou liquidação extrajudicial de 8 instituições ligadas ao Grupo Master.</w:t>
      </w:r>
    </w:p>
    <w:p>
      <w:pPr>
        <w:spacing w:before="80" w:after="80"/>
      </w:pPr>
      <w:r>
        <w:t xml:space="preserve"/>
      </w:r>
    </w:p>
    <w:p>
      <w:pPr>
        <w:pBdr>
          <w:left w:val="single" w:color="2E75B6" w:sz="8"/>
        </w:pBdr>
        <w:shd w:fill="D6E4F0" w:val="clear"/>
        <w:spacing w:before="140" w:after="140"/>
        <w:ind w:left="3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Cota (valor da cota): </w:t>
      </w:r>
      <w:r>
        <w:rPr>
          <w:rFonts w:ascii="Arial" w:cs="Arial" w:eastAsia="Arial" w:hAnsi="Arial"/>
          <w:sz w:val="20"/>
          <w:szCs w:val="20"/>
        </w:rPr>
        <w:t xml:space="preserve">A unidade de participação em um fundo de investimento — análogo a uma ação. O valor da cota sobe quando os contratos do fundo estão sendo pagos normalmente e cai quando há inadimplência. Uma cota com variação mensal artificialmente estável (desvio-padrão próximo de zero) é sinal de que os resultados estão sendo 'suavizados'.</w:t>
      </w:r>
    </w:p>
    <w:p>
      <w:pPr>
        <w:spacing w:before="80" w:after="80"/>
      </w:pPr>
      <w:r>
        <w:t xml:space="preserve"/>
      </w:r>
    </w:p>
    <w:p>
      <w:pPr>
        <w:pBdr>
          <w:left w:val="single" w:color="2E75B6" w:sz="8"/>
        </w:pBdr>
        <w:shd w:fill="D6E4F0" w:val="clear"/>
        <w:spacing w:before="140" w:after="140"/>
        <w:ind w:left="3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Nota de Suspeição (score de anomalia): </w:t>
      </w:r>
      <w:r>
        <w:rPr>
          <w:rFonts w:ascii="Arial" w:cs="Arial" w:eastAsia="Arial" w:hAnsi="Arial"/>
          <w:sz w:val="20"/>
          <w:szCs w:val="20"/>
        </w:rPr>
        <w:t xml:space="preserve">O número central desta pesquisa. O algoritmo Isolation Forest atribui uma nota de 0 a 1 para cada fundo a cada mês. Zero significa 'comportamento idêntico ao mercado normal'. Um significa 'extremamente fora do padrão'. A nota é calculada pela dificuldade de isolar aquela observação em uma árvore de decisão aleatória — observações anômalas são isoladas em menos passos porque ficam em regiões esparsas do espaço de dados.</w:t>
      </w:r>
    </w:p>
    <w:p>
      <w:pPr>
        <w:spacing w:before="80" w:after="80"/>
      </w:pPr>
      <w:r>
        <w:t xml:space="preserve"/>
      </w:r>
    </w:p>
    <w:p>
      <w:pPr>
        <w:pBdr>
          <w:left w:val="single" w:color="2E75B6" w:sz="8"/>
        </w:pBdr>
        <w:shd w:fill="D6E4F0" w:val="clear"/>
        <w:spacing w:before="140" w:after="140"/>
        <w:ind w:left="3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Excesso de Suspeição (diferença em relação ao mercado): </w:t>
      </w:r>
      <w:r>
        <w:rPr>
          <w:rFonts w:ascii="Arial" w:cs="Arial" w:eastAsia="Arial" w:hAnsi="Arial"/>
          <w:sz w:val="20"/>
          <w:szCs w:val="20"/>
        </w:rPr>
        <w:t xml:space="preserve">A diferença entre a nota de suspeição de um grupo investigado e a nota média do mercado naquele mesmo mês. Se o mercado tem nota média 0.20 e o Banco Master tem nota 0.44, o excesso é +0.22. Isso elimina variações sazonais — se todo o mercado ficou mais anômalo em outubro, o excesso captura apenas o quanto o grupo investigado saiu mais do padrão que os demais.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Resumo Executivo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Este relatório documenta uma investigação forense sobre fundos de investimento brasileiros suspeitos de manipulação de indicadores financeiros entre março e novembro de 2025. A investigação usou dados públicos da CVM (o regulador de mercado de capitais) e um algoritmo de Machine Learning chamado Isolation Forest para identificar fundos com comportamento estatisticamente anormal.</w:t>
      </w:r>
    </w:p>
    <w:p>
      <w:pPr>
        <w:spacing w:before="80" w:after="8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O pipeline de análise processou 29.215 registros válidos de 3.882 fundos únicos ao longo de 9 meses. O modelo foi treinado exclusivamente com dados do mercado normal (25.619 observações) e depois aplicado para pontuar todos os fundos — incluindo os dos grupos investigados. Os resultados confirmam anomalia estatística persistente nos grupos investigados, correlacionada com as liquidações extrajudiciais decretadas pelo Banco Central a partir de novembro de 2025.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1.1 Números Principais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foi medido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 de fundos monitorados (mar–nov/2025)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3.882 fundos, 9 meses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Observações válidas no modelo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28.370 registros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Impacto estimado ao Fundo Garantidor de Créditos (FGC)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R$ 51,8 bilhões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Banco Master S.A. — nota de suspeição acima do mercado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+98% acima (nota +0.218)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NF FUNDO (Trustee) — nota de suspeição individual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0.834 de 1.000 — nível crítico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ENGELBERG 41 (Reag) — nota de suspeição individual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0.736 de 1.000 — nível crítico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Instituições fechadas pelo Banco Central (até fev/2026)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 instituições liquidadas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left w:val="single" w:color="C00000" w:sz="10"/>
        </w:pBdr>
        <w:shd w:fill="FFF2F2" w:val="clear"/>
        <w:spacing w:before="160" w:after="160"/>
        <w:ind w:left="36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Achado principal: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O Banco Master S.A. operou sistematicamente 98% acima da média de suspeição do mercado ao longo de 2025, com variação baixa (desvio-padrão de 0.070) — o que indica comportamento anômalo contínuo, não um episódio isolado. O algoritmo sinalizava o problema meses antes da intervenção do Banco Central em novembro de 2025.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O Problema Investigado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Como Funciona a Fraude em FIDCs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Para entender o que foi investigado, é útil pensar em um FIDC como um repositório de contratos de dívida. Um banco (o cedente) vende para o fundo uma carteira de, digamos, 10.000 empréstimos. Os investidores do fundo recebem os pagamentos mensais desses empréstimos. O administrador do fundo (uma DTVM) é responsável por declarar mensalmente à CVM quantos desses empréstimos estão sendo pagos normalmente e quantos estão em atraso.</w:t>
      </w:r>
    </w:p>
    <w:p>
      <w:pPr>
        <w:spacing w:before="80" w:after="8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O esquema investigado funciona assim: quando um contrato começa a ficar inadimplente (devedor para de pagar), o cedente — que é do mesmo grupo econômico que o administrador — recompra esse contrato de volta do fundo antes que o atraso precise ser declarado. Em seguida, coloca um contrato novo e aparentemente saudável no lugar. Para o relatório mensal da CVM, o fundo parece saudável. Na prática, o cedente está acumulando contratos podres fora do balanço do fundo, e o fundo está declarando uma inadimplência artificialmente baixa.</w:t>
      </w:r>
    </w:p>
    <w:p>
      <w:pPr>
        <w:spacing w:before="80" w:after="80"/>
      </w:pPr>
      <w:r>
        <w:t xml:space="preserve"/>
      </w:r>
    </w:p>
    <w:p>
      <w:pPr>
        <w:pBdr>
          <w:left w:val="single" w:color="2E75B6" w:sz="10"/>
        </w:pBdr>
        <w:shd w:fill="D6E4F0" w:val="clear"/>
        <w:spacing w:before="160" w:after="16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Analogia técnica: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É como um sistema que tem um buffer circular: quando um item com erro está prestes a ser processado e logado, ele é silenciosamente substituído por um item sem erro. O log de erros fica zerado, mas os itens com erro nunca foram resolvidos — só deslocados.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Por Que Isso É Detectável Algoritmicamente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O sinal estatístico da fraude é a combinação improvável de três comportamentos simultâneos: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Alta taxa de movimentação de carteira (muitas recompras e substituições de contratos no mês)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Inadimplência declarada artificialmente baixa ou em queda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Rentabilidade da cota artificialmente estável (desvio-padrão próximo de zero ao longo dos meses)</w:t>
      </w:r>
    </w:p>
    <w:p>
      <w:pPr>
        <w:spacing w:before="80" w:after="8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Num fundo saudável, essas três variáveis se movem de forma correlacionada com as condições do mercado de crédito. A combinação de alto giro + baixa inadimplência + rentabilidade estável é estatisticamente improvável em condições normais — a probabilidade de ocorrer por acaso é estimada em menos de 0,3%. O Isolation Forest detecta exatamente esse tipo de ponto improvável no espaço de dados.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As Instituições Investigadas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Estrutura do Ecossistema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A investigação identificou quatro núcleos interligados, todos com conexão direta ou indireta ao Banco Master S.A.: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Instituição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Papel no esquema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isso significa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Banco Master S.A.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Cedente principal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Originou os contratos de crédito e os vendeu para os fundos. Ao mesmo tempo controlava as entidades que administravam esses fundos.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Trustee DTVM Ltda.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Administradora dos fundos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Responsável por declarar inadimplência e calcular o valor das cotas. Por ser do mesmo grupo, tinha incentivo para não declarar os problemas.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Reag Trust DTVM S.A.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Administradora dos fundos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Administrava fundos que serviam como destino final dos recursos. Patrimônio suspeito de R$ 102,4 bilhões identificado pelo Banco Central.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Banco Letsbank S.A.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Cedente digital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Originava contratos de crédito digital e os vendia para os fundos administrados pelo ecossistema Master.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Cronologia das Intervenções do Banco Central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39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Instituição fechada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Motivo / vínculo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Banco Master S.A.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18/11/2025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Núcleo central do esquema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Banco Master de Investimento S.A.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18/11/2025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Braço de investimentos do grupo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Banco Letsbank S.A.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18/11/2025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Cedente digital do grupo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Master S/A Corretora (CTVB)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18/11/2025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Administradora de FIDCs do grupo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Reag Trust DTVM S.A. (CBSF DTVM)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15/01/2026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Administradora do segundo núcleo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Will Financeira S.A. (Will Bank)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21/01/2026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Braço de crédito digital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Banco Pleno S.A.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18/02/2026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Sócio histórico de Daniel Vorcaro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Pleno DTVM S.A.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18/02/2026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Distribuidora ligada ao Pleno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Os Dados e o Pipeline de Análise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Fonte dos Dados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Todos os dados usados nesta pesquisa são públicos e disponibilizados mensalmente pela CVM em dados.cvm.gov.br. Para cada FIDC, a CVM publica tabelas com informações sobre patrimônio, contratos comprados e vendidos, inadimplência por faixa de atraso, movimentação de carteira e valor das cotas.</w:t>
      </w:r>
    </w:p>
    <w:p>
      <w:pPr>
        <w:spacing w:before="80" w:after="8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Foram processados arquivos CSV de março a novembro de 2025, totalizando 9 competências. Cada arquivo de competência contém uma linha por fundo para aquele mês. Após consolidação, o dataset resultante (df_master) continha 30.002 linhas antes da filtragem de qualidade.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Problemas Encontrados nos Dados Brutos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Os dados da CVM, apesar de públicos e estruturados, contêm várias inconsistências que precisaram ser tratadas antes de qualquer análise. Os problemas mais críticos foram: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Problema encontrado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Impacto se não corrigido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Solução aplicada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Fundos com Patrimônio Líquido de R$ 0,01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Taxa de movimentação = 3.720.774 (em vez de, por exemplo, 0.30). Distorcia toda a média do mercado.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787 registros removidos. Filtro: PL mínimo de R$ 1.000 no ETL e R$ 1 milhão no modelo.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Coluna de 'rentabilidade mensal' continha valor da cota em reais, não percentual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Média de R$ 244 bilhões na feature — o modelo ficava cego para as outras duas variáveis.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Rentabilidade recalculada via variação percentual do valor da cota mês a mês (pct_change).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Cada fundo tem 2 linhas por mês na tabela de cotas (uma com valor real, outra zerada)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pct_change calculava variações de -100% e +infty entre a linha zero e a linha real.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Filtro: remover linhas com valor de cota = 0 antes de calcular a variação.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Tabelas X.2 e X.3 usam CNPJ do fundo pai, não da classe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Join com df_master falhava silenciosamente — 60% dos fundos ficavam sem rentabilidade.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Detecção automática da coluna-chave correta antes de cada merge.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4.3 As 5 Variáveis Monitoradas pelo Modelo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Cada fundo é representado a cada mês por 5 números — as 'features' do modelo. Todos são calculados como proporção do Patrimônio Líquido para permitir comparação entre fundos de tamanhos diferentes.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Variável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mede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 que é suspeito quando alto/baixo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Taxa de aquisição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Volume de novos contratos comprados pelo fundo no mês ÷ Patrimônio Líquido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ALTO + inadimplência BAIXA = fundo está comprando contratos novos para substituir os ruins antes de declará-los.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Taxa de devolução ao cedente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Volume de contratos vendidos de volta ao cedente ÷ Patrimônio Líquido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ALTO = cedente está recomprando contratos problemáticos. É o mecanismo central de ocultação de inadimplência.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Taxa de inadimplência declarada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 de contratos vencidos e não pagos ÷ Patrimônio Líquido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CAIR enquanto a taxa de aquisição SOBE é o sinal mais forte de mascaramento. Fundo saudável tem inadimplência correlacionada com o ciclo de crédito.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Concentração do cedente principal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Percentual da carteira originado pelo maior cedente individual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ALTO = dependência estrutural de um único originador. Se esse cedente tem problemas, o fundo inteiro vai a pique — e o administrador pode ter incentivo para não declarar.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Ratio inadimplência / giro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Taxa de inadimplência ÷ Taxa de aquisição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BAIXO com giro ALTO = inadimplência proporcionalmente pequena para o volume de negócios. Indica substituição ativa. ALTO = fundo parou de renovar a carteira (possível colapso iminente).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left w:val="single" w:color="2E75B6" w:sz="10"/>
        </w:pBdr>
        <w:shd w:fill="D6E4F0" w:val="clear"/>
        <w:spacing w:before="160" w:after="16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Nota técnica: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A variável 'taxa de devolução ao cedente' (TAB_VII_B1_2_VL_CEDENTE nos metadados da CVM) representa 'Alienações para o Cedente e Partes Relacionadas' — o que o fundo vendeu de volta ao cedente. Inicialmente interpretada como volume de compras, o erro foi corrigido após consulta aos metadados oficiais da CVM.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O Modelo de Detecção — Como Funciona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Isolation Forest em Termos Simples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O Isolation Forest é um algoritmo de detecção de anomalias não supervisionado — ou seja, não precisa de exemplos rotulados de fraude para aprender. Ele funciona com base em uma premissa simples: pontos anômalos são mais fáceis de isolar que pontos normais.</w:t>
      </w:r>
    </w:p>
    <w:p>
      <w:pPr>
        <w:spacing w:before="80" w:after="8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O algoritmo constrói 100 árvores de decisão aleatórias. Para cada ponto de dados (um fundo em um mês), ele conta quantas divisões aleatórias são necessárias para isolá-lo dos demais. Fundos normais ficam em regiões densas do espaço de dados — precisam de muitas divisões para ser separados. Fundos anômalos ficam em regiões esparsas — são isolados com poucas divisões. A nota de suspeição é derivada da média de passos necessários em 100 árvores.</w:t>
      </w:r>
    </w:p>
    <w:p>
      <w:pPr>
        <w:spacing w:before="80" w:after="80"/>
      </w:pPr>
      <w:r>
        <w:t xml:space="preserve"/>
      </w:r>
    </w:p>
    <w:p>
      <w:pPr>
        <w:pBdr>
          <w:left w:val="single" w:color="2E75B6" w:sz="10"/>
        </w:pBdr>
        <w:shd w:fill="D6E4F0" w:val="clear"/>
        <w:spacing w:before="160" w:after="16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Analogia técnica: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É como um algoritmo de compressão que usa menos bits para representar padrões comuns e mais bits para padrões raros. Fundos normais são 'comprimidos' em poucos passos de isolamento. Fundos anômalos precisam de mais passos — mas como são raros, o isolamento precoce deles é justamente o que os detecta.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 Decisões de Implementação que Afetam os Resultados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Decisão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 que importa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Treinar o modelo SÓ com dados do mercado normal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 os grupos suspeitos participam do treino, os seus valores extremos distorcem a noção do algoritmo sobre o que é 'normal'. É como calibrar um termômetro incluindo pacientes febris na amostra de referência — o resultado seria declarar temperatura saudável = 38°C.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Remover dados ausentes em vez de substituir por zero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Substituir NaN por 0 cria um cluster denso de zeros que o modelo aprende como padrão normal. Fundos sem dados ficam com nota baixa de suspeição não porque são normais, mas porque o dado falso os coloca perto desse cluster artificial.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Cortar valores extremos do mercado (winsorização) nos percentis 1% e 99%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Alguns fundos do próprio mercado normal têm valores extremos (por erros de declaração ou situações atípicas legítimas) que distorcem a escala de normalização. Cortar esses extremos permite que os grupos investigados — que têm valores sistematicamente acima do p99 — sejam detectados como anômalos.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Usar score_samples() normalizado em vez de decision_function()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 método decision_function() do scikit-learn retorna um valor sem escala definida — pode ser -0.3 ou +2.7 dependendo dos dados, sem comparabilidade entre meses. O score_samples() normalizado para [0,1] é comparável entre execuções e corresponde diretamente à fórmula original do artigo de Liu et al. (2008).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5.3 Parâmetros do Modelo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Parâmetro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significa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n_estimators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Número de árvores de isolamento. Com 100 árvores, o score médio converge e o resultado é estável entre execuções.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max_samples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256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Quantidade de observações amostradas para construir cada árvore. O valor 256 é o padrão original do artigo de Liu et al. (2008) — balanceia velocidade e precisão.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contamination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0.01 (1%)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Define que 1% das observações do mercado de treino será tratado como ruído interno. Afeta o threshold de classificação binária (anomalia/normal), mas não o score contínuo de 0 a 1.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random_state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Semente do gerador de números aleatórios. Garante que rodar o código duas vezes produz exatamente o mesmo resultado.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Resultados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6.1 Distribuição das Notas de Suspeição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Após todas as correções de dados e ajustes metodológicos, o modelo produziu uma distribuição contínua de notas para as 28.370 observações válidas: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25% dos fundos abaixo 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Mediana (nota típica)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75% dos fundos abaixo 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 máxima observada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0.191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0.365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1.000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A mediana de 0.191 — diferente de zero — indica que o modelo está funcionando corretamente. Versões anteriores do pipeline (com o erro de dados da coluna de rentabilidade) produziam 75% das notas zeradas, o que sinalizava que o modelo havia degenerado.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6.2 Excesso de Suspeição por Grupo — Resultado Final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A tabela abaixo mostra, para cada grupo investigado, quanto a nota de suspeição ficou acima ou abaixo da média do mercado ao longo de 2025. O valor '+0.218' para o Banco Master significa que a nota do grupo ficou, em média, 0.218 pontos acima da nota do mercado a cada mês — o equivalente a 98% acima do normal.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60"/>
        <w:gridCol w:w="1560"/>
        <w:gridCol w:w="1560"/>
        <w:gridCol w:w="18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Grupo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Excesso médio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Pico máximo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Variação (std)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Leitura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Banco Master S.A.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+0.218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0.332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0.070 (baixa)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Anômalo persistente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Banco Pleno S.A.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18"/>
                <w:szCs w:val="18"/>
              </w:rPr>
              <w:t xml:space="preserve">+0.134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0.153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0.010 (baixa)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Deterioração lenta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BRB — Banco de Brasília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18"/>
                <w:szCs w:val="18"/>
              </w:rPr>
              <w:t xml:space="preserve">+0.100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0.160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0.109 (média)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Spikes pontuais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Master S/A Corretora (CTVB)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4200"/>
                <w:sz w:val="18"/>
                <w:szCs w:val="18"/>
              </w:rPr>
              <w:t xml:space="preserve">+0.044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0.606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0.205 (alta)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Pico concentrado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Mercado (referência = zero)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0.773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0.222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Linha de base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Trustee DTVM Ltda.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−0.138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0.611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0.169 (média)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 nota abaixo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Reag Trust DTVM S.A.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−0.146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0.623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0.160 (média)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 nota abaixo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left w:val="single" w:color="C00000" w:sz="10"/>
        </w:pBdr>
        <w:shd w:fill="FFF2F2" w:val="clear"/>
        <w:spacing w:before="160" w:after="160"/>
        <w:ind w:left="36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Por que Trustee e Reag ficam com média negativa: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Em 75% das observações da Trustee e da Reag, a variável 'concentração do cedente' é zero — ou seja, não há cedente declarado. Sem cedente declarado, o modelo não consegue calcular esse sinal e trata essas observações como normais. A média negativa não indica inocência — indica que a maioria das observações dessas instituições é opaca por design. O pico máximo de 0.611 (Trustee) e 0.623 (Reag) revela que os fundos que de fato declaram dados apresentam anomalia comparável ao Banco Master.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6.3 Fundos Individuais Mais Suspeitos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Trustee DTVM Ltda.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1480"/>
        <w:gridCol w:w="1480"/>
      </w:tblGrid>
      <w:tr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Nome do fundo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 média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Classificação</w:t>
            </w:r>
          </w:p>
        </w:tc>
      </w:tr>
      <w:tr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NF FUNDO DE INVESTIMENTO EM DIREITOS CREDITÓRIOS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0.834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Crítico</w:t>
            </w:r>
          </w:p>
        </w:tc>
      </w:tr>
      <w:tr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CREDIFIX FUNDO DE INVESTIMENTO EM DIREITOS CREDITÓRIOS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0.727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Crítico</w:t>
            </w:r>
          </w:p>
        </w:tc>
      </w:tr>
      <w:tr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3B FUNDO DE INVESTIMENTO EM DIREITOS CREDITORIOS NAO-PADRONIZADO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0.701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Crítico</w:t>
            </w:r>
          </w:p>
        </w:tc>
      </w:tr>
      <w:tr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HY II FUNDO DE INVESTIMENTO EM DIREITOS CREDITÓRIOS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0.541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Elevado</w:t>
            </w:r>
          </w:p>
        </w:tc>
      </w:tr>
      <w:tr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VERTICAL BANK FUNDO DE INVESTIMENTO EM DIREITOS CREDITÓRIOS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0.418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Elevado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Reag Trust DTVM S.A.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1480"/>
        <w:gridCol w:w="1480"/>
      </w:tblGrid>
      <w:tr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Nome do fundo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 média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Classificação</w:t>
            </w:r>
          </w:p>
        </w:tc>
      </w:tr>
      <w:tr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ENGELBERG 41 FIDC NÃO-PADRONIZADOS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0.736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Crítico</w:t>
            </w:r>
          </w:p>
        </w:tc>
      </w:tr>
      <w:tr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JOB FUNDO DE INVESTIMENTO EM DIREITOS CREDITÓRIOS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0.689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Crítico</w:t>
            </w:r>
          </w:p>
        </w:tc>
      </w:tr>
      <w:tr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INDÚSTRIA Q1 FUNDO DE INVESTIMENTO EM DIREITOS CREDITÓRIOS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0.641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Crítico</w:t>
            </w:r>
          </w:p>
        </w:tc>
      </w:tr>
      <w:tr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TERRA BONA FIDC NÃO-PADRONIZADO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0.640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Crítico</w:t>
            </w:r>
          </w:p>
        </w:tc>
      </w:tr>
      <w:tr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HORTÊNCIA FUNDO DE INVESTIMENTO EM DIREITOS CREDITÓRIOS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0.575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Elevado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Sistema de Alertas Regulatórios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Com base nos resultados do modelo, foi definido um protocolo de quatro níveis de alerta. O critério é o excesso de suspeição — o quanto a nota de um fundo ou grupo está acima da média do mercado naquele mês: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160"/>
        <w:gridCol w:w="2160"/>
        <w:gridCol w:w="360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Nível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Critério (excesso acima do mercado)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 de suspeição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Ação recomendada ao regulador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Verde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Menos de +0.10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Abaixo de 0.55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Monitoramento rotineiro mensal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4200"/>
                <w:sz w:val="18"/>
                <w:szCs w:val="18"/>
              </w:rPr>
              <w:t xml:space="preserve">Amarelo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Entre +0.10 e +0.25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Entre 0.55 e 0.70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Auditoria especial + requisição de dados adicionais à CVM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18"/>
                <w:szCs w:val="18"/>
              </w:rPr>
              <w:t xml:space="preserve">Laranja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Entre +0.25 e +0.40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Entre 0.70 e 0.85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Suspensão preventiva de recompras acima de 5% do patrimônio do fundo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Vermelho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Acima de +0.40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Acima de 0.85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Comunicação imediata ao Banco Central com solicitação de intervenção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left w:val="single" w:color="2E75B6" w:sz="10"/>
        </w:pBdr>
        <w:shd w:fill="D6E4F0" w:val="clear"/>
        <w:spacing w:before="160" w:after="16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Aplicação retroativa ao caso Master: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O Banco Master S.A. atingiu excesso de suspeição de +0.218 ao longo de 2025 — dentro da faixa Laranja (entre +0.10 e +0.40) — o que deveria ter acionado a suspensão preventiva de recompras meses antes da liquidação extrajudicial de novembro de 2025. O modelo sinalizava o problema com antecedência.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 Limitações do Modelo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Esta seção documenta honestamente o que o modelo não consegue capturar e por quê. Transparência sobre limitações é essencial para que os resultados sejam usados corretamente.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Limitação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Impacto nos resultados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Como mitigar no futuro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Trustee e Reag não declaram o cedente em 75% dos registros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 modelo calcula nota de suspeição baixa para fundos sem cedente declarado, porque não consegue medir a concentração de originador. A média anual dos grupos fica negativa.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Exigir declaração obrigatória de cedente em 100% dos informes. Incorporar na nota de suspeição uma penalidade por ausência de declaração.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Dados são mensais, não diários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Um fundo que faz recompras maciças nos últimos 5 dias do mês pode parecer normal na média mensal. O alerta chega com 2 a 4 semanas de defasagem.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Integrar dados diários de cotas disponíveis na CVM para detectar spikes intraperiodo.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Rentabilidade da cota (Tab X.3) cobre apenas 40% dos fundos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 variável de variação de cota foi excluída do modelo principal por cobertura insuficiente. O modelo opera com 4 features em vez de 5.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Cruzar com Tab X.2 (valor da cota por série) para expandir cobertura.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 modelo não acessa a carteira granular — apenas totais agregados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Não é possível identificar quais devedores finais estão inadimplentes, apenas que a taxa agregada do fundo está anômala.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Acesso ao SCR (Sistema de Crédito do Banco Central) via parceria regulatória permitiria granularidade de devedor.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9. Recomendações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9.1 Para o Regulador (CVM e Banco Central)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Implementar o protocolo de quatro níveis de alerta descrito na Seção 7 como instrução normativa, com atualização automatizada a cada competência mensal.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Exigir declaração obrigatória do CNPJ do cedente em 100% dos informes mensais de FIDCs — a ausência atual é o principal fator que reduz a capacidade de detecção nos grupos Trustee e Reag.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Investigar prioritariamente os fundos NF FUNDO (nota 0.834), ENGELBERG 41 (0.736) e CREDIFIX (0.727) — que apresentam anomalia comparável ao Banco Master S.A. e são administrados por entidades do mesmo ecossistema.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Proibir que administradores de FIDCs possuam vínculos societários com os cedentes dos recebíveis administrados — eliminando o conflito de interesse que permite o mascaramento de inadimplência.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9.2 Próximas Evoluções do Pipeline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Verificar se os fundos críticos (NF FUNDO, ENGELBERG 41, CREDIFIX) têm o Banco Master ou entidades relacionadas como cedente declarado na Tab I — o que confirmaria a ligação direta com o ecossistema investigado.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Integrar a Tab X.6 da CVM (desvio entre desempenho real e esperado por classe de cota) — essa variável captura a suavização artificial de resultados de forma independente da declaração de cedentes, potencialmente melhorando a detecção da Trustee e da Reag.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Replicar a análise para 2024 para verificar se os sinais de anomalia já existiam antes das liquidações de novembro de 2025 — o que fortaleceria o argumento de que a deterioração era detectável com muito mais antecedência.</w:t>
      </w:r>
    </w:p>
    <w:p>
      <w:pPr>
        <w:spacing w:before="80" w:after="8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A investigação conclui que ferramentas de Machine Learning aplicadas a dados públicos da CVM são capazes de identificar deterioração prudencial meses antes da ruptura final — numa janela de tempo suficiente para que intervenções regulatórias preventivas sejam efetivas.</w:t>
      </w:r>
    </w:p>
    <w:p>
      <w:pPr>
        <w:spacing w:before="80" w:after="80"/>
      </w:pPr>
      <w:r>
        <w:t xml:space="preserve"/>
      </w:r>
    </w:p>
    <w:p>
      <w:pPr>
        <w:pBdr>
          <w:left w:val="single" w:color="2E75B6" w:sz="10"/>
        </w:pBdr>
        <w:shd w:fill="D6E4F0" w:val="clear"/>
        <w:spacing w:before="160" w:after="16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Conclusão quantitativa: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Com excesso de suspeição médio de +0.218 para o Banco Master S.A. (estável ao longo de 2025) e fundos individuais atingindo notas críticas de 0.73 a 0.83 na Trustee e Reag, o modelo confirma quantitativamente o que as liquidações extrajudiciais de novembro/2025 a fevereiro/2026 revelaram.</w:t>
      </w:r>
    </w:p>
    <w:p>
      <w:pPr>
        <w:spacing w:before="80" w:after="80"/>
      </w:pPr>
      <w:r>
        <w:t xml:space="preserve"/>
      </w:r>
    </w:p>
    <w:p>
      <w:pPr>
        <w:spacing w:before="400" w:after="2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Fim do Relatório —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10. Fontes e Referências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10.1 Fontes de Dados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CVM — Informes mensais de FIDCs (Tabelas I, IV, VI, VII, X): dados.cvm.gov.br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Banco Central do Brasil — Atos de liquidação extrajudicial: Diário Oficial da União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Receita Federal — Base CNPJ / QSA: cnpj.receita.fazenda.gov.br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B3 — Registro de emissões de FIDCs: b3.com.br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10.2 Referências Jornalísticas</w:t>
      </w:r>
    </w:p>
    <w:p>
      <w:pPr>
        <w:spacing w:before="80" w:after="80"/>
        <w:jc w:val="left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SOUZA, Deivid. Instituições ligadas ao Banco Master e liquidadas pelo BC chegam a 8. Metrópoles, 18 fev. 2026.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10.3 Referências Técnicas e Acadêmicas</w:t>
      </w:r>
    </w:p>
    <w:p>
      <w:pPr>
        <w:spacing w:before="80" w:after="80"/>
        <w:jc w:val="left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LIU, Fei Tony; TING, Kai Ming; ZHOU, Zhi-Hua. Isolation Forest. IEEE International Conference on Data Mining, 2008.</w:t>
      </w:r>
    </w:p>
    <w:p>
      <w:pPr>
        <w:spacing w:before="80" w:after="80"/>
        <w:jc w:val="left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HARIRI, Sahand et al. Extended Isolation Forest. IEEE Transactions on Knowledge and Data Engineering, 2019.</w:t>
      </w:r>
    </w:p>
    <w:p>
      <w:pPr>
        <w:spacing w:before="80" w:after="80"/>
        <w:jc w:val="left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DATACAMP. Guia da Floresta de Isolamento: Explicação e Implementação em Python. 2024. Disponível em: datacamp.com/pt/tutorial/isolation-forest.</w:t>
      </w:r>
    </w:p>
    <w:p>
      <w:pPr>
        <w:spacing w:before="80" w:after="80"/>
        <w:jc w:val="left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ASSAF NETO, Alexandre. Estrutura e Análise de Balanços: Um Enfoque Econômico-Financeiro. 12. ed. São Paulo: Atlas, 2021.</w:t>
      </w:r>
    </w:p>
    <w:p>
      <w:pPr>
        <w:spacing w:before="80" w:after="80"/>
        <w:jc w:val="left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CVM. Resolução CVM n.º 175. Brasília, 2022.</w:t>
      </w:r>
    </w:p>
    <w:p>
      <w:pPr>
        <w:spacing w:before="80" w:after="80"/>
        <w:jc w:val="left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BANK FOR INTERNATIONAL SETTLEMENTS (BIS). Supervisory guidance on model risk management. Basel, 2022.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10.4 Artefatos do Pipeline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CNPJs_atualizado.xlsx — Mapeamento de raízes de CNPJ para 11 instituições investigadas.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Pipeline Python (Google Colab) — Isolation Forest, 5 features forenses, dados CVM 2025.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df_master_2025.parquet — Dataset consolidado: 29.215 registros, 3.882 fundos, 9 competências.</w:t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</w:pP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Pesquisa Acadêmica — Uso Interno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888888"/>
        <w:sz w:val="16"/>
        <w:szCs w:val="16"/>
      </w:rPr>
      <w:t xml:space="preserve">Página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color w:val="888888"/>
        <w:sz w:val="16"/>
        <w:szCs w:val="16"/>
      </w:rPr>
      <w:t xml:space="preserve">RELATÓRIO DE ANÁLISE FORENSE — FIDCs | </w:t>
    </w:r>
    <w:r>
      <w:rPr>
        <w:rFonts w:ascii="Arial" w:cs="Arial" w:eastAsia="Arial" w:hAnsi="Arial"/>
        <w:b/>
        <w:bCs/>
        <w:color w:val="888888"/>
        <w:sz w:val="16"/>
        <w:szCs w:val="16"/>
      </w:rPr>
      <w:t xml:space="preserve">Março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2026-03-28T18:47:56.837Z</dcterms:created>
  <dcterms:modified xsi:type="dcterms:W3CDTF">2026-03-28T18:47:56.838Z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