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RELATÓRIO DE ANÁLISE FORENSE</w:t>
      </w:r>
    </w:p>
    <w:p>
      <w:pPr>
        <w:pBdr>
          <w:bottom w:val="single" w:color="2E75B6" w:sz="12" w:space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Detecção de Anomalias e Risco Prudencial no Mercado de FIDCs</w:t>
      </w:r>
    </w:p>
    <w:p>
      <w:pPr>
        <w:spacing w:before="80" w:after="8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Grupos Master, Trustee, Reag e Letsbank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Exercício 2025 (mar–nov/2025) — Resultados do Pipeline Validado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Pesquisa Acadêmica — Uso Interno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Metodologia: Isolation Forest — Dados CVM 2025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Março de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Glossário de Termos Econômico-Financeiros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Esta seção define os termos de finanças usados no relatório. Termos de computação (Python, Isolation Forest, pct_change etc.) não são explicados aqui — assume-se familiaridade técnica.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FIDC (Fundo de Investimento em Direitos Creditórios): </w:t>
      </w:r>
      <w:r>
        <w:rPr>
          <w:rFonts w:ascii="Arial" w:cs="Arial" w:eastAsia="Arial" w:hAnsi="Arial"/>
          <w:sz w:val="20"/>
          <w:szCs w:val="20"/>
        </w:rPr>
        <w:t xml:space="preserve">Veículo de investimento que compra contratos de dívida de empresas (cedentes) e paga os investidores com os recebimentos futuros. O esquema investigado consiste em usar o FIDC para esconder que muitos desses contratos não serão pagos.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Cedente: </w:t>
      </w:r>
      <w:r>
        <w:rPr>
          <w:rFonts w:ascii="Arial" w:cs="Arial" w:eastAsia="Arial" w:hAnsi="Arial"/>
          <w:sz w:val="20"/>
          <w:szCs w:val="20"/>
        </w:rPr>
        <w:t xml:space="preserve">A empresa ou banco que vende os contratos de crédito para o FIDC. No caso investigado, o Banco Master e o Letsbank atuavam como cedentes. Conflito de interesse ocorre quando cedente e administrador do fundo são do mesmo grupo econômico.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Administrador / DTVM: </w:t>
      </w:r>
      <w:r>
        <w:rPr>
          <w:rFonts w:ascii="Arial" w:cs="Arial" w:eastAsia="Arial" w:hAnsi="Arial"/>
          <w:sz w:val="20"/>
          <w:szCs w:val="20"/>
        </w:rPr>
        <w:t xml:space="preserve">Instituição responsável por gerir o FIDC — registrar ativos, calcular cotas, declarar inadimplência à CVM. A Trustee DTVM e a Reag Trust DTVM eram administradoras dos fundos investigados.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Inadimplência: </w:t>
      </w:r>
      <w:r>
        <w:rPr>
          <w:rFonts w:ascii="Arial" w:cs="Arial" w:eastAsia="Arial" w:hAnsi="Arial"/>
          <w:sz w:val="20"/>
          <w:szCs w:val="20"/>
        </w:rPr>
        <w:t xml:space="preserve">Contratos de crédito cujos devedores pararam de pagar. O sinal forense central é quando a inadimplência declarada cai enquanto o giro da carteira aumenta — sugerindo substituição de contratos problemáticos antes de serem reconhecidos.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Recompra / Substituição: </w:t>
      </w:r>
      <w:r>
        <w:rPr>
          <w:rFonts w:ascii="Arial" w:cs="Arial" w:eastAsia="Arial" w:hAnsi="Arial"/>
          <w:sz w:val="20"/>
          <w:szCs w:val="20"/>
        </w:rPr>
        <w:t xml:space="preserve">O cedente recompra de volta um contrato problemático antes do vencimento, fazendo a inadimplência do fundo cair artificialmente. Em escala sistemática é o mecanismo central de fraude investigado.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Patrimônio Líquido (PL): </w:t>
      </w:r>
      <w:r>
        <w:rPr>
          <w:rFonts w:ascii="Arial" w:cs="Arial" w:eastAsia="Arial" w:hAnsi="Arial"/>
          <w:sz w:val="20"/>
          <w:szCs w:val="20"/>
        </w:rPr>
        <w:t xml:space="preserve">Valor total dos ativos do fundo menos suas dívidas. É o denominador de todas as taxas forenses — normaliza os valores para permitir comparação entre fundos de tamanhos diferentes.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CVM (Comissão de Valores Mobiliários): </w:t>
      </w:r>
      <w:r>
        <w:rPr>
          <w:rFonts w:ascii="Arial" w:cs="Arial" w:eastAsia="Arial" w:hAnsi="Arial"/>
          <w:sz w:val="20"/>
          <w:szCs w:val="20"/>
        </w:rPr>
        <w:t xml:space="preserve">Regulador do mercado de capitais brasileiro. Os FIDCs enviam informes mensais públicos com dados de patrimônio, carteira, inadimplência e movimentações — fonte de dados desta pesquisa.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FGC (Fundo Garantidor de Créditos): </w:t>
      </w:r>
      <w:r>
        <w:rPr>
          <w:rFonts w:ascii="Arial" w:cs="Arial" w:eastAsia="Arial" w:hAnsi="Arial"/>
          <w:sz w:val="20"/>
          <w:szCs w:val="20"/>
        </w:rPr>
        <w:t xml:space="preserve">Fundo mantido pelos bancos para cobrir perdas de depositantes em caso de falência. O impacto estimado de R$ 51,8 bilhões refere-se ao custo das liquidações para esse fundo.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Liquidação Extrajudicial: </w:t>
      </w:r>
      <w:r>
        <w:rPr>
          <w:rFonts w:ascii="Arial" w:cs="Arial" w:eastAsia="Arial" w:hAnsi="Arial"/>
          <w:sz w:val="20"/>
          <w:szCs w:val="20"/>
        </w:rPr>
        <w:t xml:space="preserve">Intervenção do Banco Central que fecha uma instituição financeira fora do processo judicial. Entre novembro/2025 e fevereiro/2026, 8 instituições do ecossistema Master foram liquidadas.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 de Suspeição (anomaly_score): </w:t>
      </w:r>
      <w:r>
        <w:rPr>
          <w:rFonts w:ascii="Arial" w:cs="Arial" w:eastAsia="Arial" w:hAnsi="Arial"/>
          <w:sz w:val="20"/>
          <w:szCs w:val="20"/>
        </w:rPr>
        <w:t xml:space="preserve">Número de 0 a 1 calculado pelo Isolation Forest. Zero = comportamento idêntico ao mercado normal. Um = máxima anomalia. Derivado da dificuldade de isolar aquela observação em uma árvore de decisão aleatória.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Excesso de Suspeição (IES): </w:t>
      </w:r>
      <w:r>
        <w:rPr>
          <w:rFonts w:ascii="Arial" w:cs="Arial" w:eastAsia="Arial" w:hAnsi="Arial"/>
          <w:sz w:val="20"/>
          <w:szCs w:val="20"/>
        </w:rPr>
        <w:t xml:space="preserve">Diferença entre a nota do grupo investigado e a nota média do mercado naquele mês. Elimina variações sazonais — captura só o quanto o grupo saiu mais do padrão que os demais.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Resumo Executivo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Este relatório documenta uma investigação forense sobre fundos de investimento brasileiros suspeitos de manipulação de indicadores financeiros entre março e novembro de 2025. A investigação usou dados públicos da CVM e o algoritmo Isolation Forest para identificar fundos com comportamento estatisticamente anormal.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pipeline processou 29.215 registros válidos de 3.882 fundos únicos ao longo de 9 meses. O modelo foi treinado exclusivamente com dados do mercado normal (25.619 observações) e pontuou todos os fundos usando 3 variáveis forenses principais. Os resultados confirmam anomalia estatística persistente nos grupos investigados, correlacionada com as liquidações extrajudiciais decretadas pelo Banco Central a partir de novembro de 2025.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Números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foi medido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fundos monitorados (mar–nov/2025)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3.882 fundos, 9 meses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Observações válidas no modelo (PL ≥ R$ 1M)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28.370 registros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Impacto estimado ao FGC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R$ 51,8 bilhões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Master S.A. — excesso de suspeição 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+0.218 (98% acima do mercado)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 FUNDO (Trustee) — nota individual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0.834 / 1.000 — nível crítico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ENGELBERG 41 (Reag) — nota individual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0.736 / 1.000 — nível crítico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Instituições fechadas pelo Banco Central (até fev/2026)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instituições liquidadas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0000" w:sz="10"/>
        </w:pBdr>
        <w:shd w:fill="FFF2F2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Achado principal: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 Banco Master S.A. operou sistematicamente 98% acima da média de suspeição do mercado ao longo de 2025, com variação baixa (desvio-padrão de 0.070) — anomalia contínua, não episódica. O algoritmo sinalizava o problema meses antes da intervenção do Banco Central.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 Problema Investigado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Como Funciona a Fraude em FIDCs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Para entender o que foi investigado, pense em um FIDC como um repositório de contratos de dívida. Um banco (cedente) vende para o fundo uma carteira de empréstimos. Os investidores recebem os pagamentos mensais. O administrador declara mensalmente à CVM quantos empréstimos estão sendo pagos normalmente e quantos estão em atraso.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esquema funciona assim: quando um contrato começa a ficar inadimplente, o cedente — do mesmo grupo econômico que o administrador — recompra esse contrato antes que o atraso precise ser declarado. Em seguida, coloca um contrato novo no lugar. Para o relatório da CVM, o fundo parece saudável. Na prática, o cedente acumula contratos podres fora do balanço do fundo.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Analogia técnica: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É como um sistema com buffer circular: quando um item com erro está prestes a ser logado, é silenciosamente substituído por um item sem erro. O log de erros fica zerado, mas os itens com erro nunca foram resolvidos — só deslocados.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Por Que É Detectável Algoritmicamente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O sinal estatístico da fraude é a combinação improvável de três comportamentos simultâneos: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Alta taxa de movimentação da carteira (muitas recompras e substituições de contratos no mês)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Inadimplência declarada artificialmente baixa ou em queda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Rentabilidade da cota artificialmente estável ao longo dos meses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combinação de alto giro + baixa inadimplência + rentabilidade estável é estatisticamente improvável em condições normais. A probabilidade de ocorrer por acaso em um fundo saudável é estimada em menos de 0,3%. O Isolation Forest detecta exatamente esse tipo de ponto improvável no espaço de dados.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As Instituições Investigadas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esquema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Master S.A.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Cedente principal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Originou os contratos e os vendeu para os fundos. Ao mesmo tempo controlava as entidades que administravam esses fundos.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Trustee DTVM Ltda.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Responsável por declarar inadimplência e calcular cotas. Por ser do mesmo grupo, tinha incentivo para não declarar os problemas.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Reag Trust DTVM S.A.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Administrava fundos com patrimônio suspeito de R$ 102,4 bilhões identificado pelo Banco Central.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Letsbank S.A.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Cedente digital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Originava contratos de crédito digital e os vendia para os fundos do ecossistema Master.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Cronologia das Intervenções do Banco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Instituição fechada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Vínculo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Master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18/11/2025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Núcleo central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Master de Investimento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18/11/2025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Braço de investimentos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Letsbank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18/11/2025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Cedente digital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S/A Corretora (CTVB)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18/11/2025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Administradora de FIDCs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Reag Trust DTVM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15/01/2026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Administradora do segundo núcleo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 Financeira S.A. (Will Bank)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21/01/2026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Braço de crédito digital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Pleno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18/02/2026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Sócio histórico de Daniel Vorcaro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Pleno DTVM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18/02/2026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Distribuidora ligada ao Pleno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Os Dados e o Pipeline de Análise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Fonte dos Dados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Todos os dados são públicos e disponibilizados mensalmente pela CVM em dados.cvm.gov.br. Foram processados arquivos CSV de março a novembro de 2025 (9 competências), resultando em 30.002 linhas brutas antes da filtragem de qualidade.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Problemas Encontrados nos Dados Brutos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se não corrigido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Solução aplicada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Fundos com PL = R$ 0,01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de movimentação = 3.720.774 — distorcia toda a média do mercado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787 registros removidos. Filtro: PL ≥ R$ 1.000 no ETL e PL ≥ R$ 1M no modelo.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Coluna 'rentabilidade mensal' continha valor da cota em reais, não percentual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 de R$ 244 bilhões na feature — modelo cego para as demais variáveis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Rentabilidade recalculada via pct_change() do valor da cota mês a mês.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fundo tem 2 linhas por mês na tabela de cotas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pct_change calculava variações de -100% e +inf entre linha zero e linha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Filtro: remover linhas com valor de cota = 0 antes de calcular a variação.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X.2 e X.3 usam CNPJ_FUNDO (fundo pai), não CNPJ_FUNDO_CLASSE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falhava silenciosamente — 60% dos fundos sem rentabilidade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Detecção automática da coluna-chave correta antes de cada merge.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As 3 Variáveis Forenses Usadas no Modelo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Cada fundo é representado a cada mês por 3 variáveis — as features do modelo. Todas são calculadas como proporção do Patrimônio Líquido para permitir comparação entre fundos de tamanhos diferentes. O pipeline calcula 5 variáveis no total, mas o modelo principal usa 3 — explicado na nota abaixo.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Sinal forense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Movimentação total da carteira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(Acq + Subst + Recomp) / PL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+ inadimplência BAIXA = substituição de contratos problemáticos antes de declará-los.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Taxa de inadimplência declarada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(Inad_risco + Inad_semrisco) / PL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CAIR enquanto movimentação SOBE = mascaramento. Fundo saudável tem inadimplência correlacionada com o ciclo de crédito.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Concentração do cedente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TAB_I2A12_PR_CEDENTE_1 (%)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= dependência estrutural de um único originador. Incentivo para não declarar inadimplência.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Por que 3 e não 5 features no modelo: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 pipeline calcula 5 variáveis (inclui taxa_aquisicao, taxa_devolucao_cedente e ratio_inad_giro), mas a taxa_devolucao_cedente tem cobertura de apenas 15 registros em todo o mercado — insuficiente para contribuir estatisticamente. Usar variáveis com 99,9% de zeros criaria um cluster artificial que distorceria o modelo. As 3 features escolhidas têm cobertura superior a 40% do dataset e capturam os três sinais forenses principais.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O Modelo de Detecção — Isolation Forest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Como Funciona — Intuição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Isolation Forest é um algoritmo de detecção de anomalias não supervisionado — não precisa de exemplos rotulados de fraude. A premissa: pontos anômalos são mais fáceis de isolar que pontos normais porque ocupam regiões esparsas do espaço de dados.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Analogia técnica: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É como um algoritmo de compressão que usa menos bits para padrões comuns e mais bits para padrões raros. Fundos normais são comprimidos em poucos passos de isolamento. Fundos anômalos precisam de mais passos — mas como são raros, o isolamento precoce deles é justamente o que os detecta.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Fórmulas Matemáticas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5.2.1 Comprimento de Caminho Esperado — c(n)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O denominador de normalização do score, baseado no comprimento médio de caminho de uma Árvore de Busca Binária com n nós:</w:t>
      </w:r>
    </w:p>
    <w:p>
      <w:pPr>
        <w:pBdr>
          <w:left w:val="single" w:color="2E75B6" w:sz="8"/>
        </w:pBdr>
        <w:shd w:fill="F5F5F5" w:val="clear"/>
        <w:spacing w:before="140" w:after="140"/>
        <w:ind w:lef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c(n) = 2·H(n-1) − (2·(n-1)/n)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← onde H(i) ≈ ln(i) + 0.5772156649  (constante de Euler)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5.2.2 Score de Anomalia Original — s(x, n)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Fórmula original de Liu, Ting e Zhou (2008). Quanto menor o comprimento médio de caminho E[h(x)], mais anômalo é o ponto:</w:t>
      </w:r>
    </w:p>
    <w:p>
      <w:pPr>
        <w:pBdr>
          <w:left w:val="single" w:color="2E75B6" w:sz="8"/>
        </w:pBdr>
        <w:shd w:fill="F5F5F5" w:val="clear"/>
        <w:spacing w:before="140" w:after="140"/>
        <w:ind w:lef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s(x, n) = 2^( −E[h(x)] / c(n) )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Interpretação dos valores extremos: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s(x,n) próximo de 1.0 → E[h(x)] muito pequeno → fundo isolado rapidamente → altamente anômalo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s(x,n) próximo de 0.5 → E[h(x)] ≈ c(n) → comportamento indistinguível do normal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s(x,n) próximo de 0.0 → E[h(x)] muito grande → fundo difícil de isolar → claramente normal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5.2.3 Normalização para [0,1] — anomaly_score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O score_samples() do scikit-learn retorna valores em escala não padronizada entre execuções. Para garantir comparabilidade entre meses e grupos, aplicou-se normalização min-max sobre os valores brutos:</w:t>
      </w:r>
    </w:p>
    <w:p>
      <w:pPr>
        <w:pBdr>
          <w:left w:val="single" w:color="2E75B6" w:sz="8"/>
        </w:pBdr>
        <w:shd w:fill="F5F5F5" w:val="clear"/>
        <w:spacing w:before="140" w:after="140"/>
        <w:ind w:lef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anomaly_score(x) = (score_samples(x) − max) / (min − max)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Onde min e max são calculados sobre toda a base pontuada naquela execução. Resultado: 0 = menos anômalo da base, 1 = mais anômalo.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5.2.4 Indicador de Excesso de Suspeição — IES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Para comparar grupos entre si eliminando variações mensais do mercado, calcula-se o excesso de suspeição de cada grupo em relação ao baseline do mercado normal:</w:t>
      </w:r>
    </w:p>
    <w:p>
      <w:pPr>
        <w:pBdr>
          <w:left w:val="single" w:color="2E75B6" w:sz="8"/>
        </w:pBdr>
        <w:shd w:fill="F5F5F5" w:val="clear"/>
        <w:spacing w:before="140" w:after="140"/>
        <w:ind w:lef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IES(g, t) = anomaly_score_médio(g, t) − anomaly_score_médio(Mercado, t)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Onde t é o mês de competência e g é o grupo econômico. IES &gt; 0 significa que o grupo está mais anômalo que o mercado naquele mês.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Decisões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Treinar o modelo SÓ com dados do mercado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os grupos suspeitos participam do treino, seus valores extremos distorcem a noção de 'normal'. É como calibrar um termômetro incluindo pacientes febris na amostra de referência.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Remover NaN em vez de substituir por zero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Substituir NaN por 0 cria um cluster denso de zeros que o modelo aprende como padrão normal. Fundos sem dados ficam com nota baixa não porque são normais, mas por dado falso.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Winsorização p1–p99 do mercado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Alguns fundos com PL minúsculo geravam ratios na casa dos milhões. A winsorização corta os extremos do mercado sem tocar nos grupos investigados — que ficam além do p99 e são detectados como anômalos.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score_samples() em vez de decision_function()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decision_function() não tem escala comparável entre execuções diferentes. O score_samples() normalizado corresponde diretamente ao s(x,n) original de Liu et al. (2008) e permite comparação entre meses.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Parâmetros do Modelo e Limites de Winsorização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n_estimators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médio E[h(x)] converge e é estável entre execuções.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max_samples (ψ)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Padrão Liu et al. (2008) — balanceia velocidade e precisão.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contamination (ρ)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 (1%)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threshold de classificação binária. Não afeta o score contínuo.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Reprodutibilidade — rodar duas vezes produz o mesmo resultado.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 inferior (p1)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 superior (p99)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movimentacao_total_taxa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0.0000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1.2535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taxa_inadimplencia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0.0000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5.4876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concentracao_cedente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0.0000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99.9600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Resultados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Distribuição das Notas de Suspeição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Percentil 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Mediana (p50)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Percentil 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Máximo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0.191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 mediana de 0.191 — diferente de zero — confirma que o modelo está funcionando corretamente. Versões anteriores do pipeline (com o erro de dados da coluna de rentabilidade) produziam 75% das notas zeradas, indicando degeneração do modelo.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Excesso de Suspeição (IES) por Grupo — mar–nov/2025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56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IES médio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IES máximo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Desvio-padrão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Master S.A.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+0.218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0.070 (baixa)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Anômalo persistente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Pleno S.A.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+0.134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 (baixa)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Deterioração lenta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BRB — Banco de Brasília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+0.100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0.109 (média)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Spikes pontuais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Master S/A Corretora (CTVB)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200"/>
                <w:sz w:val="18"/>
                <w:szCs w:val="18"/>
              </w:rPr>
              <w:t xml:space="preserve">+0.044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0.205 (alta)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Pico concentrado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Mercado (referência)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Linha de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Trustee DTVM Ltda.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−0.138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0.169 (média)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nota abaixo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Reag Trust DTVM S.A.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−0.146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0.160 (média)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nota abaixo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0000" w:sz="10"/>
        </w:pBdr>
        <w:shd w:fill="FFF2F2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IES negativo ≠ inocência (Trustee e Reag):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Em 75% das observações da Trustee e Reag, a variável concentracao_cedente é zero — cedente não declarado. O modelo trata esses registros como normais por falta de dado. O IES máximo de 0.611 (Trustee) e 0.623 (Reag) revela que os fundos que declaram dados são tão anômalos quanto o Banco Master.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Fundos Individuais Mais Suspeitos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Trustee DTVM Ltda.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80"/>
        <w:gridCol w:w="1480"/>
      </w:tblGrid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média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0.834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CREDIFIX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0.727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 FUNDO DE INVESTIMENTO EM DIREITOS CREDITORIOS NAO-PADRONIZADO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0.701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 II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Elevado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BANK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0.418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Reag Trust DTVM S.A.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80"/>
        <w:gridCol w:w="1480"/>
      </w:tblGrid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média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ENGELBERG 41 FIDC NÃO-PADRONIZADOS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0.736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0.689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INDÚSTRIA Q1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0.641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 BONA FIDC NÃO-PADRONIZADO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0.640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HORTÊNCIA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Elevado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Sistema de Alertas Regulatórios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IES acima do mercado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de suspeição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recomendada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Verde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Menos de +0.10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Abaixo de 0.55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Monitoramento rotineiro mensal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200"/>
                <w:sz w:val="18"/>
                <w:szCs w:val="18"/>
              </w:rPr>
              <w:t xml:space="preserve">Amarelo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 +0.10 e +0.25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 0.55 e 0.70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Auditoria especial + requisição de dados à CVM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Laranja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 +0.25 e +0.40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 0.70 e 0.85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Suspensão preventiva de recompras &gt; 5% do PL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Vermelho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Acima de +0.40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Acima de 0.85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Comunicação imediata ao Banco Central com intervenção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Aplicação retroativa ao caso Master: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 Banco Master S.A. atingiu IES médio de +0.218 ao longo de 2025 — dentro da faixa Laranja (+0.10 a +0.40). Isso deveria ter acionado a suspensão preventiva de recompras meses antes da liquidação de novembro de 2025.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Limitações do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nos resultados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mitigar no futuro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Trustee e Reag não declaram cedente em 75% dos registros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IES médio negativo apesar de anomalia real — opacidade declaratória impede detecção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Exigir declaração obrigatória de cedente em 100% dos informes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taxa_devolucao_cedente com cobertura &lt; 0,1%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excluída do modelo por gerar cluster artificial de zeros que distorce a detecção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Monitorar se a CVM passa a exigir declaração mais granular nessa coluna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mensais, não diários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Defasagem de 2 a 4 semanas nos alertas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Integrar cotas diárias da CVM para detectar spikes intraperiodo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X.3 cobre só 40% dos fundos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Rentabilidade da cota indisponível para 60% dos fundos do dataset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Cruzar com Tab X.2 para expandir cobertura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Recomendações e Conclusão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Para o Regulador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o protocolo de quatro níveis de alerta como dashboard com atualização mensal automatizada a partir dos dados abertos da CVM.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Exigir declaração obrigatória do CNPJ do cedente em 100% dos informes — a ausência atual inviabiliza supervisão algorítmica efetiva.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Investigar prioritariamente NF FUNDO (nota 0.834), ENGELBERG 41 (0.736) e CREDIFIX (0.727) junto ao Banco Central e à CVM.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Proibir vínculos societários entre administradores de FIDCs e cedentes dos recebíveis — elimina o conflito de interesse endógeno.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Próximas Evoluções do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Verificar ligação direta dos fundos críticos com o ecossistema Master via CNPJ do cedente na Tab 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Integrar Tab X.6 (desvio de desempenho real vs. esperado) para capturar Trustee e Reag independentemente da declaração de cedentes.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Expandir análise para 2024 para verificar se os sinais existiam antes das liquidações.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Avaliar o Extended Isolation Forest (Hariri et al., 2019) para lidar com distribuições não lineares.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Conclusão: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 IES médio de +0.218 para o Banco Master S.A. (estável ao longo de 2025, desvio-padrão de 0.070) e fundos individuais atingindo notas críticas de 0.73 a 0.83 na Trustee e Reag, o modelo confirma quantitativamente o que as liquidações extrajudiciais de novembro/2025 a fevereiro/2026 revelaram qualitativamente. O algoritmo sinalizava o problema com meses de antecedência usando apenas dados públicos disponíveis a qualquer regulador.</w:t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do Relatório —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Fontes e Referências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Fontes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CVM — Informes mensais de FIDCs (Tabelas I, IV, VI, VII, X): dados.cvm.gov.br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Banco Central do Brasil — Atos de liquidação extrajudicial: Diário Oficial da União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Receita Federal — Base CNPJ / QSA: cnpj.receita.fazenda.gov.br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Referências Acadêmicas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LIU, Fei Tony; TING, Kai Ming; ZHOU, Zhi-Hua. Isolation Forest. IEEE International Conference on Data Mining, 2008.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HARIRI, Sahand et al. Extended Isolation Forest. IEEE Transactions on Knowledge and Data Engineering, 2019.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ASSAF NETO, Alexandre. Estrutura e Análise de Balanços. 12. ed. São Paulo: Atlas, 2021.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CVM. Resolução CVM n.º 175. Brasília, 2022.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BANK FOR INTERNATIONAL SETTLEMENTS (BIS). Supervisory guidance on model risk management. Basel, 2022.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Artefatos do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CNPJs_atualizado.xlsx — Mapeamento de raízes de CNPJ para 11 instituições investigadas.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Pipeline Python (Google Colab) — Isolation Forest, 3 features forenses, dados CVM mar–nov/2025.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df_master_2025.parquet — Dataset consolidado: 29.215 registros, 3.882 fundos, 9 competências.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Pesquisa Acadêmica — Uso Interno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RELATÓRIO DE ANÁLISE FORENSE — FIDCs | 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mar–nov/2025 | Isolation Forest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2026-03-29T22:50:23.052Z</dcterms:created>
  <dcterms:modified xsi:type="dcterms:W3CDTF">2026-03-29T22:50:23.053Z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