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B.Sc Computer Games Development, Year 3, HTML5 and Android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Technical Design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28th - October - 2014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“Multiplayer Breakout”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Authors: Eoghan Gibbons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Supervisors: R.Palmer &amp; D O’Broine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Features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CRC Cards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ab/>
        <w:t xml:space="preserve">2.1 SceneManager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ab/>
        <w:t xml:space="preserve">2.2 GameScene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ab/>
        <w:t xml:space="preserve">2.3 Resource Manager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ab/>
        <w:t xml:space="preserve">2.4 Player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ab/>
        <w:t xml:space="preserve">2.5 Ball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ab/>
        <w:t xml:space="preserve">2.6 Brick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Tasks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ab/>
        <w:t xml:space="preserve">3.1 Move Object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ab/>
        <w:t xml:space="preserve">3.2 Collision Dectection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 </w:t>
        <w:tab/>
        <w:t xml:space="preserve">3.3 Sound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48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Box2D bodies to handle collision detection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Removal of Box2D bodies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480" w:line="276" w:lineRule="auto"/>
        <w:contextualSpacing w:val="0"/>
        <w:jc w:val="center"/>
      </w:pPr>
      <w:bookmarkStart w:colFirst="0" w:colLast="0" w:name="h.kuikoe81bsq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CRC Cards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6"/>
        <w:gridCol w:w="4490"/>
        <w:tblGridChange w:id="0">
          <w:tblGrid>
            <w:gridCol w:w="4526"/>
            <w:gridCol w:w="44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SceneManager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0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Switches between scenes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Splash Scene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Scene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Scene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Over Scene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9"/>
        <w:gridCol w:w="4487"/>
        <w:tblGridChange w:id="0">
          <w:tblGrid>
            <w:gridCol w:w="4529"/>
            <w:gridCol w:w="448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Scene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0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Collisions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Changing levels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Bricks[]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5"/>
        <w:gridCol w:w="4491"/>
        <w:tblGridChange w:id="0">
          <w:tblGrid>
            <w:gridCol w:w="4525"/>
            <w:gridCol w:w="44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Resource Manager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0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Loads resources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Textures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Music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Sound Effects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6"/>
        <w:gridCol w:w="4490"/>
        <w:tblGridChange w:id="0">
          <w:tblGrid>
            <w:gridCol w:w="4526"/>
            <w:gridCol w:w="44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0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Lives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Velocity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Colour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480" w:line="276" w:lineRule="auto"/>
        <w:contextualSpacing w:val="0"/>
      </w:pPr>
      <w:bookmarkStart w:colFirst="0" w:colLast="0" w:name="h.i5omlw6n9er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Move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Move Player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conditions required: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Touch Left of player   if(true)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move left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Touch Right of player if(true)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move right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further you touch away from the character the faster the players paddle will move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Collision Detection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conditions required: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players position with other objects with built in physics using contactListener.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Load Sound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conditions required: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current scene is the Main menu then the Main Menu music will play.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ball bounces the boing sound will play.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