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In what contexts will the chosen user use the product or service? When and where will this occur? What are their goals and motivations? Try to identify any limiting factors/barriers to use in these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u w:val="single"/>
          <w:rtl w:val="0"/>
        </w:rPr>
        <w:t xml:space="preserve">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In what context will they use it?</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ind w:left="0" w:firstLine="0"/>
        <w:contextualSpacing w:val="0"/>
      </w:pPr>
      <w:r w:rsidDel="00000000" w:rsidR="00000000" w:rsidRPr="00000000">
        <w:rPr>
          <w:rFonts w:ascii="Georgia" w:cs="Georgia" w:eastAsia="Georgia" w:hAnsi="Georgia"/>
          <w:color w:val="3b3b3b"/>
          <w:highlight w:val="white"/>
          <w:rtl w:val="0"/>
        </w:rPr>
        <w:t xml:space="preserve">Students will use this calculator when trying to determine what marks they will require                                                                       in specific subjects in order to obtain their desired results.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eorgia" w:cs="Georgia" w:eastAsia="Georgia" w:hAnsi="Georgia"/>
          <w:color w:val="3b3b3b"/>
          <w:highlight w:val="white"/>
          <w:rtl w:val="0"/>
        </w:rPr>
        <w:t xml:space="preserve">To determine how many points they receive from certain subjects.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eorgia" w:cs="Georgia" w:eastAsia="Georgia" w:hAnsi="Georgia"/>
          <w:color w:val="3b3b3b"/>
          <w:highlight w:val="white"/>
          <w:rtl w:val="0"/>
        </w:rPr>
        <w:t xml:space="preserve">To show the difference between points obtained from an ordinary level exam and a higher level exam.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When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Students will likely use this calculator when they are in fifth and sixth year.</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Where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Students should be able to access this calculator anywhere. On their phones, computers and tablets. They will likely use it at home when deciding on how much work they will need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What are their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calculate the total number of points they obtained from their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determine what grades will be required in order to achieve a certain number of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the difference between points obtained from higher and ordinary level exams.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how many extra points are available by sitting higher level maths.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u w:val="single"/>
          <w:rtl w:val="0"/>
        </w:rPr>
        <w:t xml:space="preserve">Parents/Teachers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In what context will they use it?</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Parents/Teachers of students will use this calculator when they want to understand what sort of grades their children/students will require when sitting the leaving cert.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When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They will likely use the calculator when their children/students are in sixth or fifth year in school. </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Where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Parents/teachers could potentially use this calculator at any time. At home at work or even while out and about.  The calculator must therefore be accessible on all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What are their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calculate the total number of points their child/student obtained from their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determine what grades will be required by their child/student in order to achieve a certain number of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the difference between points obtained from higher and ordinary level exams.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show how many extra points are available by sitting higher level maths.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u w:val="single"/>
          <w:rtl w:val="0"/>
        </w:rPr>
        <w:t xml:space="preserve">Past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In what context will they use it?</w:t>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When trying to determine how many points they received in their leaving cert, perhaps for a job.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When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When they have already finished their leaving cert but wish to check their points again.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Where will they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They could check points at any time so must be accessible from all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b3b3b"/>
          <w:highlight w:val="white"/>
          <w:rtl w:val="0"/>
        </w:rPr>
        <w:t xml:space="preserve">What are their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b3b3b"/>
          <w:highlight w:val="white"/>
          <w:rtl w:val="0"/>
        </w:rPr>
        <w:t xml:space="preserve">To calculate the total number of points they obtained in the leaving cert.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