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What functionality should be provided to meet the needs and expectations of the users, and the environments and situations in which they will use this product or service? The reasons for this functionality being provided should be clearly motivated by points discussed in 1 and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Users of the calculator should be able to choose up to six of the subjects they are sitting. Only six subjects can count towards their 600 point cap.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Users will be able to choose their subject from a drop down menu. If the desired subject isn’t listed they can choose “other” as an option.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Users should be able to choose whether they are taking the subject at ordinary or higher level.</w:t>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do so they simply select from a drop down menu their desired level. This option will be on the same line as the subject it relates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The calculator should deal with special subjects like maths. If the maths exam is sat at higher level then the student receives a bonus 25 points. The calculator needs to cater for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If a user only chooses say four subjects then the calculator should return the results of them four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The calculator should show clearly the total number of points calculated from the input grades.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LCVP option?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