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8"/>
        <w:ind w:left="100" w:firstLine="0"/>
      </w:pPr>
      <w:r>
        <w:rPr/>
        <w:t>Equivalence Partitioning and Boundary Value Analysis – An Example</w:t>
      </w:r>
    </w:p>
    <w:p>
      <w:pPr>
        <w:pStyle w:val="BodyText"/>
        <w:spacing w:line="259" w:lineRule="auto" w:before="181"/>
        <w:ind w:left="100" w:right="803"/>
      </w:pPr>
      <w:r>
        <w:rPr/>
        <w:t>Example: Identifiers of 3 – 15 alphanumeric characters, in which the first two must be letters. Apply the equivalence partitioning and boundary value analysis techniques to identify suitable test inputs for testing the above specification.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Apply Equivalence Partitioning to identify input equivalence</w:t>
      </w:r>
      <w:r>
        <w:rPr>
          <w:spacing w:val="-4"/>
          <w:sz w:val="22"/>
        </w:rPr>
        <w:t> </w:t>
      </w:r>
      <w:r>
        <w:rPr>
          <w:sz w:val="22"/>
        </w:rPr>
        <w:t>classes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Use Boundary Value Analysis to refine the results of equivalence</w:t>
      </w:r>
      <w:r>
        <w:rPr>
          <w:spacing w:val="-7"/>
          <w:sz w:val="22"/>
        </w:rPr>
        <w:t> </w:t>
      </w:r>
      <w:r>
        <w:rPr>
          <w:sz w:val="22"/>
        </w:rPr>
        <w:t>partitioning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Select actual input values that cover all the equivalence classes and the</w:t>
      </w:r>
      <w:r>
        <w:rPr>
          <w:spacing w:val="-15"/>
          <w:sz w:val="22"/>
        </w:rPr>
        <w:t> </w:t>
      </w:r>
      <w:r>
        <w:rPr>
          <w:sz w:val="22"/>
        </w:rPr>
        <w:t>boundaries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Apply Equivalence Partitioning to identify input equivalence</w:t>
      </w:r>
      <w:r>
        <w:rPr>
          <w:spacing w:val="-13"/>
        </w:rPr>
        <w:t> </w:t>
      </w:r>
      <w:r>
        <w:rPr/>
        <w:t>classes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7" w:val="left" w:leader="none"/>
        </w:tabs>
        <w:spacing w:line="240" w:lineRule="auto" w:before="20" w:after="0"/>
        <w:ind w:left="666" w:right="0" w:hanging="356"/>
        <w:jc w:val="left"/>
        <w:rPr>
          <w:sz w:val="22"/>
        </w:rPr>
      </w:pPr>
      <w:r>
        <w:rPr>
          <w:sz w:val="22"/>
        </w:rPr>
        <w:t>Input constraints/conditions (each with equivalence</w:t>
      </w:r>
      <w:r>
        <w:rPr>
          <w:spacing w:val="-4"/>
          <w:sz w:val="22"/>
        </w:rPr>
        <w:t> </w:t>
      </w:r>
      <w:r>
        <w:rPr>
          <w:sz w:val="22"/>
        </w:rPr>
        <w:t>classes):</w:t>
      </w:r>
    </w:p>
    <w:p>
      <w:pPr>
        <w:pStyle w:val="ListParagraph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22" w:after="0"/>
        <w:ind w:left="1094" w:right="0" w:hanging="358"/>
        <w:jc w:val="left"/>
        <w:rPr>
          <w:sz w:val="22"/>
        </w:rPr>
      </w:pPr>
      <w:r>
        <w:rPr>
          <w:sz w:val="22"/>
        </w:rPr>
        <w:t>Alphanumeric</w:t>
      </w:r>
      <w:r>
        <w:rPr>
          <w:spacing w:val="-1"/>
          <w:sz w:val="22"/>
        </w:rPr>
        <w:t> </w:t>
      </w:r>
      <w:r>
        <w:rPr>
          <w:sz w:val="22"/>
        </w:rPr>
        <w:t>characters</w:t>
      </w:r>
    </w:p>
    <w:p>
      <w:pPr>
        <w:pStyle w:val="ListParagraph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15" w:after="0"/>
        <w:ind w:left="1094" w:right="0" w:hanging="358"/>
        <w:jc w:val="left"/>
        <w:rPr>
          <w:sz w:val="22"/>
        </w:rPr>
      </w:pPr>
      <w:r>
        <w:rPr>
          <w:sz w:val="22"/>
        </w:rPr>
        <w:t>Identifier length between 3 and 15</w:t>
      </w:r>
      <w:r>
        <w:rPr>
          <w:spacing w:val="-8"/>
          <w:sz w:val="22"/>
        </w:rPr>
        <w:t> </w:t>
      </w:r>
      <w:r>
        <w:rPr>
          <w:sz w:val="22"/>
        </w:rPr>
        <w:t>characters</w:t>
      </w:r>
    </w:p>
    <w:p>
      <w:pPr>
        <w:pStyle w:val="ListParagraph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15" w:after="35"/>
        <w:ind w:left="1094" w:right="0" w:hanging="358"/>
        <w:jc w:val="left"/>
        <w:rPr>
          <w:sz w:val="22"/>
        </w:rPr>
      </w:pPr>
      <w:r>
        <w:rPr>
          <w:sz w:val="22"/>
        </w:rPr>
        <w:t>First two letters</w:t>
      </w:r>
    </w:p>
    <w:tbl>
      <w:tblPr>
        <w:tblW w:w="0" w:type="auto"/>
        <w:jc w:val="left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3404"/>
        <w:gridCol w:w="3826"/>
      </w:tblGrid>
      <w:tr>
        <w:trPr>
          <w:trHeight w:val="1175" w:hRule="atLeast"/>
        </w:trPr>
        <w:tc>
          <w:tcPr>
            <w:tcW w:w="2117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1"/>
              <w:rPr>
                <w:b/>
                <w:sz w:val="22"/>
              </w:rPr>
            </w:pPr>
            <w:r>
              <w:rPr>
                <w:b/>
                <w:sz w:val="22"/>
              </w:rPr>
              <w:t>Condition</w:t>
            </w:r>
          </w:p>
        </w:tc>
        <w:tc>
          <w:tcPr>
            <w:tcW w:w="3404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1"/>
              <w:rPr>
                <w:b/>
                <w:sz w:val="22"/>
              </w:rPr>
            </w:pPr>
            <w:r>
              <w:rPr>
                <w:b/>
                <w:sz w:val="22"/>
              </w:rPr>
              <w:t>Valid Equivalence Classes</w:t>
            </w:r>
          </w:p>
        </w:tc>
        <w:tc>
          <w:tcPr>
            <w:tcW w:w="3826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256" w:lineRule="auto" w:before="71"/>
              <w:ind w:right="1881"/>
              <w:rPr>
                <w:b/>
                <w:sz w:val="22"/>
              </w:rPr>
            </w:pPr>
            <w:r>
              <w:rPr>
                <w:b/>
                <w:sz w:val="22"/>
              </w:rPr>
              <w:t>Invalid Equivalence Classes</w:t>
            </w:r>
          </w:p>
        </w:tc>
      </w:tr>
      <w:tr>
        <w:trPr>
          <w:trHeight w:val="882" w:hRule="atLeast"/>
        </w:trPr>
        <w:tc>
          <w:tcPr>
            <w:tcW w:w="2117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69"/>
              <w:rPr>
                <w:sz w:val="22"/>
              </w:rPr>
            </w:pPr>
            <w:r>
              <w:rPr>
                <w:sz w:val="22"/>
              </w:rPr>
              <w:t>Input alphanumeric</w:t>
            </w:r>
          </w:p>
        </w:tc>
        <w:tc>
          <w:tcPr>
            <w:tcW w:w="3404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line="256" w:lineRule="auto" w:before="69"/>
              <w:ind w:right="917"/>
              <w:rPr>
                <w:sz w:val="22"/>
              </w:rPr>
            </w:pPr>
            <w:r>
              <w:rPr>
                <w:sz w:val="22"/>
              </w:rPr>
              <w:t>Only letters [a-z][A-Z] and numbers [0-9]</w:t>
            </w:r>
          </w:p>
        </w:tc>
        <w:tc>
          <w:tcPr>
            <w:tcW w:w="3826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before="69"/>
              <w:rPr>
                <w:sz w:val="22"/>
              </w:rPr>
            </w:pPr>
            <w:r>
              <w:rPr>
                <w:sz w:val="22"/>
              </w:rPr>
              <w:t>Characters that are not alphanumeric</w:t>
            </w:r>
          </w:p>
        </w:tc>
      </w:tr>
      <w:tr>
        <w:trPr>
          <w:trHeight w:val="1624" w:hRule="atLeast"/>
        </w:trPr>
        <w:tc>
          <w:tcPr>
            <w:tcW w:w="2117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Identifier length</w:t>
            </w:r>
          </w:p>
        </w:tc>
        <w:tc>
          <w:tcPr>
            <w:tcW w:w="3404" w:type="dxa"/>
            <w:shd w:val="clear" w:color="auto" w:fill="EAEEF7"/>
          </w:tcPr>
          <w:p>
            <w:pPr>
              <w:pStyle w:val="TableParagraph"/>
              <w:spacing w:line="259" w:lineRule="auto" w:before="68"/>
              <w:ind w:right="189"/>
              <w:rPr>
                <w:sz w:val="22"/>
              </w:rPr>
            </w:pPr>
            <w:r>
              <w:rPr>
                <w:sz w:val="22"/>
              </w:rPr>
              <w:t>The identifiers has between 3 and 15 characters [3 – 15]</w:t>
            </w:r>
          </w:p>
        </w:tc>
        <w:tc>
          <w:tcPr>
            <w:tcW w:w="3826" w:type="dxa"/>
            <w:shd w:val="clear" w:color="auto" w:fill="EAEEF7"/>
          </w:tcPr>
          <w:p>
            <w:pPr>
              <w:pStyle w:val="TableParagraph"/>
              <w:spacing w:line="259" w:lineRule="auto" w:before="68"/>
              <w:ind w:right="1082"/>
              <w:rPr>
                <w:sz w:val="22"/>
              </w:rPr>
            </w:pPr>
            <w:r>
              <w:rPr>
                <w:sz w:val="22"/>
              </w:rPr>
              <w:t>The identifier has less than 3 characters i.e. &lt;3</w:t>
            </w:r>
          </w:p>
          <w:p>
            <w:pPr>
              <w:pStyle w:val="TableParagraph"/>
              <w:spacing w:line="259" w:lineRule="auto" w:before="159"/>
              <w:ind w:right="824"/>
              <w:rPr>
                <w:sz w:val="22"/>
              </w:rPr>
            </w:pPr>
            <w:r>
              <w:rPr>
                <w:sz w:val="22"/>
              </w:rPr>
              <w:t>The identifier has more than 15 characters i.e. &gt;15</w:t>
            </w:r>
          </w:p>
        </w:tc>
      </w:tr>
      <w:tr>
        <w:trPr>
          <w:trHeight w:val="1173" w:hRule="atLeast"/>
        </w:trPr>
        <w:tc>
          <w:tcPr>
            <w:tcW w:w="2117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First two letters</w:t>
            </w:r>
          </w:p>
        </w:tc>
        <w:tc>
          <w:tcPr>
            <w:tcW w:w="3404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line="259" w:lineRule="auto" w:before="68"/>
              <w:ind w:right="149"/>
              <w:rPr>
                <w:sz w:val="22"/>
              </w:rPr>
            </w:pPr>
            <w:r>
              <w:rPr>
                <w:sz w:val="22"/>
              </w:rPr>
              <w:t>The first two characters are letters [a-z][A-Z]</w:t>
            </w:r>
          </w:p>
        </w:tc>
        <w:tc>
          <w:tcPr>
            <w:tcW w:w="3826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line="259" w:lineRule="auto" w:before="68"/>
              <w:ind w:right="199"/>
              <w:rPr>
                <w:sz w:val="22"/>
              </w:rPr>
            </w:pPr>
            <w:r>
              <w:rPr>
                <w:sz w:val="22"/>
              </w:rPr>
              <w:t>The first two characters are not letters (i.e. either numbers or any other characters, but letters)</w:t>
            </w:r>
          </w:p>
        </w:tc>
      </w:tr>
    </w:tbl>
    <w:p>
      <w:pPr>
        <w:pStyle w:val="BodyText"/>
        <w:spacing w:before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74" w:after="0"/>
        <w:ind w:left="460" w:right="0" w:hanging="359"/>
        <w:jc w:val="left"/>
      </w:pPr>
      <w:r>
        <w:rPr/>
        <w:t>Use Boundary Value Analysis to refine the results of equivalence</w:t>
      </w:r>
      <w:r>
        <w:rPr>
          <w:spacing w:val="-17"/>
        </w:rPr>
        <w:t> </w:t>
      </w:r>
      <w:r>
        <w:rPr/>
        <w:t>partitioning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7" w:val="left" w:leader="none"/>
        </w:tabs>
        <w:spacing w:line="240" w:lineRule="auto" w:before="20" w:after="0"/>
        <w:ind w:left="666" w:right="0" w:hanging="356"/>
        <w:jc w:val="left"/>
        <w:rPr>
          <w:sz w:val="22"/>
        </w:rPr>
      </w:pPr>
      <w:r>
        <w:rPr>
          <w:sz w:val="22"/>
        </w:rPr>
        <w:t>Input constraints (each with equivalence classes/boundary</w:t>
      </w:r>
      <w:r>
        <w:rPr>
          <w:spacing w:val="-3"/>
          <w:sz w:val="22"/>
        </w:rPr>
        <w:t> </w:t>
      </w:r>
      <w:r>
        <w:rPr>
          <w:sz w:val="22"/>
        </w:rPr>
        <w:t>conditions):</w:t>
      </w:r>
    </w:p>
    <w:p>
      <w:pPr>
        <w:pStyle w:val="ListParagraph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22" w:after="0"/>
        <w:ind w:left="1094" w:right="0" w:hanging="358"/>
        <w:jc w:val="left"/>
        <w:rPr>
          <w:sz w:val="22"/>
        </w:rPr>
      </w:pPr>
      <w:r>
        <w:rPr>
          <w:sz w:val="22"/>
        </w:rPr>
        <w:t>Alphanumeric</w:t>
      </w:r>
      <w:r>
        <w:rPr>
          <w:spacing w:val="-1"/>
          <w:sz w:val="22"/>
        </w:rPr>
        <w:t> </w:t>
      </w:r>
      <w:r>
        <w:rPr>
          <w:sz w:val="22"/>
        </w:rPr>
        <w:t>characters</w:t>
      </w:r>
    </w:p>
    <w:p>
      <w:pPr>
        <w:pStyle w:val="ListParagraph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15" w:after="0"/>
        <w:ind w:left="1094" w:right="0" w:hanging="358"/>
        <w:jc w:val="left"/>
        <w:rPr>
          <w:sz w:val="22"/>
        </w:rPr>
      </w:pPr>
      <w:r>
        <w:rPr>
          <w:i/>
          <w:sz w:val="22"/>
        </w:rPr>
        <w:t>Identifier length between 3 and 15 characters </w:t>
      </w:r>
      <w:r>
        <w:rPr>
          <w:sz w:val="22"/>
        </w:rPr>
        <w:t>(min - 1, min, min +1, max-1, max, max +</w:t>
      </w:r>
      <w:r>
        <w:rPr>
          <w:spacing w:val="-27"/>
          <w:sz w:val="22"/>
        </w:rPr>
        <w:t> </w:t>
      </w:r>
      <w:r>
        <w:rPr>
          <w:sz w:val="22"/>
        </w:rPr>
        <w:t>1)</w:t>
      </w:r>
    </w:p>
    <w:p>
      <w:pPr>
        <w:pStyle w:val="ListParagraph"/>
        <w:numPr>
          <w:ilvl w:val="2"/>
          <w:numId w:val="2"/>
        </w:numPr>
        <w:tabs>
          <w:tab w:pos="1093" w:val="left" w:leader="none"/>
          <w:tab w:pos="1094" w:val="left" w:leader="none"/>
        </w:tabs>
        <w:spacing w:line="240" w:lineRule="auto" w:before="12" w:after="38"/>
        <w:ind w:left="1094" w:right="0" w:hanging="358"/>
        <w:jc w:val="left"/>
        <w:rPr>
          <w:sz w:val="22"/>
        </w:rPr>
      </w:pPr>
      <w:r>
        <w:rPr>
          <w:sz w:val="22"/>
        </w:rPr>
        <w:t>First two letters</w:t>
      </w:r>
    </w:p>
    <w:tbl>
      <w:tblPr>
        <w:tblW w:w="0" w:type="auto"/>
        <w:jc w:val="left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2269"/>
        <w:gridCol w:w="2269"/>
        <w:gridCol w:w="3121"/>
      </w:tblGrid>
      <w:tr>
        <w:trPr>
          <w:trHeight w:val="912" w:hRule="atLeast"/>
        </w:trPr>
        <w:tc>
          <w:tcPr>
            <w:tcW w:w="1834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2"/>
              <w:rPr>
                <w:b/>
                <w:sz w:val="22"/>
              </w:rPr>
            </w:pPr>
            <w:r>
              <w:rPr>
                <w:b/>
                <w:sz w:val="22"/>
              </w:rPr>
              <w:t>Condition</w:t>
            </w:r>
          </w:p>
        </w:tc>
        <w:tc>
          <w:tcPr>
            <w:tcW w:w="2269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256" w:lineRule="auto" w:before="72"/>
              <w:ind w:right="324"/>
              <w:rPr>
                <w:b/>
                <w:sz w:val="22"/>
              </w:rPr>
            </w:pPr>
            <w:r>
              <w:rPr>
                <w:b/>
                <w:sz w:val="22"/>
              </w:rPr>
              <w:t>Invalid Equivalence Class</w:t>
            </w:r>
          </w:p>
        </w:tc>
        <w:tc>
          <w:tcPr>
            <w:tcW w:w="2269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256" w:lineRule="auto" w:before="72"/>
              <w:ind w:left="142" w:right="476"/>
              <w:rPr>
                <w:b/>
                <w:sz w:val="22"/>
              </w:rPr>
            </w:pPr>
            <w:r>
              <w:rPr>
                <w:b/>
                <w:sz w:val="22"/>
              </w:rPr>
              <w:t>Valid Equivalence Class</w:t>
            </w:r>
          </w:p>
        </w:tc>
        <w:tc>
          <w:tcPr>
            <w:tcW w:w="3121" w:type="dxa"/>
            <w:tcBorders>
              <w:top w:val="nil"/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before="72"/>
              <w:ind w:left="142"/>
              <w:rPr>
                <w:b/>
                <w:sz w:val="22"/>
              </w:rPr>
            </w:pPr>
            <w:r>
              <w:rPr>
                <w:b/>
                <w:sz w:val="22"/>
              </w:rPr>
              <w:t>Invalid Equivalence Class</w:t>
            </w:r>
          </w:p>
        </w:tc>
      </w:tr>
      <w:tr>
        <w:trPr>
          <w:trHeight w:val="1173" w:hRule="atLeast"/>
        </w:trPr>
        <w:tc>
          <w:tcPr>
            <w:tcW w:w="1834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>
            <w:pPr>
              <w:pStyle w:val="TableParagraph"/>
              <w:spacing w:before="69"/>
              <w:rPr>
                <w:sz w:val="22"/>
              </w:rPr>
            </w:pPr>
            <w:r>
              <w:rPr>
                <w:sz w:val="22"/>
              </w:rPr>
              <w:t>Identifier length</w:t>
            </w:r>
          </w:p>
        </w:tc>
        <w:tc>
          <w:tcPr>
            <w:tcW w:w="2269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>
            <w:pPr>
              <w:pStyle w:val="TableParagraph"/>
              <w:spacing w:line="256" w:lineRule="auto" w:before="69"/>
              <w:ind w:right="146"/>
              <w:rPr>
                <w:sz w:val="22"/>
              </w:rPr>
            </w:pPr>
            <w:r>
              <w:rPr>
                <w:sz w:val="22"/>
              </w:rPr>
              <w:t>The identifier has less than 3 characters i.e.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&lt;3</w:t>
            </w:r>
          </w:p>
        </w:tc>
        <w:tc>
          <w:tcPr>
            <w:tcW w:w="2269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>
            <w:pPr>
              <w:pStyle w:val="TableParagraph"/>
              <w:spacing w:line="256" w:lineRule="auto" w:before="69"/>
              <w:ind w:left="142" w:right="324"/>
              <w:rPr>
                <w:sz w:val="22"/>
              </w:rPr>
            </w:pPr>
            <w:r>
              <w:rPr>
                <w:sz w:val="22"/>
              </w:rPr>
              <w:t>The identifier has between 3 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8"/>
                <w:sz w:val="22"/>
              </w:rPr>
              <w:t>15</w:t>
            </w:r>
          </w:p>
          <w:p>
            <w:pPr>
              <w:pStyle w:val="TableParagraph"/>
              <w:spacing w:before="3"/>
              <w:ind w:left="142"/>
              <w:rPr>
                <w:sz w:val="22"/>
              </w:rPr>
            </w:pPr>
            <w:r>
              <w:rPr>
                <w:sz w:val="22"/>
              </w:rPr>
              <w:t>characters [3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15]</w:t>
            </w:r>
          </w:p>
        </w:tc>
        <w:tc>
          <w:tcPr>
            <w:tcW w:w="3121" w:type="dxa"/>
            <w:tcBorders>
              <w:top w:val="single" w:sz="24" w:space="0" w:color="FFFFFF"/>
              <w:bottom w:val="nil"/>
            </w:tcBorders>
            <w:shd w:val="clear" w:color="auto" w:fill="D2DEEE"/>
          </w:tcPr>
          <w:p>
            <w:pPr>
              <w:pStyle w:val="TableParagraph"/>
              <w:spacing w:line="256" w:lineRule="auto" w:before="69"/>
              <w:ind w:left="142" w:right="120"/>
              <w:rPr>
                <w:sz w:val="22"/>
              </w:rPr>
            </w:pPr>
            <w:r>
              <w:rPr>
                <w:sz w:val="22"/>
              </w:rPr>
              <w:t>The identifier has more than 15 characters i.e. &gt;15</w:t>
            </w:r>
          </w:p>
        </w:tc>
      </w:tr>
    </w:tbl>
    <w:p>
      <w:pPr>
        <w:pStyle w:val="BodyText"/>
        <w:spacing w:before="16"/>
        <w:ind w:left="100"/>
      </w:pPr>
      <w:r>
        <w:rPr/>
        <w:t>The values obtained using the boundary value analysis are: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2, 3, 4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14, 15,</w:t>
      </w:r>
      <w:r>
        <w:rPr>
          <w:spacing w:val="-3"/>
          <w:sz w:val="22"/>
        </w:rPr>
        <w:t> </w:t>
      </w:r>
      <w:r>
        <w:rPr>
          <w:sz w:val="22"/>
        </w:rPr>
        <w:t>16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23" w:top="1380" w:bottom="1120" w:left="1340" w:right="84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29" w:after="0"/>
        <w:ind w:left="460" w:right="0" w:hanging="361"/>
        <w:jc w:val="left"/>
      </w:pPr>
      <w:r>
        <w:rPr/>
        <w:t>Select actual input values that cover all the equivalence classes and the</w:t>
      </w:r>
      <w:r>
        <w:rPr>
          <w:spacing w:val="-18"/>
        </w:rPr>
        <w:t> </w:t>
      </w:r>
      <w:r>
        <w:rPr/>
        <w:t>boundaries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Functionality tested: Identifiers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2718"/>
        <w:gridCol w:w="2600"/>
        <w:gridCol w:w="2555"/>
      </w:tblGrid>
      <w:tr>
        <w:trPr>
          <w:trHeight w:val="1173" w:hRule="atLeast"/>
        </w:trPr>
        <w:tc>
          <w:tcPr>
            <w:tcW w:w="1138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Test Case </w:t>
            </w:r>
            <w:r>
              <w:rPr>
                <w:b/>
                <w:spacing w:val="-1"/>
                <w:sz w:val="22"/>
              </w:rPr>
              <w:t>Identifier</w:t>
            </w:r>
          </w:p>
        </w:tc>
        <w:tc>
          <w:tcPr>
            <w:tcW w:w="2718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before="69"/>
              <w:rPr>
                <w:b/>
                <w:sz w:val="22"/>
              </w:rPr>
            </w:pPr>
            <w:r>
              <w:rPr>
                <w:b/>
                <w:sz w:val="22"/>
              </w:rPr>
              <w:t>Input value</w:t>
            </w:r>
          </w:p>
        </w:tc>
        <w:tc>
          <w:tcPr>
            <w:tcW w:w="2600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left="142" w:right="125"/>
              <w:rPr>
                <w:b/>
                <w:sz w:val="22"/>
              </w:rPr>
            </w:pPr>
            <w:r>
              <w:rPr>
                <w:b/>
                <w:sz w:val="22"/>
              </w:rPr>
              <w:t>Valid equivalence classes and boundary covered</w:t>
            </w:r>
          </w:p>
        </w:tc>
        <w:tc>
          <w:tcPr>
            <w:tcW w:w="2555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left="142" w:right="418"/>
              <w:rPr>
                <w:b/>
                <w:sz w:val="22"/>
              </w:rPr>
            </w:pPr>
            <w:r>
              <w:rPr>
                <w:b/>
                <w:sz w:val="22"/>
              </w:rPr>
              <w:t>Invalid equivalence classes and boundary covered</w:t>
            </w:r>
          </w:p>
        </w:tc>
      </w:tr>
      <w:tr>
        <w:trPr>
          <w:trHeight w:val="4492" w:hRule="atLeast"/>
        </w:trPr>
        <w:tc>
          <w:tcPr>
            <w:tcW w:w="1138" w:type="dxa"/>
            <w:shd w:val="clear" w:color="auto" w:fill="EAEEF7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718" w:type="dxa"/>
            <w:shd w:val="clear" w:color="auto" w:fill="EAEEF7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z w:val="22"/>
              </w:rPr>
              <w:t>qwe1</w:t>
            </w:r>
          </w:p>
        </w:tc>
        <w:tc>
          <w:tcPr>
            <w:tcW w:w="2600" w:type="dxa"/>
            <w:shd w:val="clear" w:color="auto" w:fill="EAEEF7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03" w:val="left" w:leader="none"/>
              </w:tabs>
              <w:spacing w:line="256" w:lineRule="auto" w:before="71" w:after="0"/>
              <w:ind w:left="502" w:right="156" w:hanging="360"/>
              <w:jc w:val="both"/>
              <w:rPr>
                <w:sz w:val="22"/>
              </w:rPr>
            </w:pPr>
            <w:r>
              <w:rPr>
                <w:sz w:val="22"/>
              </w:rPr>
              <w:t>Only letters [a-z][A-Z] and 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[0-9]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3" w:val="left" w:leader="none"/>
              </w:tabs>
              <w:spacing w:line="259" w:lineRule="auto" w:before="3" w:after="0"/>
              <w:ind w:left="502" w:right="408" w:hanging="360"/>
              <w:jc w:val="both"/>
              <w:rPr>
                <w:sz w:val="22"/>
              </w:rPr>
            </w:pPr>
            <w:r>
              <w:rPr>
                <w:sz w:val="22"/>
              </w:rPr>
              <w:t>The identifier has between 3 and 15 characters [3 –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15]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22" w:val="left" w:leader="none"/>
                <w:tab w:pos="1223" w:val="left" w:leader="none"/>
              </w:tabs>
              <w:spacing w:line="259" w:lineRule="auto" w:before="0" w:after="0"/>
              <w:ind w:left="1222" w:right="246" w:hanging="361"/>
              <w:jc w:val="left"/>
              <w:rPr>
                <w:sz w:val="22"/>
              </w:rPr>
            </w:pPr>
            <w:r>
              <w:rPr>
                <w:sz w:val="22"/>
              </w:rPr>
              <w:t>Boundary covered: above </w:t>
            </w:r>
            <w:r>
              <w:rPr>
                <w:spacing w:val="-4"/>
                <w:sz w:val="22"/>
              </w:rPr>
              <w:t>lower </w:t>
            </w:r>
            <w:r>
              <w:rPr>
                <w:sz w:val="22"/>
              </w:rPr>
              <w:t>boundary,</w:t>
            </w:r>
          </w:p>
          <w:p>
            <w:pPr>
              <w:pStyle w:val="TableParagraph"/>
              <w:spacing w:line="259" w:lineRule="auto"/>
              <w:ind w:left="1222" w:right="484"/>
              <w:rPr>
                <w:sz w:val="22"/>
              </w:rPr>
            </w:pPr>
            <w:r>
              <w:rPr>
                <w:sz w:val="22"/>
              </w:rPr>
              <w:t>i.e. 4 (see page 1)</w:t>
            </w:r>
          </w:p>
          <w:p>
            <w:pPr>
              <w:pStyle w:val="TableParagraph"/>
              <w:tabs>
                <w:tab w:pos="502" w:val="left" w:leader="none"/>
              </w:tabs>
              <w:spacing w:line="259" w:lineRule="auto"/>
              <w:ind w:left="502" w:right="167" w:hanging="360"/>
              <w:rPr>
                <w:sz w:val="22"/>
              </w:rPr>
            </w:pPr>
            <w:r>
              <w:rPr>
                <w:rFonts w:ascii="Arial"/>
                <w:sz w:val="22"/>
              </w:rPr>
              <w:t>-</w:t>
              <w:tab/>
            </w:r>
            <w:r>
              <w:rPr>
                <w:sz w:val="22"/>
              </w:rPr>
              <w:t>The first two characters are </w:t>
            </w:r>
            <w:r>
              <w:rPr>
                <w:spacing w:val="-4"/>
                <w:sz w:val="22"/>
              </w:rPr>
              <w:t>letters </w:t>
            </w:r>
            <w:r>
              <w:rPr>
                <w:sz w:val="22"/>
              </w:rPr>
              <w:t>[a-z][A-Z]</w:t>
            </w:r>
          </w:p>
        </w:tc>
        <w:tc>
          <w:tcPr>
            <w:tcW w:w="2555" w:type="dxa"/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92" w:hRule="atLeast"/>
        </w:trPr>
        <w:tc>
          <w:tcPr>
            <w:tcW w:w="1138" w:type="dxa"/>
            <w:shd w:val="clear" w:color="auto" w:fill="D2DEEE"/>
          </w:tcPr>
          <w:p>
            <w:pPr>
              <w:pStyle w:val="TableParagraph"/>
              <w:spacing w:before="6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18" w:type="dxa"/>
            <w:shd w:val="clear" w:color="auto" w:fill="D2DEEE"/>
          </w:tcPr>
          <w:p>
            <w:pPr>
              <w:pStyle w:val="TableParagraph"/>
              <w:spacing w:before="69"/>
              <w:rPr>
                <w:sz w:val="22"/>
              </w:rPr>
            </w:pPr>
            <w:r>
              <w:rPr>
                <w:sz w:val="22"/>
              </w:rPr>
              <w:t>fe3</w:t>
            </w:r>
          </w:p>
        </w:tc>
        <w:tc>
          <w:tcPr>
            <w:tcW w:w="2600" w:type="dxa"/>
            <w:shd w:val="clear" w:color="auto" w:fill="D2DEEE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03" w:val="left" w:leader="none"/>
              </w:tabs>
              <w:spacing w:line="259" w:lineRule="auto" w:before="69" w:after="0"/>
              <w:ind w:left="502" w:right="156" w:hanging="360"/>
              <w:jc w:val="both"/>
              <w:rPr>
                <w:sz w:val="22"/>
              </w:rPr>
            </w:pPr>
            <w:r>
              <w:rPr>
                <w:sz w:val="22"/>
              </w:rPr>
              <w:t>Only letters [a-z][A-Z] and 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[0-9]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03" w:val="left" w:leader="none"/>
              </w:tabs>
              <w:spacing w:line="259" w:lineRule="auto" w:before="0" w:after="0"/>
              <w:ind w:left="502" w:right="408" w:hanging="360"/>
              <w:jc w:val="both"/>
              <w:rPr>
                <w:sz w:val="22"/>
              </w:rPr>
            </w:pPr>
            <w:r>
              <w:rPr>
                <w:sz w:val="22"/>
              </w:rPr>
              <w:t>The identifier has between 3 and 15 characters [3 –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15]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222" w:val="left" w:leader="none"/>
                <w:tab w:pos="1223" w:val="left" w:leader="none"/>
              </w:tabs>
              <w:spacing w:line="259" w:lineRule="auto" w:before="0" w:after="0"/>
              <w:ind w:left="1222" w:right="438" w:hanging="361"/>
              <w:jc w:val="left"/>
              <w:rPr>
                <w:sz w:val="22"/>
              </w:rPr>
            </w:pPr>
            <w:r>
              <w:rPr>
                <w:sz w:val="22"/>
              </w:rPr>
              <w:t>Boundary covered: lower boundary,</w:t>
            </w:r>
          </w:p>
          <w:p>
            <w:pPr>
              <w:pStyle w:val="TableParagraph"/>
              <w:spacing w:line="259" w:lineRule="auto"/>
              <w:ind w:left="1222" w:right="484"/>
              <w:rPr>
                <w:sz w:val="22"/>
              </w:rPr>
            </w:pPr>
            <w:r>
              <w:rPr>
                <w:sz w:val="22"/>
              </w:rPr>
              <w:t>i.e. 3 (see page 1)</w:t>
            </w:r>
          </w:p>
          <w:p>
            <w:pPr>
              <w:pStyle w:val="TableParagraph"/>
              <w:tabs>
                <w:tab w:pos="502" w:val="left" w:leader="none"/>
              </w:tabs>
              <w:spacing w:line="259" w:lineRule="auto"/>
              <w:ind w:left="502" w:right="167" w:hanging="360"/>
              <w:rPr>
                <w:sz w:val="22"/>
              </w:rPr>
            </w:pPr>
            <w:r>
              <w:rPr>
                <w:rFonts w:ascii="Arial"/>
                <w:sz w:val="22"/>
              </w:rPr>
              <w:t>-</w:t>
              <w:tab/>
            </w:r>
            <w:r>
              <w:rPr>
                <w:sz w:val="22"/>
              </w:rPr>
              <w:t>The first two characters are </w:t>
            </w:r>
            <w:r>
              <w:rPr>
                <w:spacing w:val="-3"/>
                <w:sz w:val="22"/>
              </w:rPr>
              <w:t>letters </w:t>
            </w:r>
            <w:r>
              <w:rPr>
                <w:sz w:val="22"/>
              </w:rPr>
              <w:t>[a-z][A-Z]</w:t>
            </w:r>
          </w:p>
        </w:tc>
        <w:tc>
          <w:tcPr>
            <w:tcW w:w="2555" w:type="dxa"/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943" w:hRule="atLeast"/>
        </w:trPr>
        <w:tc>
          <w:tcPr>
            <w:tcW w:w="1138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18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00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59" w:lineRule="auto"/>
              <w:ind w:left="142" w:right="329"/>
              <w:rPr>
                <w:sz w:val="22"/>
              </w:rPr>
            </w:pPr>
            <w:r>
              <w:rPr>
                <w:sz w:val="22"/>
              </w:rPr>
              <w:t>Table continues on the next page</w:t>
            </w:r>
          </w:p>
        </w:tc>
      </w:tr>
    </w:tbl>
    <w:p>
      <w:pPr>
        <w:spacing w:after="0" w:line="259" w:lineRule="auto"/>
        <w:rPr>
          <w:sz w:val="22"/>
        </w:rPr>
        <w:sectPr>
          <w:pgSz w:w="11910" w:h="16840"/>
          <w:pgMar w:header="0" w:footer="923" w:top="1580" w:bottom="1200" w:left="1340" w:right="840"/>
        </w:sectPr>
      </w:pPr>
    </w:p>
    <w:tbl>
      <w:tblPr>
        <w:tblW w:w="0" w:type="auto"/>
        <w:jc w:val="left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2718"/>
        <w:gridCol w:w="2600"/>
        <w:gridCol w:w="2555"/>
      </w:tblGrid>
      <w:tr>
        <w:trPr>
          <w:trHeight w:val="1173" w:hRule="atLeast"/>
        </w:trPr>
        <w:tc>
          <w:tcPr>
            <w:tcW w:w="1138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Test Case </w:t>
            </w:r>
            <w:r>
              <w:rPr>
                <w:b/>
                <w:spacing w:val="-1"/>
                <w:sz w:val="22"/>
              </w:rPr>
              <w:t>Identifier</w:t>
            </w:r>
          </w:p>
        </w:tc>
        <w:tc>
          <w:tcPr>
            <w:tcW w:w="2718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before="69"/>
              <w:rPr>
                <w:b/>
                <w:sz w:val="22"/>
              </w:rPr>
            </w:pPr>
            <w:r>
              <w:rPr>
                <w:b/>
                <w:sz w:val="22"/>
              </w:rPr>
              <w:t>Input value</w:t>
            </w:r>
          </w:p>
        </w:tc>
        <w:tc>
          <w:tcPr>
            <w:tcW w:w="2600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left="142" w:right="125"/>
              <w:rPr>
                <w:b/>
                <w:sz w:val="22"/>
              </w:rPr>
            </w:pPr>
            <w:r>
              <w:rPr>
                <w:b/>
                <w:sz w:val="22"/>
              </w:rPr>
              <w:t>Valid equivalence classes and boundary covered</w:t>
            </w:r>
          </w:p>
        </w:tc>
        <w:tc>
          <w:tcPr>
            <w:tcW w:w="2555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left="142" w:right="418"/>
              <w:rPr>
                <w:b/>
                <w:sz w:val="22"/>
              </w:rPr>
            </w:pPr>
            <w:r>
              <w:rPr>
                <w:b/>
                <w:sz w:val="22"/>
              </w:rPr>
              <w:t>Invalid equivalence classes and boundary covered</w:t>
            </w:r>
          </w:p>
        </w:tc>
      </w:tr>
      <w:tr>
        <w:trPr>
          <w:trHeight w:val="4202" w:hRule="atLeast"/>
        </w:trPr>
        <w:tc>
          <w:tcPr>
            <w:tcW w:w="1138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18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ab123456789qwer</w:t>
            </w:r>
          </w:p>
        </w:tc>
        <w:tc>
          <w:tcPr>
            <w:tcW w:w="2600" w:type="dxa"/>
            <w:shd w:val="clear" w:color="auto" w:fill="EAEEF7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03" w:val="left" w:leader="none"/>
              </w:tabs>
              <w:spacing w:line="259" w:lineRule="auto" w:before="68" w:after="0"/>
              <w:ind w:left="502" w:right="156" w:hanging="360"/>
              <w:jc w:val="both"/>
              <w:rPr>
                <w:sz w:val="22"/>
              </w:rPr>
            </w:pPr>
            <w:r>
              <w:rPr>
                <w:sz w:val="22"/>
              </w:rPr>
              <w:t>Only letters [a-z][A-Z] and 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[0-9]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3" w:val="left" w:leader="none"/>
              </w:tabs>
              <w:spacing w:line="259" w:lineRule="auto" w:before="1" w:after="0"/>
              <w:ind w:left="502" w:right="408" w:hanging="360"/>
              <w:jc w:val="both"/>
              <w:rPr>
                <w:sz w:val="22"/>
              </w:rPr>
            </w:pPr>
            <w:r>
              <w:rPr>
                <w:sz w:val="22"/>
              </w:rPr>
              <w:t>The identifier has between 3 and 15 characters [3 –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15]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222" w:val="left" w:leader="none"/>
                <w:tab w:pos="1223" w:val="left" w:leader="none"/>
              </w:tabs>
              <w:spacing w:line="259" w:lineRule="auto" w:before="0" w:after="0"/>
              <w:ind w:left="1222" w:right="438" w:hanging="361"/>
              <w:jc w:val="left"/>
              <w:rPr>
                <w:sz w:val="22"/>
              </w:rPr>
            </w:pPr>
            <w:r>
              <w:rPr>
                <w:sz w:val="22"/>
              </w:rPr>
              <w:t>Boundary covered: upper boundary,</w:t>
            </w:r>
          </w:p>
          <w:p>
            <w:pPr>
              <w:pStyle w:val="TableParagraph"/>
              <w:spacing w:line="259" w:lineRule="auto"/>
              <w:ind w:left="1222" w:right="372"/>
              <w:rPr>
                <w:sz w:val="22"/>
              </w:rPr>
            </w:pPr>
            <w:r>
              <w:rPr>
                <w:sz w:val="22"/>
              </w:rPr>
              <w:t>i.e. 15 (see page 1)</w:t>
            </w:r>
          </w:p>
          <w:p>
            <w:pPr>
              <w:pStyle w:val="TableParagraph"/>
              <w:tabs>
                <w:tab w:pos="502" w:val="left" w:leader="none"/>
              </w:tabs>
              <w:spacing w:line="259" w:lineRule="auto"/>
              <w:ind w:left="502" w:right="167" w:hanging="360"/>
              <w:rPr>
                <w:sz w:val="22"/>
              </w:rPr>
            </w:pPr>
            <w:r>
              <w:rPr>
                <w:rFonts w:ascii="Arial"/>
                <w:sz w:val="22"/>
              </w:rPr>
              <w:t>-</w:t>
              <w:tab/>
            </w:r>
            <w:r>
              <w:rPr>
                <w:sz w:val="22"/>
              </w:rPr>
              <w:t>The first two characters are </w:t>
            </w:r>
            <w:r>
              <w:rPr>
                <w:spacing w:val="-4"/>
                <w:sz w:val="22"/>
              </w:rPr>
              <w:t>letters </w:t>
            </w:r>
            <w:r>
              <w:rPr>
                <w:sz w:val="22"/>
              </w:rPr>
              <w:t>[a-z][A-Z]</w:t>
            </w:r>
          </w:p>
        </w:tc>
        <w:tc>
          <w:tcPr>
            <w:tcW w:w="2555" w:type="dxa"/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92" w:hRule="atLeast"/>
        </w:trPr>
        <w:tc>
          <w:tcPr>
            <w:tcW w:w="1138" w:type="dxa"/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718" w:type="dxa"/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ab123456789qwe</w:t>
            </w:r>
          </w:p>
        </w:tc>
        <w:tc>
          <w:tcPr>
            <w:tcW w:w="2600" w:type="dxa"/>
            <w:shd w:val="clear" w:color="auto" w:fill="D2DEEE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</w:tabs>
              <w:spacing w:line="259" w:lineRule="auto" w:before="68" w:after="0"/>
              <w:ind w:left="502" w:right="156" w:hanging="360"/>
              <w:jc w:val="both"/>
              <w:rPr>
                <w:sz w:val="22"/>
              </w:rPr>
            </w:pPr>
            <w:r>
              <w:rPr>
                <w:sz w:val="22"/>
              </w:rPr>
              <w:t>Only letters [a-z][A-Z] and 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[0-9]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</w:tabs>
              <w:spacing w:line="259" w:lineRule="auto" w:before="1" w:after="0"/>
              <w:ind w:left="502" w:right="408" w:hanging="360"/>
              <w:jc w:val="both"/>
              <w:rPr>
                <w:sz w:val="22"/>
              </w:rPr>
            </w:pPr>
            <w:r>
              <w:rPr>
                <w:sz w:val="22"/>
              </w:rPr>
              <w:t>The identifier has between 3 and 15 characters [3 –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15]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222" w:val="left" w:leader="none"/>
                <w:tab w:pos="1223" w:val="left" w:leader="none"/>
              </w:tabs>
              <w:spacing w:line="259" w:lineRule="auto" w:before="0" w:after="0"/>
              <w:ind w:left="1222" w:right="438" w:hanging="361"/>
              <w:jc w:val="left"/>
              <w:rPr>
                <w:sz w:val="22"/>
              </w:rPr>
            </w:pPr>
            <w:r>
              <w:rPr>
                <w:sz w:val="22"/>
              </w:rPr>
              <w:t>Boundary covered: below the upper boundary,</w:t>
            </w:r>
          </w:p>
          <w:p>
            <w:pPr>
              <w:pStyle w:val="TableParagraph"/>
              <w:spacing w:line="259" w:lineRule="auto"/>
              <w:ind w:left="1222" w:right="372"/>
              <w:rPr>
                <w:sz w:val="22"/>
              </w:rPr>
            </w:pPr>
            <w:r>
              <w:rPr>
                <w:sz w:val="22"/>
              </w:rPr>
              <w:t>i.e. 14 (see page 1)</w:t>
            </w:r>
          </w:p>
          <w:p>
            <w:pPr>
              <w:pStyle w:val="TableParagraph"/>
              <w:tabs>
                <w:tab w:pos="502" w:val="left" w:leader="none"/>
              </w:tabs>
              <w:spacing w:line="259" w:lineRule="auto"/>
              <w:ind w:left="502" w:right="167" w:hanging="360"/>
              <w:rPr>
                <w:sz w:val="22"/>
              </w:rPr>
            </w:pPr>
            <w:r>
              <w:rPr>
                <w:rFonts w:ascii="Arial"/>
                <w:sz w:val="22"/>
              </w:rPr>
              <w:t>-</w:t>
              <w:tab/>
            </w:r>
            <w:r>
              <w:rPr>
                <w:sz w:val="22"/>
              </w:rPr>
              <w:t>The first two characters are </w:t>
            </w:r>
            <w:r>
              <w:rPr>
                <w:spacing w:val="-4"/>
                <w:sz w:val="22"/>
              </w:rPr>
              <w:t>letters </w:t>
            </w:r>
            <w:r>
              <w:rPr>
                <w:sz w:val="22"/>
              </w:rPr>
              <w:t>[a-z][A-Z]</w:t>
            </w:r>
          </w:p>
        </w:tc>
        <w:tc>
          <w:tcPr>
            <w:tcW w:w="2555" w:type="dxa"/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62" w:hRule="atLeast"/>
        </w:trPr>
        <w:tc>
          <w:tcPr>
            <w:tcW w:w="1138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718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aS14356</w:t>
            </w:r>
          </w:p>
        </w:tc>
        <w:tc>
          <w:tcPr>
            <w:tcW w:w="2600" w:type="dxa"/>
            <w:shd w:val="clear" w:color="auto" w:fill="EAEEF7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03" w:val="left" w:leader="none"/>
              </w:tabs>
              <w:spacing w:line="259" w:lineRule="auto" w:before="68" w:after="0"/>
              <w:ind w:left="502" w:right="156" w:hanging="360"/>
              <w:jc w:val="both"/>
              <w:rPr>
                <w:sz w:val="22"/>
              </w:rPr>
            </w:pPr>
            <w:r>
              <w:rPr>
                <w:sz w:val="22"/>
              </w:rPr>
              <w:t>Only letters [a-z][A-Z] and 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[0-9]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3" w:val="left" w:leader="none"/>
              </w:tabs>
              <w:spacing w:line="259" w:lineRule="auto" w:before="0" w:after="0"/>
              <w:ind w:left="502" w:right="408" w:hanging="360"/>
              <w:jc w:val="both"/>
              <w:rPr>
                <w:sz w:val="22"/>
              </w:rPr>
            </w:pPr>
            <w:r>
              <w:rPr>
                <w:sz w:val="22"/>
              </w:rPr>
              <w:t>The identifier has between 3 and 15 characters [3 – </w:t>
            </w:r>
            <w:r>
              <w:rPr>
                <w:spacing w:val="-5"/>
                <w:sz w:val="22"/>
              </w:rPr>
              <w:t>15]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2" w:val="left" w:leader="none"/>
                <w:tab w:pos="503" w:val="left" w:leader="none"/>
              </w:tabs>
              <w:spacing w:line="259" w:lineRule="auto" w:before="0" w:after="0"/>
              <w:ind w:left="502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The first two characters are </w:t>
            </w:r>
            <w:r>
              <w:rPr>
                <w:spacing w:val="-4"/>
                <w:sz w:val="22"/>
              </w:rPr>
              <w:t>letters </w:t>
            </w:r>
            <w:r>
              <w:rPr>
                <w:sz w:val="22"/>
              </w:rPr>
              <w:t>[a-z][A-Z]</w:t>
            </w:r>
          </w:p>
        </w:tc>
        <w:tc>
          <w:tcPr>
            <w:tcW w:w="2555" w:type="dxa"/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49" w:hRule="atLeast"/>
        </w:trPr>
        <w:tc>
          <w:tcPr>
            <w:tcW w:w="1138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18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00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  <w:tcBorders>
              <w:bottom w:val="nil"/>
            </w:tcBorders>
            <w:shd w:val="clear" w:color="auto" w:fill="D2DEEE"/>
          </w:tcPr>
          <w:p>
            <w:pPr>
              <w:pStyle w:val="TableParagraph"/>
              <w:spacing w:line="259" w:lineRule="auto" w:before="68"/>
              <w:ind w:left="502" w:right="318"/>
              <w:rPr>
                <w:sz w:val="22"/>
              </w:rPr>
            </w:pPr>
            <w:r>
              <w:rPr>
                <w:sz w:val="22"/>
              </w:rPr>
              <w:t>Table continues on the next page</w:t>
            </w:r>
          </w:p>
        </w:tc>
      </w:tr>
    </w:tbl>
    <w:p>
      <w:pPr>
        <w:spacing w:after="0" w:line="259" w:lineRule="auto"/>
        <w:rPr>
          <w:sz w:val="22"/>
        </w:rPr>
        <w:sectPr>
          <w:pgSz w:w="11910" w:h="16840"/>
          <w:pgMar w:header="0" w:footer="923" w:top="1480" w:bottom="1120" w:left="1340" w:right="840"/>
        </w:sectPr>
      </w:pPr>
    </w:p>
    <w:tbl>
      <w:tblPr>
        <w:tblW w:w="0" w:type="auto"/>
        <w:jc w:val="left"/>
        <w:tblInd w:w="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2718"/>
        <w:gridCol w:w="2600"/>
        <w:gridCol w:w="2555"/>
      </w:tblGrid>
      <w:tr>
        <w:trPr>
          <w:trHeight w:val="1173" w:hRule="atLeast"/>
        </w:trPr>
        <w:tc>
          <w:tcPr>
            <w:tcW w:w="1138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right="121"/>
              <w:rPr>
                <w:b/>
                <w:sz w:val="22"/>
              </w:rPr>
            </w:pPr>
            <w:r>
              <w:rPr>
                <w:b/>
                <w:sz w:val="22"/>
              </w:rPr>
              <w:t>Test Case </w:t>
            </w:r>
            <w:r>
              <w:rPr>
                <w:b/>
                <w:spacing w:val="-1"/>
                <w:sz w:val="22"/>
              </w:rPr>
              <w:t>Identifier</w:t>
            </w:r>
          </w:p>
        </w:tc>
        <w:tc>
          <w:tcPr>
            <w:tcW w:w="2718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before="69"/>
              <w:rPr>
                <w:b/>
                <w:sz w:val="22"/>
              </w:rPr>
            </w:pPr>
            <w:r>
              <w:rPr>
                <w:b/>
                <w:sz w:val="22"/>
              </w:rPr>
              <w:t>Input value</w:t>
            </w:r>
          </w:p>
        </w:tc>
        <w:tc>
          <w:tcPr>
            <w:tcW w:w="2600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left="142" w:right="125"/>
              <w:rPr>
                <w:b/>
                <w:sz w:val="22"/>
              </w:rPr>
            </w:pPr>
            <w:r>
              <w:rPr>
                <w:b/>
                <w:sz w:val="22"/>
              </w:rPr>
              <w:t>Valid equivalence classes and boundary covered</w:t>
            </w:r>
          </w:p>
        </w:tc>
        <w:tc>
          <w:tcPr>
            <w:tcW w:w="2555" w:type="dxa"/>
            <w:tcBorders>
              <w:top w:val="nil"/>
            </w:tcBorders>
            <w:shd w:val="clear" w:color="auto" w:fill="5B9BD4"/>
          </w:tcPr>
          <w:p>
            <w:pPr>
              <w:pStyle w:val="TableParagraph"/>
              <w:spacing w:line="259" w:lineRule="auto" w:before="69"/>
              <w:ind w:left="142" w:right="418"/>
              <w:rPr>
                <w:b/>
                <w:sz w:val="22"/>
              </w:rPr>
            </w:pPr>
            <w:r>
              <w:rPr>
                <w:b/>
                <w:sz w:val="22"/>
              </w:rPr>
              <w:t>Invalid equivalence classes and boundary covered</w:t>
            </w:r>
          </w:p>
        </w:tc>
      </w:tr>
      <w:tr>
        <w:trPr>
          <w:trHeight w:val="1448" w:hRule="atLeast"/>
        </w:trPr>
        <w:tc>
          <w:tcPr>
            <w:tcW w:w="1138" w:type="dxa"/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718" w:type="dxa"/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qw@</w:t>
            </w:r>
          </w:p>
        </w:tc>
        <w:tc>
          <w:tcPr>
            <w:tcW w:w="2600" w:type="dxa"/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  <w:shd w:val="clear" w:color="auto" w:fill="D2DEEE"/>
          </w:tcPr>
          <w:p>
            <w:pPr>
              <w:pStyle w:val="TableParagraph"/>
              <w:tabs>
                <w:tab w:pos="502" w:val="left" w:leader="none"/>
              </w:tabs>
              <w:spacing w:line="259" w:lineRule="auto" w:before="68"/>
              <w:ind w:left="502" w:right="311" w:hanging="360"/>
              <w:rPr>
                <w:sz w:val="22"/>
              </w:rPr>
            </w:pPr>
            <w:r>
              <w:rPr>
                <w:rFonts w:ascii="Arial"/>
                <w:sz w:val="22"/>
              </w:rPr>
              <w:t>-</w:t>
              <w:tab/>
            </w:r>
            <w:r>
              <w:rPr>
                <w:sz w:val="22"/>
              </w:rPr>
              <w:t>Characters that </w:t>
            </w:r>
            <w:r>
              <w:rPr>
                <w:spacing w:val="-6"/>
                <w:sz w:val="22"/>
              </w:rPr>
              <w:t>are </w:t>
            </w:r>
            <w:r>
              <w:rPr>
                <w:sz w:val="22"/>
              </w:rPr>
              <w:t>not alphanumeric</w:t>
            </w:r>
          </w:p>
        </w:tc>
      </w:tr>
      <w:tr>
        <w:trPr>
          <w:trHeight w:val="2044" w:hRule="atLeast"/>
        </w:trPr>
        <w:tc>
          <w:tcPr>
            <w:tcW w:w="1138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718" w:type="dxa"/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12a</w:t>
            </w:r>
          </w:p>
        </w:tc>
        <w:tc>
          <w:tcPr>
            <w:tcW w:w="2600" w:type="dxa"/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  <w:shd w:val="clear" w:color="auto" w:fill="EAEEF7"/>
          </w:tcPr>
          <w:p>
            <w:pPr>
              <w:pStyle w:val="TableParagraph"/>
              <w:tabs>
                <w:tab w:pos="502" w:val="left" w:leader="none"/>
              </w:tabs>
              <w:spacing w:line="259" w:lineRule="auto" w:before="68"/>
              <w:ind w:left="502" w:right="141" w:hanging="360"/>
              <w:rPr>
                <w:sz w:val="22"/>
              </w:rPr>
            </w:pPr>
            <w:r>
              <w:rPr>
                <w:rFonts w:ascii="Arial"/>
                <w:sz w:val="22"/>
              </w:rPr>
              <w:t>-</w:t>
              <w:tab/>
            </w:r>
            <w:r>
              <w:rPr>
                <w:sz w:val="22"/>
              </w:rPr>
              <w:t>The first two characters are not letters (i.e. either numbers or any other characters, </w:t>
            </w:r>
            <w:r>
              <w:rPr>
                <w:spacing w:val="-6"/>
                <w:sz w:val="22"/>
              </w:rPr>
              <w:t>but </w:t>
            </w:r>
            <w:r>
              <w:rPr>
                <w:sz w:val="22"/>
              </w:rPr>
              <w:t>letters)</w:t>
            </w:r>
          </w:p>
        </w:tc>
      </w:tr>
      <w:tr>
        <w:trPr>
          <w:trHeight w:val="3491" w:hRule="atLeast"/>
        </w:trPr>
        <w:tc>
          <w:tcPr>
            <w:tcW w:w="1138" w:type="dxa"/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718" w:type="dxa"/>
            <w:shd w:val="clear" w:color="auto" w:fill="D2DEEE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ab</w:t>
            </w:r>
          </w:p>
        </w:tc>
        <w:tc>
          <w:tcPr>
            <w:tcW w:w="2600" w:type="dxa"/>
            <w:shd w:val="clear" w:color="auto" w:fill="D2D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  <w:shd w:val="clear" w:color="auto" w:fill="D2DEEE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02" w:val="left" w:leader="none"/>
                <w:tab w:pos="503" w:val="left" w:leader="none"/>
              </w:tabs>
              <w:spacing w:line="259" w:lineRule="auto" w:before="68" w:after="0"/>
              <w:ind w:left="502" w:right="470" w:hanging="360"/>
              <w:jc w:val="left"/>
              <w:rPr>
                <w:sz w:val="22"/>
              </w:rPr>
            </w:pPr>
            <w:r>
              <w:rPr>
                <w:sz w:val="22"/>
              </w:rPr>
              <w:t>The identifier </w:t>
            </w:r>
            <w:r>
              <w:rPr>
                <w:spacing w:val="-5"/>
                <w:sz w:val="22"/>
              </w:rPr>
              <w:t>has </w:t>
            </w:r>
            <w:r>
              <w:rPr>
                <w:sz w:val="22"/>
              </w:rPr>
              <w:t>less than 3 characters i.e.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&lt;3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222" w:val="left" w:leader="none"/>
                <w:tab w:pos="1223" w:val="left" w:leader="none"/>
              </w:tabs>
              <w:spacing w:line="259" w:lineRule="auto" w:before="0" w:after="0"/>
              <w:ind w:left="1222" w:right="126" w:hanging="360"/>
              <w:jc w:val="left"/>
              <w:rPr>
                <w:sz w:val="22"/>
              </w:rPr>
            </w:pPr>
            <w:r>
              <w:rPr>
                <w:sz w:val="22"/>
              </w:rPr>
              <w:t>Boundary covered: below (i.e. lower than) the lower boundary </w:t>
            </w:r>
            <w:r>
              <w:rPr>
                <w:spacing w:val="-5"/>
                <w:sz w:val="22"/>
              </w:rPr>
              <w:t>i.e. </w:t>
            </w:r>
            <w:r>
              <w:rPr>
                <w:sz w:val="22"/>
              </w:rPr>
              <w:t>2 (see page 1)</w:t>
            </w:r>
          </w:p>
        </w:tc>
      </w:tr>
      <w:tr>
        <w:trPr>
          <w:trHeight w:val="3494" w:hRule="atLeast"/>
        </w:trPr>
        <w:tc>
          <w:tcPr>
            <w:tcW w:w="1138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718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ab123456789qwert</w:t>
            </w:r>
          </w:p>
        </w:tc>
        <w:tc>
          <w:tcPr>
            <w:tcW w:w="2600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5" w:type="dxa"/>
            <w:tcBorders>
              <w:bottom w:val="nil"/>
            </w:tcBorders>
            <w:shd w:val="clear" w:color="auto" w:fill="EAEEF7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02" w:val="left" w:leader="none"/>
                <w:tab w:pos="503" w:val="left" w:leader="none"/>
              </w:tabs>
              <w:spacing w:line="259" w:lineRule="auto" w:before="68" w:after="0"/>
              <w:ind w:left="502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The identifier has more than 15 characters i.e.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6"/>
                <w:sz w:val="22"/>
              </w:rPr>
              <w:t>&gt;15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222" w:val="left" w:leader="none"/>
                <w:tab w:pos="1223" w:val="left" w:leader="none"/>
              </w:tabs>
              <w:spacing w:line="259" w:lineRule="auto" w:before="0" w:after="0"/>
              <w:ind w:left="1222" w:right="126" w:hanging="360"/>
              <w:jc w:val="left"/>
              <w:rPr>
                <w:sz w:val="22"/>
              </w:rPr>
            </w:pPr>
            <w:r>
              <w:rPr>
                <w:sz w:val="22"/>
              </w:rPr>
              <w:t>Boundary covered: above (i.e. higher than) the upper boundary </w:t>
            </w:r>
            <w:r>
              <w:rPr>
                <w:spacing w:val="-5"/>
                <w:sz w:val="22"/>
              </w:rPr>
              <w:t>i.e. </w:t>
            </w:r>
            <w:r>
              <w:rPr>
                <w:sz w:val="22"/>
              </w:rPr>
              <w:t>16 (see page 1)</w:t>
            </w:r>
          </w:p>
        </w:tc>
      </w:tr>
    </w:tbl>
    <w:sectPr>
      <w:pgSz w:w="11910" w:h="16840"/>
      <w:pgMar w:header="0" w:footer="923" w:top="1480" w:bottom="1120" w:left="13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3.100006pt;margin-top:780.776001pt;width:54.4pt;height:13.05pt;mso-position-horizontal-relative:page;mso-position-vertical-relative:page;z-index:-159063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</w:t>
                </w:r>
                <w:r>
                  <w:rPr>
                    <w:sz w:val="22"/>
                  </w:rPr>
                  <w:t>of </w:t>
                </w:r>
                <w:r>
                  <w:rPr>
                    <w:b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02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66" w:hanging="35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094" w:hanging="358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9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094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Chis</dc:creator>
  <dcterms:created xsi:type="dcterms:W3CDTF">2022-02-22T12:30:03Z</dcterms:created>
  <dcterms:modified xsi:type="dcterms:W3CDTF">2022-02-22T12:30:03Z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