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4404" w14:textId="77777777" w:rsidR="004140CC" w:rsidRDefault="00F328DA">
      <w:pPr>
        <w:pStyle w:val="Title"/>
        <w:ind w:left="1113"/>
      </w:pPr>
      <w:r>
        <w:rPr>
          <w:w w:val="95"/>
        </w:rPr>
        <w:t>TutoriaI 3 − BIack−Box Testing: Boundary VaIue</w:t>
      </w:r>
    </w:p>
    <w:p w14:paraId="49164405" w14:textId="77777777" w:rsidR="004140CC" w:rsidRDefault="00F328DA">
      <w:pPr>
        <w:pStyle w:val="Title"/>
        <w:spacing w:before="21"/>
      </w:pPr>
      <w:r>
        <w:rPr>
          <w:w w:val="95"/>
        </w:rPr>
        <w:t>AnaIysis</w:t>
      </w:r>
    </w:p>
    <w:p w14:paraId="49164406" w14:textId="77777777" w:rsidR="004140CC" w:rsidRDefault="004140CC">
      <w:pPr>
        <w:pStyle w:val="BodyText"/>
        <w:rPr>
          <w:rFonts w:ascii="Cambria"/>
          <w:sz w:val="20"/>
        </w:rPr>
      </w:pPr>
    </w:p>
    <w:p w14:paraId="49164407" w14:textId="77777777" w:rsidR="004140CC" w:rsidRDefault="004140CC">
      <w:pPr>
        <w:pStyle w:val="BodyText"/>
        <w:rPr>
          <w:rFonts w:ascii="Cambria"/>
          <w:sz w:val="23"/>
        </w:rPr>
      </w:pPr>
    </w:p>
    <w:p w14:paraId="49164408" w14:textId="77777777" w:rsidR="004140CC" w:rsidRDefault="00F328DA">
      <w:pPr>
        <w:pStyle w:val="Heading1"/>
        <w:spacing w:before="36"/>
      </w:pPr>
      <w:r>
        <w:rPr>
          <w:color w:val="1D4D79"/>
        </w:rPr>
        <w:t>Black−Box Testing. Black−Box Testing Techniques.</w:t>
      </w:r>
    </w:p>
    <w:p w14:paraId="49164409" w14:textId="77777777" w:rsidR="004140CC" w:rsidRDefault="00F328DA">
      <w:pPr>
        <w:ind w:left="412" w:right="397"/>
        <w:jc w:val="center"/>
        <w:rPr>
          <w:sz w:val="32"/>
        </w:rPr>
      </w:pPr>
      <w:r>
        <w:rPr>
          <w:color w:val="1D4D79"/>
          <w:sz w:val="32"/>
        </w:rPr>
        <w:t>Boundary Value Analysis.</w:t>
      </w:r>
    </w:p>
    <w:p w14:paraId="4916440A" w14:textId="77777777" w:rsidR="004140CC" w:rsidRDefault="004140CC">
      <w:pPr>
        <w:pStyle w:val="BodyText"/>
        <w:spacing w:before="2"/>
      </w:pPr>
    </w:p>
    <w:p w14:paraId="4916440B" w14:textId="77777777" w:rsidR="004140CC" w:rsidRDefault="00F328DA">
      <w:pPr>
        <w:pStyle w:val="BodyText"/>
        <w:ind w:left="100" w:right="73"/>
      </w:pPr>
      <w:r>
        <w:t xml:space="preserve">In black−box testing the software product is viewed as an opaque system (there is no access </w:t>
      </w:r>
      <w:r>
        <w:rPr>
          <w:spacing w:val="-9"/>
        </w:rPr>
        <w:t xml:space="preserve">to </w:t>
      </w:r>
      <w:r>
        <w:t>the internal details, including the source code). Black−box testing techniques are also known as behavioral or behavior−based testing techniques. Black−box testi</w:t>
      </w:r>
      <w:r>
        <w:t>ng can be applied for both functional and nonfunctional testing.</w:t>
      </w:r>
    </w:p>
    <w:p w14:paraId="4916440C" w14:textId="77777777" w:rsidR="004140CC" w:rsidRDefault="004140CC">
      <w:pPr>
        <w:pStyle w:val="BodyText"/>
        <w:spacing w:before="12"/>
        <w:rPr>
          <w:sz w:val="23"/>
        </w:rPr>
      </w:pPr>
    </w:p>
    <w:p w14:paraId="4916440D" w14:textId="77777777" w:rsidR="004140CC" w:rsidRDefault="00F328DA">
      <w:pPr>
        <w:pStyle w:val="BodyText"/>
        <w:ind w:left="100"/>
      </w:pPr>
      <w:r>
        <w:t>Black−box testing techniques focus on the inputs and outputs of the item tested.</w:t>
      </w:r>
    </w:p>
    <w:p w14:paraId="4916440E" w14:textId="77777777" w:rsidR="004140CC" w:rsidRDefault="004140CC">
      <w:pPr>
        <w:pStyle w:val="BodyText"/>
        <w:spacing w:before="11"/>
        <w:rPr>
          <w:sz w:val="23"/>
        </w:rPr>
      </w:pPr>
    </w:p>
    <w:p w14:paraId="4916440F" w14:textId="77777777" w:rsidR="004140CC" w:rsidRDefault="00F328DA">
      <w:pPr>
        <w:pStyle w:val="BodyText"/>
        <w:spacing w:before="1"/>
        <w:ind w:left="100" w:right="345"/>
      </w:pPr>
      <w:r>
        <w:t>When applying black−box testing techniques, the test conditions, test cases, test data are created from a te</w:t>
      </w:r>
      <w:r>
        <w:t>st basis that may include software requirements, specifications, use cases, and user stories.</w:t>
      </w:r>
    </w:p>
    <w:p w14:paraId="49164410" w14:textId="77777777" w:rsidR="004140CC" w:rsidRDefault="004140CC">
      <w:pPr>
        <w:pStyle w:val="BodyText"/>
        <w:spacing w:before="11"/>
        <w:rPr>
          <w:sz w:val="23"/>
        </w:rPr>
      </w:pPr>
    </w:p>
    <w:p w14:paraId="49164411" w14:textId="77777777" w:rsidR="004140CC" w:rsidRDefault="00F328DA">
      <w:pPr>
        <w:pStyle w:val="BodyText"/>
        <w:ind w:left="100" w:right="308"/>
      </w:pPr>
      <w:r>
        <w:t>Test coverage is a measurement of the number of tests that have been executed. Test cases are written to ensure maximum coverage of requirements (e.g. software r</w:t>
      </w:r>
      <w:r>
        <w:t>equirements specification, functional requirements specification, user requirements specification, etc.).</w:t>
      </w:r>
    </w:p>
    <w:p w14:paraId="49164412" w14:textId="77777777" w:rsidR="004140CC" w:rsidRDefault="004140CC">
      <w:pPr>
        <w:pStyle w:val="BodyText"/>
        <w:spacing w:before="2"/>
      </w:pPr>
    </w:p>
    <w:p w14:paraId="49164413" w14:textId="77777777" w:rsidR="004140CC" w:rsidRDefault="00F328DA">
      <w:pPr>
        <w:pStyle w:val="BodyText"/>
        <w:ind w:left="100"/>
      </w:pPr>
      <w:r>
        <w:t>Black−box testing techniques:</w:t>
      </w:r>
    </w:p>
    <w:p w14:paraId="49164414" w14:textId="77777777" w:rsidR="004140CC" w:rsidRDefault="00F328DA">
      <w:pPr>
        <w:pStyle w:val="ListParagraph"/>
        <w:numPr>
          <w:ilvl w:val="0"/>
          <w:numId w:val="2"/>
        </w:numPr>
        <w:tabs>
          <w:tab w:val="left" w:pos="640"/>
        </w:tabs>
        <w:rPr>
          <w:sz w:val="24"/>
        </w:rPr>
      </w:pPr>
      <w:r>
        <w:rPr>
          <w:sz w:val="24"/>
        </w:rPr>
        <w:t>Equivalence Partitioning</w:t>
      </w:r>
    </w:p>
    <w:p w14:paraId="49164415" w14:textId="77777777" w:rsidR="004140CC" w:rsidRDefault="00F328DA">
      <w:pPr>
        <w:pStyle w:val="ListParagraph"/>
        <w:numPr>
          <w:ilvl w:val="0"/>
          <w:numId w:val="2"/>
        </w:numPr>
        <w:tabs>
          <w:tab w:val="left" w:pos="640"/>
        </w:tabs>
        <w:rPr>
          <w:sz w:val="24"/>
        </w:rPr>
      </w:pPr>
      <w:r>
        <w:rPr>
          <w:sz w:val="24"/>
        </w:rPr>
        <w:t>Boundary Value Analysis</w:t>
      </w:r>
    </w:p>
    <w:p w14:paraId="49164416" w14:textId="77777777" w:rsidR="004140CC" w:rsidRDefault="00F328DA">
      <w:pPr>
        <w:pStyle w:val="ListParagraph"/>
        <w:numPr>
          <w:ilvl w:val="0"/>
          <w:numId w:val="2"/>
        </w:numPr>
        <w:tabs>
          <w:tab w:val="left" w:pos="640"/>
        </w:tabs>
        <w:rPr>
          <w:sz w:val="24"/>
        </w:rPr>
      </w:pPr>
      <w:r>
        <w:rPr>
          <w:sz w:val="24"/>
        </w:rPr>
        <w:t>Decision Table Testing</w:t>
      </w:r>
    </w:p>
    <w:p w14:paraId="49164417" w14:textId="77777777" w:rsidR="004140CC" w:rsidRDefault="00F328DA">
      <w:pPr>
        <w:pStyle w:val="ListParagraph"/>
        <w:numPr>
          <w:ilvl w:val="0"/>
          <w:numId w:val="2"/>
        </w:numPr>
        <w:tabs>
          <w:tab w:val="left" w:pos="640"/>
        </w:tabs>
        <w:rPr>
          <w:sz w:val="24"/>
        </w:rPr>
      </w:pPr>
      <w:r>
        <w:rPr>
          <w:sz w:val="24"/>
        </w:rPr>
        <w:t>State Transition Testing</w:t>
      </w:r>
    </w:p>
    <w:p w14:paraId="49164418" w14:textId="77777777" w:rsidR="004140CC" w:rsidRDefault="00F328DA">
      <w:pPr>
        <w:pStyle w:val="ListParagraph"/>
        <w:numPr>
          <w:ilvl w:val="0"/>
          <w:numId w:val="2"/>
        </w:numPr>
        <w:tabs>
          <w:tab w:val="left" w:pos="640"/>
        </w:tabs>
        <w:rPr>
          <w:sz w:val="24"/>
        </w:rPr>
      </w:pPr>
      <w:r>
        <w:rPr>
          <w:sz w:val="24"/>
        </w:rPr>
        <w:t>Use Case Testing</w:t>
      </w:r>
    </w:p>
    <w:p w14:paraId="49164419" w14:textId="77777777" w:rsidR="004140CC" w:rsidRDefault="004140CC">
      <w:pPr>
        <w:pStyle w:val="BodyText"/>
        <w:rPr>
          <w:sz w:val="20"/>
        </w:rPr>
      </w:pPr>
    </w:p>
    <w:p w14:paraId="4916441A" w14:textId="77777777" w:rsidR="004140CC" w:rsidRDefault="004140CC">
      <w:pPr>
        <w:pStyle w:val="BodyText"/>
        <w:rPr>
          <w:sz w:val="20"/>
        </w:rPr>
      </w:pPr>
    </w:p>
    <w:p w14:paraId="4916441B" w14:textId="77777777" w:rsidR="004140CC" w:rsidRDefault="004140CC">
      <w:pPr>
        <w:pStyle w:val="BodyText"/>
        <w:spacing w:before="10"/>
        <w:rPr>
          <w:sz w:val="28"/>
        </w:rPr>
      </w:pPr>
    </w:p>
    <w:p w14:paraId="4916441C" w14:textId="77777777" w:rsidR="004140CC" w:rsidRDefault="00F328DA">
      <w:pPr>
        <w:pStyle w:val="Heading1"/>
        <w:spacing w:before="35"/>
        <w:ind w:left="100" w:right="0"/>
        <w:jc w:val="left"/>
      </w:pPr>
      <w:r>
        <w:rPr>
          <w:color w:val="1D4D79"/>
        </w:rPr>
        <w:t>Boundary Value Analysis</w:t>
      </w:r>
    </w:p>
    <w:p w14:paraId="4916441D" w14:textId="77777777" w:rsidR="004140CC" w:rsidRDefault="004140CC">
      <w:pPr>
        <w:pStyle w:val="BodyText"/>
        <w:spacing w:before="2"/>
      </w:pPr>
    </w:p>
    <w:p w14:paraId="4916441E" w14:textId="77777777" w:rsidR="004140CC" w:rsidRDefault="00F328DA">
      <w:pPr>
        <w:pStyle w:val="BodyText"/>
        <w:spacing w:before="1"/>
        <w:ind w:left="100" w:right="104"/>
      </w:pPr>
      <w:r>
        <w:t>Boundary value analysis is a refinement/extension of the equivalence partitioning technique. Recall that the equivalence partitioning technique divides a set of test conditions/data into</w:t>
      </w:r>
      <w:r>
        <w:t xml:space="preserve"> partitions/ equivalence classes, where all the elements that belong to the same partition/equivalence are expected to be considered the same, so the software system should process/handle them in the same way (i.e. handle them equivalently). The boundary v</w:t>
      </w:r>
      <w:r>
        <w:t>alue analysis technique can be applied only for ordered partitions, formed from numeric or sequential data.</w:t>
      </w:r>
    </w:p>
    <w:p w14:paraId="4916441F" w14:textId="77777777" w:rsidR="004140CC" w:rsidRDefault="004140CC">
      <w:pPr>
        <w:pStyle w:val="BodyText"/>
      </w:pPr>
    </w:p>
    <w:p w14:paraId="49164420" w14:textId="77777777" w:rsidR="004140CC" w:rsidRDefault="00F328DA">
      <w:pPr>
        <w:pStyle w:val="BodyText"/>
        <w:spacing w:before="1"/>
        <w:ind w:left="100" w:right="313"/>
      </w:pPr>
      <w:r>
        <w:t>For boundary value analysis, each limit of an equivalence class is covered by a test, together with a value just above and just below the limit.</w:t>
      </w:r>
    </w:p>
    <w:p w14:paraId="49164421" w14:textId="77777777" w:rsidR="004140CC" w:rsidRDefault="004140CC">
      <w:pPr>
        <w:pStyle w:val="BodyText"/>
        <w:spacing w:before="11"/>
        <w:rPr>
          <w:sz w:val="23"/>
        </w:rPr>
      </w:pPr>
    </w:p>
    <w:p w14:paraId="49164422" w14:textId="77777777" w:rsidR="004140CC" w:rsidRDefault="00F328DA">
      <w:pPr>
        <w:ind w:left="100" w:right="73"/>
        <w:rPr>
          <w:i/>
          <w:sz w:val="24"/>
        </w:rPr>
      </w:pPr>
      <w:r>
        <w:rPr>
          <w:b/>
          <w:sz w:val="24"/>
        </w:rPr>
        <w:t>K</w:t>
      </w:r>
      <w:r>
        <w:rPr>
          <w:b/>
          <w:sz w:val="24"/>
        </w:rPr>
        <w:t xml:space="preserve">ey Insight: </w:t>
      </w:r>
      <w:r>
        <w:rPr>
          <w:i/>
          <w:sz w:val="24"/>
        </w:rPr>
        <w:t>the behavior at the boundaries of equivalence partitions is more likely to be incorrect than behavior within the partitions.</w:t>
      </w:r>
    </w:p>
    <w:p w14:paraId="49164423" w14:textId="77777777" w:rsidR="004140CC" w:rsidRDefault="004140CC">
      <w:pPr>
        <w:pStyle w:val="BodyText"/>
        <w:rPr>
          <w:i/>
        </w:rPr>
      </w:pPr>
    </w:p>
    <w:p w14:paraId="49164424" w14:textId="77777777" w:rsidR="004140CC" w:rsidRDefault="004140CC">
      <w:pPr>
        <w:pStyle w:val="BodyText"/>
        <w:rPr>
          <w:i/>
        </w:rPr>
      </w:pPr>
    </w:p>
    <w:p w14:paraId="49164425" w14:textId="77777777" w:rsidR="004140CC" w:rsidRDefault="00F328DA">
      <w:pPr>
        <w:ind w:left="100"/>
        <w:rPr>
          <w:b/>
          <w:sz w:val="28"/>
        </w:rPr>
      </w:pPr>
      <w:r>
        <w:rPr>
          <w:b/>
          <w:sz w:val="28"/>
        </w:rPr>
        <w:t>Exercises</w:t>
      </w:r>
    </w:p>
    <w:p w14:paraId="49164426" w14:textId="77777777" w:rsidR="004140CC" w:rsidRDefault="004140CC">
      <w:pPr>
        <w:rPr>
          <w:sz w:val="28"/>
        </w:rPr>
        <w:sectPr w:rsidR="004140CC">
          <w:type w:val="continuous"/>
          <w:pgSz w:w="11910" w:h="16840"/>
          <w:pgMar w:top="700" w:right="1180" w:bottom="280" w:left="1340" w:header="720" w:footer="720" w:gutter="0"/>
          <w:cols w:space="720"/>
        </w:sectPr>
      </w:pPr>
    </w:p>
    <w:p w14:paraId="49164427" w14:textId="77777777" w:rsidR="004140CC" w:rsidRDefault="00F328DA">
      <w:pPr>
        <w:pStyle w:val="ListParagraph"/>
        <w:numPr>
          <w:ilvl w:val="0"/>
          <w:numId w:val="1"/>
        </w:numPr>
        <w:tabs>
          <w:tab w:val="left" w:pos="640"/>
        </w:tabs>
        <w:spacing w:before="33"/>
        <w:rPr>
          <w:sz w:val="24"/>
        </w:rPr>
      </w:pPr>
      <w:r>
        <w:rPr>
          <w:sz w:val="24"/>
        </w:rPr>
        <w:lastRenderedPageBreak/>
        <w:t>A marks input form includes an integer field that should contain values between 1 and</w:t>
      </w:r>
    </w:p>
    <w:p w14:paraId="49164428" w14:textId="64AD4B9C" w:rsidR="004140CC" w:rsidRDefault="00F328DA">
      <w:pPr>
        <w:pStyle w:val="BodyText"/>
        <w:ind w:left="640" w:right="343"/>
      </w:pPr>
      <w:r>
        <w:t>100. Apply the boundary value analysis technique to identify all the test values so that boundary coverage is achieved.</w:t>
      </w:r>
    </w:p>
    <w:p w14:paraId="673A832D" w14:textId="4AC73794" w:rsidR="00CF06E6" w:rsidRDefault="00CF06E6">
      <w:pPr>
        <w:pStyle w:val="BodyText"/>
        <w:ind w:left="640" w:right="343"/>
      </w:pPr>
    </w:p>
    <w:p w14:paraId="42C35974" w14:textId="708C4E5C" w:rsidR="00CF06E6" w:rsidRDefault="00CF06E6" w:rsidP="00CF06E6">
      <w:pPr>
        <w:pStyle w:val="BodyText"/>
        <w:numPr>
          <w:ilvl w:val="0"/>
          <w:numId w:val="3"/>
        </w:numPr>
        <w:ind w:right="343"/>
      </w:pPr>
      <w:r>
        <w:t>Any Number greater than 1</w:t>
      </w:r>
      <w:r>
        <w:t>0</w:t>
      </w:r>
      <w:r>
        <w:t>0 entered is considered invalid.</w:t>
      </w:r>
    </w:p>
    <w:p w14:paraId="5B4B8BE2" w14:textId="77777777" w:rsidR="00CF06E6" w:rsidRDefault="00CF06E6" w:rsidP="00CF06E6">
      <w:pPr>
        <w:pStyle w:val="BodyText"/>
        <w:numPr>
          <w:ilvl w:val="0"/>
          <w:numId w:val="3"/>
        </w:numPr>
        <w:ind w:right="343"/>
      </w:pPr>
      <w:r>
        <w:t>Any Number less than 1 that is 0 or below, then it is considered invalid.</w:t>
      </w:r>
    </w:p>
    <w:p w14:paraId="7C4247A5" w14:textId="51A723F8" w:rsidR="00CF06E6" w:rsidRDefault="00CF06E6" w:rsidP="00CF06E6">
      <w:pPr>
        <w:pStyle w:val="BodyText"/>
        <w:numPr>
          <w:ilvl w:val="0"/>
          <w:numId w:val="3"/>
        </w:numPr>
        <w:ind w:right="343"/>
      </w:pPr>
      <w:r>
        <w:t>Numbers 1 to 1</w:t>
      </w:r>
      <w:r>
        <w:t>0</w:t>
      </w:r>
      <w:r>
        <w:t>0 are considered valid</w:t>
      </w:r>
    </w:p>
    <w:p w14:paraId="57AC07A0" w14:textId="25C311D7" w:rsidR="00CF06E6" w:rsidRDefault="00CF06E6" w:rsidP="00CF06E6">
      <w:pPr>
        <w:pStyle w:val="BodyText"/>
        <w:numPr>
          <w:ilvl w:val="0"/>
          <w:numId w:val="3"/>
        </w:numPr>
        <w:ind w:right="343"/>
      </w:pPr>
      <w:r>
        <w:t xml:space="preserve">Any </w:t>
      </w:r>
      <w:r>
        <w:t>4</w:t>
      </w:r>
      <w:r>
        <w:t xml:space="preserve"> Digit Number say 100</w:t>
      </w:r>
      <w:r>
        <w:t>0 or -1000</w:t>
      </w:r>
      <w:r>
        <w:t xml:space="preserve"> is invalid.</w:t>
      </w:r>
    </w:p>
    <w:p w14:paraId="30877326" w14:textId="1673780E" w:rsidR="002B06BE" w:rsidRDefault="002B06BE">
      <w:pPr>
        <w:pStyle w:val="BodyText"/>
        <w:ind w:left="640" w:right="343"/>
      </w:pPr>
    </w:p>
    <w:p w14:paraId="1523DF63" w14:textId="6EAE46A9" w:rsidR="002B06BE" w:rsidRDefault="002B06BE">
      <w:pPr>
        <w:pStyle w:val="BodyText"/>
        <w:ind w:left="640" w:right="343"/>
      </w:pPr>
    </w:p>
    <w:tbl>
      <w:tblPr>
        <w:tblStyle w:val="TableGrid"/>
        <w:tblW w:w="9145" w:type="dxa"/>
        <w:tblInd w:w="640" w:type="dxa"/>
        <w:tblLook w:val="04A0" w:firstRow="1" w:lastRow="0" w:firstColumn="1" w:lastColumn="0" w:noHBand="0" w:noVBand="1"/>
      </w:tblPr>
      <w:tblGrid>
        <w:gridCol w:w="2291"/>
        <w:gridCol w:w="2270"/>
        <w:gridCol w:w="2292"/>
        <w:gridCol w:w="2292"/>
      </w:tblGrid>
      <w:tr w:rsidR="0053268A" w14:paraId="76033779" w14:textId="77777777" w:rsidTr="00C02100">
        <w:trPr>
          <w:trHeight w:val="551"/>
        </w:trPr>
        <w:tc>
          <w:tcPr>
            <w:tcW w:w="2291" w:type="dxa"/>
          </w:tcPr>
          <w:p w14:paraId="32019616" w14:textId="55FAEBE0" w:rsidR="003B1F7D" w:rsidRDefault="00DD630A">
            <w:pPr>
              <w:pStyle w:val="BodyText"/>
              <w:ind w:right="343"/>
            </w:pPr>
            <w:r>
              <w:rPr>
                <w:noProof/>
              </w:rPr>
              <w:pict w14:anchorId="17F5BDBC">
                <v:oval id="_x0000_s1031" style="position:absolute;margin-left:77.1pt;margin-top:12.35pt;width:60.65pt;height:49.25pt;z-index:251663360" fillcolor="#c0504d [3205]" strokecolor="#f2f2f2 [3041]" strokeweight="3pt">
                  <v:fill opacity="6554f"/>
                  <v:shadow on="t" type="perspective" color="#622423 [1605]" opacity=".5" offset="1pt" offset2="-1pt"/>
                </v:oval>
              </w:pict>
            </w:r>
            <w:r w:rsidR="003B1F7D">
              <w:t>In</w:t>
            </w:r>
            <w:r w:rsidR="0053268A">
              <w:t>valid</w:t>
            </w:r>
          </w:p>
        </w:tc>
        <w:tc>
          <w:tcPr>
            <w:tcW w:w="2270" w:type="dxa"/>
          </w:tcPr>
          <w:p w14:paraId="01E7A183" w14:textId="0D400B6C" w:rsidR="003B1F7D" w:rsidRDefault="00DD630A">
            <w:pPr>
              <w:pStyle w:val="BodyText"/>
              <w:ind w:right="343"/>
            </w:pPr>
            <w:r>
              <w:rPr>
                <w:noProof/>
              </w:rPr>
              <w:pict w14:anchorId="17F5BDBC">
                <v:oval id="_x0000_s1032" style="position:absolute;margin-left:62.45pt;margin-top:12.6pt;width:79.35pt;height:49.25pt;z-index:251664384;mso-position-horizontal-relative:text;mso-position-vertical-relative:text" fillcolor="#c0504d [3205]" strokecolor="#f2f2f2 [3041]" strokeweight="3pt">
                  <v:fill opacity="6554f"/>
                  <v:shadow on="t" type="perspective" color="#622423 [1605]" opacity=".5" offset="1pt" offset2="-1pt"/>
                </v:oval>
              </w:pict>
            </w:r>
            <w:r w:rsidR="0053268A">
              <w:t>Valid</w:t>
            </w:r>
          </w:p>
        </w:tc>
        <w:tc>
          <w:tcPr>
            <w:tcW w:w="2292" w:type="dxa"/>
          </w:tcPr>
          <w:p w14:paraId="2E2BD810" w14:textId="6D02D678" w:rsidR="003B1F7D" w:rsidRDefault="00DD630A">
            <w:pPr>
              <w:pStyle w:val="BodyText"/>
              <w:ind w:right="343"/>
            </w:pPr>
            <w:r>
              <w:rPr>
                <w:noProof/>
              </w:rPr>
              <w:pict w14:anchorId="17F5BDBC">
                <v:oval id="_x0000_s1033" style="position:absolute;margin-left:63.05pt;margin-top:12.6pt;width:82.5pt;height:49.25pt;z-index:251665408;mso-position-horizontal-relative:text;mso-position-vertical-relative:text" fillcolor="#c0504d [3205]" strokecolor="#f2f2f2 [3041]" strokeweight="3pt">
                  <v:fill opacity="6554f"/>
                  <v:shadow on="t" type="perspective" color="#622423 [1605]" opacity=".5" offset="1pt" offset2="-1pt"/>
                </v:oval>
              </w:pict>
            </w:r>
            <w:r w:rsidR="0053268A">
              <w:t>Invalid</w:t>
            </w:r>
          </w:p>
        </w:tc>
        <w:tc>
          <w:tcPr>
            <w:tcW w:w="2292" w:type="dxa"/>
          </w:tcPr>
          <w:p w14:paraId="630C9D81" w14:textId="03EC9E12" w:rsidR="003B1F7D" w:rsidRDefault="0053268A">
            <w:pPr>
              <w:pStyle w:val="BodyText"/>
              <w:ind w:right="343"/>
            </w:pPr>
            <w:r>
              <w:t>Invalid</w:t>
            </w:r>
          </w:p>
        </w:tc>
      </w:tr>
      <w:tr w:rsidR="0053268A" w14:paraId="23F6A82C" w14:textId="77777777" w:rsidTr="00C02100">
        <w:trPr>
          <w:trHeight w:val="570"/>
        </w:trPr>
        <w:tc>
          <w:tcPr>
            <w:tcW w:w="2291" w:type="dxa"/>
          </w:tcPr>
          <w:p w14:paraId="74742673" w14:textId="7A6A74F4" w:rsidR="003B1F7D" w:rsidRDefault="00DD630A">
            <w:pPr>
              <w:pStyle w:val="BodyText"/>
              <w:ind w:right="343"/>
            </w:pPr>
            <w:r>
              <w:rPr>
                <w:noProof/>
              </w:rPr>
              <w:pict w14:anchorId="5B147E24">
                <v:roundrect id="_x0000_s1030" style="position:absolute;margin-left:-2.9pt;margin-top:1.55pt;width:101pt;height:17.5pt;z-index:251662336;mso-position-horizontal-relative:text;mso-position-vertical-relative:text" arcsize="10923f" fillcolor="#4f81bd [3204]" strokecolor="#f2f2f2 [3041]" strokeweight="3pt">
                  <v:fill opacity="13763f"/>
                  <v:shadow on="t" type="perspective" color="#243f60 [1604]" opacity=".5" offset="1pt" offset2="-1pt"/>
                </v:roundrect>
              </w:pict>
            </w:r>
            <w:r w:rsidR="0053268A">
              <w:t>0</w:t>
            </w:r>
          </w:p>
        </w:tc>
        <w:tc>
          <w:tcPr>
            <w:tcW w:w="2270" w:type="dxa"/>
          </w:tcPr>
          <w:p w14:paraId="26F3EF9B" w14:textId="14C23B52" w:rsidR="003B1F7D" w:rsidRDefault="009D27CA" w:rsidP="00FE156E">
            <w:pPr>
              <w:pStyle w:val="BodyText"/>
              <w:ind w:right="343"/>
              <w:jc w:val="center"/>
            </w:pPr>
            <w:r>
              <w:rPr>
                <w:noProof/>
              </w:rPr>
              <w:pict w14:anchorId="5B147E24">
                <v:roundrect id="_x0000_s1027" style="position:absolute;left:0;text-align:left;margin-left:-.2pt;margin-top:1.8pt;width:103.5pt;height:17.5pt;z-index:251659264;mso-position-horizontal-relative:text;mso-position-vertical-relative:text" arcsize="10923f" fillcolor="#4f81bd [3204]" strokecolor="#f2f2f2 [3041]" strokeweight="3pt">
                  <v:fill opacity="13763f"/>
                  <v:shadow on="t" type="perspective" color="#243f60 [1604]" opacity=".5" offset="1pt" offset2="-1pt"/>
                </v:roundrect>
              </w:pict>
            </w:r>
            <w:r w:rsidR="00FE156E">
              <w:t>1                     100</w:t>
            </w:r>
          </w:p>
        </w:tc>
        <w:tc>
          <w:tcPr>
            <w:tcW w:w="2292" w:type="dxa"/>
          </w:tcPr>
          <w:p w14:paraId="773BE173" w14:textId="1DFA0EDF" w:rsidR="003B1F7D" w:rsidRDefault="00DD630A" w:rsidP="00C02100">
            <w:pPr>
              <w:pStyle w:val="BodyText"/>
              <w:ind w:right="343"/>
              <w:jc w:val="center"/>
            </w:pPr>
            <w:r>
              <w:rPr>
                <w:noProof/>
              </w:rPr>
              <w:pict w14:anchorId="5B147E24">
                <v:roundrect id="_x0000_s1028" style="position:absolute;left:0;text-align:left;margin-left:-.7pt;margin-top:1.55pt;width:101pt;height:17.5pt;z-index:251660288;mso-position-horizontal-relative:text;mso-position-vertical-relative:text" arcsize="10923f" fillcolor="#4f81bd [3204]" strokecolor="#f2f2f2 [3041]" strokeweight="3pt">
                  <v:fill opacity="13763f"/>
                  <v:shadow on="t" type="perspective" color="#243f60 [1604]" opacity=".5" offset="1pt" offset2="-1pt"/>
                </v:roundrect>
              </w:pict>
            </w:r>
            <w:r w:rsidR="00C02100">
              <w:t>101                 999</w:t>
            </w:r>
          </w:p>
        </w:tc>
        <w:tc>
          <w:tcPr>
            <w:tcW w:w="2292" w:type="dxa"/>
          </w:tcPr>
          <w:p w14:paraId="4F44F84E" w14:textId="1D194D11" w:rsidR="003B1F7D" w:rsidRDefault="00DD630A">
            <w:pPr>
              <w:pStyle w:val="BodyText"/>
              <w:ind w:right="343"/>
            </w:pPr>
            <w:r>
              <w:rPr>
                <w:noProof/>
              </w:rPr>
              <w:pict w14:anchorId="5B147E24">
                <v:roundrect id="_x0000_s1029" style="position:absolute;margin-left:-3.05pt;margin-top:1.55pt;width:101pt;height:17.5pt;z-index:251661312;mso-position-horizontal-relative:text;mso-position-vertical-relative:text" arcsize="10923f" fillcolor="#4f81bd [3204]" strokecolor="#f2f2f2 [3041]" strokeweight="3pt">
                  <v:fill opacity="13763f"/>
                  <v:shadow on="t" type="perspective" color="#243f60 [1604]" opacity=".5" offset="1pt" offset2="-1pt"/>
                </v:roundrect>
              </w:pict>
            </w:r>
            <w:r w:rsidR="00C02100">
              <w:t>1000</w:t>
            </w:r>
          </w:p>
        </w:tc>
      </w:tr>
    </w:tbl>
    <w:p w14:paraId="04328F55" w14:textId="77777777" w:rsidR="002B06BE" w:rsidRDefault="002B06BE">
      <w:pPr>
        <w:pStyle w:val="BodyText"/>
        <w:ind w:left="640" w:right="343"/>
      </w:pPr>
    </w:p>
    <w:p w14:paraId="49164429" w14:textId="6023C766" w:rsidR="004140CC" w:rsidRDefault="007604E6">
      <w:pPr>
        <w:pStyle w:val="BodyText"/>
        <w:spacing w:before="8"/>
        <w:rPr>
          <w:sz w:val="22"/>
          <w:szCs w:val="32"/>
        </w:rPr>
      </w:pPr>
      <w:r w:rsidRPr="007604E6">
        <w:rPr>
          <w:sz w:val="22"/>
          <w:szCs w:val="32"/>
        </w:rPr>
        <w:t>Boundary Value Analysis- in Boundary Value Analysis, you test boundaries between equivalence partitions</w:t>
      </w:r>
    </w:p>
    <w:p w14:paraId="57A5874B" w14:textId="77777777" w:rsidR="00DD630A" w:rsidRDefault="00DD630A">
      <w:pPr>
        <w:pStyle w:val="BodyText"/>
        <w:spacing w:before="8"/>
        <w:rPr>
          <w:sz w:val="22"/>
          <w:szCs w:val="32"/>
        </w:rPr>
      </w:pPr>
    </w:p>
    <w:p w14:paraId="6543172C" w14:textId="04443007" w:rsidR="00DD630A" w:rsidRDefault="00DD630A">
      <w:pPr>
        <w:pStyle w:val="BodyText"/>
        <w:spacing w:before="8"/>
        <w:rPr>
          <w:sz w:val="22"/>
          <w:szCs w:val="32"/>
        </w:rPr>
      </w:pPr>
      <w:r>
        <w:rPr>
          <w:sz w:val="22"/>
          <w:szCs w:val="32"/>
        </w:rPr>
        <w:t>Sample tests:</w:t>
      </w:r>
    </w:p>
    <w:p w14:paraId="46F31F9C" w14:textId="060796A6" w:rsidR="00DD630A" w:rsidRDefault="00DD630A">
      <w:pPr>
        <w:pStyle w:val="BodyText"/>
        <w:spacing w:before="8"/>
        <w:rPr>
          <w:sz w:val="22"/>
          <w:szCs w:val="32"/>
        </w:rPr>
      </w:pPr>
      <w:r>
        <w:rPr>
          <w:sz w:val="22"/>
          <w:szCs w:val="32"/>
        </w:rPr>
        <w:t xml:space="preserve">Test cases of entering the value </w:t>
      </w:r>
      <w:r w:rsidR="00F328DA">
        <w:rPr>
          <w:sz w:val="22"/>
          <w:szCs w:val="32"/>
        </w:rPr>
        <w:t>0</w:t>
      </w:r>
    </w:p>
    <w:p w14:paraId="4DB47C0A" w14:textId="501D7CBC" w:rsidR="00F328DA" w:rsidRDefault="00F328DA" w:rsidP="00F328DA">
      <w:pPr>
        <w:pStyle w:val="BodyText"/>
        <w:spacing w:before="8"/>
        <w:rPr>
          <w:sz w:val="22"/>
          <w:szCs w:val="32"/>
        </w:rPr>
      </w:pPr>
      <w:r>
        <w:rPr>
          <w:sz w:val="22"/>
          <w:szCs w:val="32"/>
        </w:rPr>
        <w:t xml:space="preserve">Test cases of entering the value </w:t>
      </w:r>
      <w:r>
        <w:rPr>
          <w:sz w:val="22"/>
          <w:szCs w:val="32"/>
        </w:rPr>
        <w:t>1</w:t>
      </w:r>
    </w:p>
    <w:p w14:paraId="1647247F" w14:textId="0589356E" w:rsidR="00F328DA" w:rsidRDefault="00F328DA" w:rsidP="00F328DA">
      <w:pPr>
        <w:pStyle w:val="BodyText"/>
        <w:spacing w:before="8"/>
        <w:rPr>
          <w:sz w:val="22"/>
          <w:szCs w:val="32"/>
        </w:rPr>
      </w:pPr>
      <w:r>
        <w:rPr>
          <w:sz w:val="22"/>
          <w:szCs w:val="32"/>
        </w:rPr>
        <w:t xml:space="preserve">Test cases of entering the value </w:t>
      </w:r>
      <w:r>
        <w:rPr>
          <w:sz w:val="22"/>
          <w:szCs w:val="32"/>
        </w:rPr>
        <w:t>2</w:t>
      </w:r>
    </w:p>
    <w:p w14:paraId="7C6A4961" w14:textId="7D9F5042" w:rsidR="00F328DA" w:rsidRDefault="00F328DA" w:rsidP="00F328DA">
      <w:pPr>
        <w:pStyle w:val="BodyText"/>
        <w:spacing w:before="8"/>
        <w:rPr>
          <w:sz w:val="22"/>
          <w:szCs w:val="32"/>
        </w:rPr>
      </w:pPr>
      <w:r>
        <w:rPr>
          <w:sz w:val="22"/>
          <w:szCs w:val="32"/>
        </w:rPr>
        <w:t xml:space="preserve">Test cases of entering the value </w:t>
      </w:r>
      <w:r>
        <w:rPr>
          <w:sz w:val="22"/>
          <w:szCs w:val="32"/>
        </w:rPr>
        <w:t>99</w:t>
      </w:r>
    </w:p>
    <w:p w14:paraId="4603D5AC" w14:textId="77ADBE02" w:rsidR="00F328DA" w:rsidRDefault="00F328DA" w:rsidP="00F328DA">
      <w:pPr>
        <w:pStyle w:val="BodyText"/>
        <w:spacing w:before="8"/>
        <w:rPr>
          <w:sz w:val="22"/>
          <w:szCs w:val="32"/>
        </w:rPr>
      </w:pPr>
      <w:r>
        <w:rPr>
          <w:sz w:val="22"/>
          <w:szCs w:val="32"/>
        </w:rPr>
        <w:t xml:space="preserve">Test cases of entering the value </w:t>
      </w:r>
      <w:r>
        <w:rPr>
          <w:sz w:val="22"/>
          <w:szCs w:val="32"/>
        </w:rPr>
        <w:t>100</w:t>
      </w:r>
    </w:p>
    <w:p w14:paraId="5F5F56D3" w14:textId="6B37C787" w:rsidR="00F328DA" w:rsidRDefault="00F328DA" w:rsidP="00F328DA">
      <w:pPr>
        <w:pStyle w:val="BodyText"/>
        <w:spacing w:before="8"/>
        <w:rPr>
          <w:sz w:val="22"/>
          <w:szCs w:val="32"/>
        </w:rPr>
      </w:pPr>
      <w:r>
        <w:rPr>
          <w:sz w:val="22"/>
          <w:szCs w:val="32"/>
        </w:rPr>
        <w:t xml:space="preserve">Test cases of entering the value </w:t>
      </w:r>
      <w:r>
        <w:rPr>
          <w:sz w:val="22"/>
          <w:szCs w:val="32"/>
        </w:rPr>
        <w:t>999</w:t>
      </w:r>
    </w:p>
    <w:p w14:paraId="55EE82DF" w14:textId="5A75CAFD" w:rsidR="00F328DA" w:rsidRDefault="00F328DA" w:rsidP="00F328DA">
      <w:pPr>
        <w:pStyle w:val="BodyText"/>
        <w:spacing w:before="8"/>
        <w:rPr>
          <w:sz w:val="22"/>
          <w:szCs w:val="32"/>
        </w:rPr>
      </w:pPr>
      <w:r>
        <w:rPr>
          <w:sz w:val="22"/>
          <w:szCs w:val="32"/>
        </w:rPr>
        <w:t xml:space="preserve">Test cases of entering the value </w:t>
      </w:r>
      <w:r>
        <w:rPr>
          <w:sz w:val="22"/>
          <w:szCs w:val="32"/>
        </w:rPr>
        <w:t>1000</w:t>
      </w:r>
    </w:p>
    <w:p w14:paraId="63D6E45E" w14:textId="77777777" w:rsidR="00F328DA" w:rsidRDefault="00F328DA" w:rsidP="00F328DA">
      <w:pPr>
        <w:pStyle w:val="BodyText"/>
        <w:spacing w:before="8"/>
        <w:rPr>
          <w:sz w:val="22"/>
          <w:szCs w:val="32"/>
        </w:rPr>
      </w:pPr>
    </w:p>
    <w:p w14:paraId="7BD3838A" w14:textId="77777777" w:rsidR="00F328DA" w:rsidRDefault="00F328DA" w:rsidP="00F328DA">
      <w:pPr>
        <w:pStyle w:val="BodyText"/>
        <w:spacing w:before="8"/>
        <w:rPr>
          <w:sz w:val="22"/>
          <w:szCs w:val="32"/>
        </w:rPr>
      </w:pPr>
    </w:p>
    <w:p w14:paraId="6C2B2197" w14:textId="77777777" w:rsidR="00F328DA" w:rsidRDefault="00F328DA">
      <w:pPr>
        <w:pStyle w:val="BodyText"/>
        <w:spacing w:before="8"/>
        <w:rPr>
          <w:sz w:val="22"/>
          <w:szCs w:val="32"/>
        </w:rPr>
      </w:pPr>
    </w:p>
    <w:p w14:paraId="1B1A6F12" w14:textId="77777777" w:rsidR="00DD630A" w:rsidRDefault="00DD630A">
      <w:pPr>
        <w:pStyle w:val="BodyText"/>
        <w:spacing w:before="8"/>
        <w:rPr>
          <w:sz w:val="22"/>
          <w:szCs w:val="32"/>
        </w:rPr>
      </w:pPr>
    </w:p>
    <w:p w14:paraId="3C362165" w14:textId="3339FFD9" w:rsidR="007604E6" w:rsidRDefault="007604E6">
      <w:pPr>
        <w:pStyle w:val="BodyText"/>
        <w:spacing w:before="8"/>
        <w:rPr>
          <w:sz w:val="22"/>
          <w:szCs w:val="32"/>
        </w:rPr>
      </w:pPr>
    </w:p>
    <w:p w14:paraId="53190651" w14:textId="77777777" w:rsidR="009D27CA" w:rsidRPr="007604E6" w:rsidRDefault="009D27CA">
      <w:pPr>
        <w:pStyle w:val="BodyText"/>
        <w:spacing w:before="8"/>
        <w:rPr>
          <w:sz w:val="22"/>
          <w:szCs w:val="32"/>
        </w:rPr>
      </w:pPr>
    </w:p>
    <w:p w14:paraId="375321C6" w14:textId="77777777" w:rsidR="007604E6" w:rsidRDefault="007604E6" w:rsidP="007604E6">
      <w:pPr>
        <w:pStyle w:val="ListParagraph"/>
        <w:tabs>
          <w:tab w:val="left" w:pos="640"/>
        </w:tabs>
        <w:spacing w:before="52"/>
        <w:ind w:right="193" w:firstLine="0"/>
        <w:rPr>
          <w:sz w:val="24"/>
        </w:rPr>
      </w:pPr>
    </w:p>
    <w:p w14:paraId="36674379" w14:textId="77777777" w:rsidR="007604E6" w:rsidRDefault="007604E6" w:rsidP="007604E6">
      <w:pPr>
        <w:pStyle w:val="ListParagraph"/>
        <w:tabs>
          <w:tab w:val="left" w:pos="640"/>
        </w:tabs>
        <w:spacing w:before="52"/>
        <w:ind w:right="193" w:firstLine="0"/>
        <w:rPr>
          <w:sz w:val="24"/>
        </w:rPr>
      </w:pPr>
    </w:p>
    <w:p w14:paraId="4916442A" w14:textId="0B437835" w:rsidR="004140CC" w:rsidRDefault="00F328DA">
      <w:pPr>
        <w:pStyle w:val="ListParagraph"/>
        <w:numPr>
          <w:ilvl w:val="0"/>
          <w:numId w:val="1"/>
        </w:numPr>
        <w:tabs>
          <w:tab w:val="left" w:pos="640"/>
        </w:tabs>
        <w:spacing w:before="52"/>
        <w:ind w:right="193"/>
        <w:rPr>
          <w:sz w:val="24"/>
        </w:rPr>
      </w:pPr>
      <w:r>
        <w:rPr>
          <w:sz w:val="24"/>
        </w:rPr>
        <w:t>An input box accepts a single integer value as an input which represents the age of a person. Based on the age entered it should be dec</w:t>
      </w:r>
      <w:r>
        <w:rPr>
          <w:sz w:val="24"/>
        </w:rPr>
        <w:t xml:space="preserve">ided whether the person is legible to drive (i.e. age between 17 inclusive and 70 inclusive). Apply the boundary value </w:t>
      </w:r>
      <w:r>
        <w:rPr>
          <w:spacing w:val="-3"/>
          <w:sz w:val="24"/>
        </w:rPr>
        <w:t xml:space="preserve">analysis </w:t>
      </w:r>
      <w:r>
        <w:rPr>
          <w:sz w:val="24"/>
        </w:rPr>
        <w:t>technique to identify all the test values so that boundary coverage is achieved.</w:t>
      </w:r>
    </w:p>
    <w:p w14:paraId="4916442B" w14:textId="77777777" w:rsidR="004140CC" w:rsidRDefault="004140CC">
      <w:pPr>
        <w:pStyle w:val="BodyText"/>
        <w:rPr>
          <w:sz w:val="20"/>
        </w:rPr>
      </w:pPr>
    </w:p>
    <w:p w14:paraId="4916442C" w14:textId="77777777" w:rsidR="004140CC" w:rsidRDefault="004140CC">
      <w:pPr>
        <w:pStyle w:val="BodyText"/>
        <w:spacing w:before="11"/>
        <w:rPr>
          <w:sz w:val="23"/>
        </w:rPr>
      </w:pPr>
    </w:p>
    <w:p w14:paraId="4916442D" w14:textId="77777777" w:rsidR="004140CC" w:rsidRDefault="00F328DA">
      <w:pPr>
        <w:pStyle w:val="ListParagraph"/>
        <w:numPr>
          <w:ilvl w:val="0"/>
          <w:numId w:val="1"/>
        </w:numPr>
        <w:tabs>
          <w:tab w:val="left" w:pos="640"/>
        </w:tabs>
        <w:spacing w:before="51" w:after="29"/>
        <w:ind w:right="333"/>
        <w:rPr>
          <w:sz w:val="24"/>
        </w:rPr>
      </w:pPr>
      <w:r>
        <w:rPr>
          <w:sz w:val="24"/>
        </w:rPr>
        <w:t xml:space="preserve">You are required to test a system that based on the entered achieved overall programme grade assigns an award classification. Based on the overall grade </w:t>
      </w:r>
      <w:r>
        <w:rPr>
          <w:spacing w:val="-3"/>
          <w:sz w:val="24"/>
        </w:rPr>
        <w:t xml:space="preserve">achieved </w:t>
      </w:r>
      <w:r>
        <w:rPr>
          <w:sz w:val="24"/>
        </w:rPr>
        <w:t>the classification are as follows:</w:t>
      </w:r>
    </w:p>
    <w:tbl>
      <w:tblPr>
        <w:tblW w:w="0" w:type="auto"/>
        <w:tblInd w:w="1118" w:type="dxa"/>
        <w:tblBorders>
          <w:top w:val="single" w:sz="6" w:space="0" w:color="898785"/>
          <w:left w:val="single" w:sz="6" w:space="0" w:color="898785"/>
          <w:bottom w:val="single" w:sz="6" w:space="0" w:color="898785"/>
          <w:right w:val="single" w:sz="6" w:space="0" w:color="898785"/>
          <w:insideH w:val="single" w:sz="6" w:space="0" w:color="898785"/>
          <w:insideV w:val="single" w:sz="6" w:space="0" w:color="89878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843"/>
      </w:tblGrid>
      <w:tr w:rsidR="004140CC" w14:paraId="49164430" w14:textId="77777777">
        <w:trPr>
          <w:trHeight w:val="378"/>
        </w:trPr>
        <w:tc>
          <w:tcPr>
            <w:tcW w:w="1066" w:type="dxa"/>
          </w:tcPr>
          <w:p w14:paraId="4916442E" w14:textId="77777777" w:rsidR="004140CC" w:rsidRDefault="00F328DA">
            <w:pPr>
              <w:pStyle w:val="TableParagraph"/>
              <w:ind w:right="36"/>
              <w:jc w:val="right"/>
              <w:rPr>
                <w:sz w:val="24"/>
              </w:rPr>
            </w:pPr>
            <w:r>
              <w:rPr>
                <w:sz w:val="24"/>
              </w:rPr>
              <w:t>0 − 39</w:t>
            </w:r>
          </w:p>
        </w:tc>
        <w:tc>
          <w:tcPr>
            <w:tcW w:w="843" w:type="dxa"/>
          </w:tcPr>
          <w:p w14:paraId="4916442F" w14:textId="77777777" w:rsidR="004140CC" w:rsidRDefault="00F328DA"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4140CC" w14:paraId="49164433" w14:textId="77777777">
        <w:trPr>
          <w:trHeight w:val="376"/>
        </w:trPr>
        <w:tc>
          <w:tcPr>
            <w:tcW w:w="1066" w:type="dxa"/>
          </w:tcPr>
          <w:p w14:paraId="49164431" w14:textId="77777777" w:rsidR="004140CC" w:rsidRDefault="00F328DA">
            <w:pPr>
              <w:pStyle w:val="TableParagraph"/>
              <w:ind w:right="35"/>
              <w:jc w:val="right"/>
              <w:rPr>
                <w:sz w:val="24"/>
              </w:rPr>
            </w:pPr>
            <w:r>
              <w:rPr>
                <w:sz w:val="24"/>
              </w:rPr>
              <w:t>40 − 49</w:t>
            </w:r>
          </w:p>
        </w:tc>
        <w:tc>
          <w:tcPr>
            <w:tcW w:w="843" w:type="dxa"/>
          </w:tcPr>
          <w:p w14:paraId="49164432" w14:textId="77777777" w:rsidR="004140CC" w:rsidRDefault="00F328DA"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4140CC" w14:paraId="49164436" w14:textId="77777777">
        <w:trPr>
          <w:trHeight w:val="378"/>
        </w:trPr>
        <w:tc>
          <w:tcPr>
            <w:tcW w:w="1066" w:type="dxa"/>
          </w:tcPr>
          <w:p w14:paraId="49164434" w14:textId="77777777" w:rsidR="004140CC" w:rsidRDefault="00F328DA">
            <w:pPr>
              <w:pStyle w:val="TableParagraph"/>
              <w:ind w:right="35"/>
              <w:jc w:val="right"/>
              <w:rPr>
                <w:sz w:val="24"/>
              </w:rPr>
            </w:pPr>
            <w:r>
              <w:rPr>
                <w:sz w:val="24"/>
              </w:rPr>
              <w:t>50 − 59</w:t>
            </w:r>
          </w:p>
        </w:tc>
        <w:tc>
          <w:tcPr>
            <w:tcW w:w="843" w:type="dxa"/>
          </w:tcPr>
          <w:p w14:paraId="49164435" w14:textId="77777777" w:rsidR="004140CC" w:rsidRDefault="00F328DA"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H2.2</w:t>
            </w:r>
          </w:p>
        </w:tc>
      </w:tr>
      <w:tr w:rsidR="004140CC" w14:paraId="49164439" w14:textId="77777777">
        <w:trPr>
          <w:trHeight w:val="376"/>
        </w:trPr>
        <w:tc>
          <w:tcPr>
            <w:tcW w:w="1066" w:type="dxa"/>
          </w:tcPr>
          <w:p w14:paraId="49164437" w14:textId="77777777" w:rsidR="004140CC" w:rsidRDefault="00F328DA">
            <w:pPr>
              <w:pStyle w:val="TableParagraph"/>
              <w:ind w:right="35"/>
              <w:jc w:val="right"/>
              <w:rPr>
                <w:sz w:val="24"/>
              </w:rPr>
            </w:pPr>
            <w:r>
              <w:rPr>
                <w:sz w:val="24"/>
              </w:rPr>
              <w:t>60 − 69</w:t>
            </w:r>
          </w:p>
        </w:tc>
        <w:tc>
          <w:tcPr>
            <w:tcW w:w="843" w:type="dxa"/>
          </w:tcPr>
          <w:p w14:paraId="49164438" w14:textId="77777777" w:rsidR="004140CC" w:rsidRDefault="00F328DA"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H2.1</w:t>
            </w:r>
          </w:p>
        </w:tc>
      </w:tr>
      <w:tr w:rsidR="004140CC" w14:paraId="4916443C" w14:textId="77777777">
        <w:trPr>
          <w:trHeight w:val="378"/>
        </w:trPr>
        <w:tc>
          <w:tcPr>
            <w:tcW w:w="1066" w:type="dxa"/>
          </w:tcPr>
          <w:p w14:paraId="4916443A" w14:textId="77777777" w:rsidR="004140CC" w:rsidRDefault="00F328DA">
            <w:pPr>
              <w:pStyle w:val="TableParagraph"/>
              <w:spacing w:before="43"/>
              <w:ind w:right="34"/>
              <w:jc w:val="right"/>
              <w:rPr>
                <w:sz w:val="24"/>
              </w:rPr>
            </w:pPr>
            <w:r>
              <w:rPr>
                <w:sz w:val="24"/>
              </w:rPr>
              <w:t>70 − 100</w:t>
            </w:r>
          </w:p>
        </w:tc>
        <w:tc>
          <w:tcPr>
            <w:tcW w:w="843" w:type="dxa"/>
          </w:tcPr>
          <w:p w14:paraId="4916443B" w14:textId="77777777" w:rsidR="004140CC" w:rsidRDefault="00F328DA">
            <w:pPr>
              <w:pStyle w:val="TableParagraph"/>
              <w:spacing w:before="43"/>
              <w:ind w:left="69"/>
              <w:rPr>
                <w:sz w:val="24"/>
              </w:rPr>
            </w:pPr>
            <w:r>
              <w:rPr>
                <w:sz w:val="24"/>
              </w:rPr>
              <w:t>H1</w:t>
            </w:r>
          </w:p>
        </w:tc>
      </w:tr>
    </w:tbl>
    <w:p w14:paraId="4916443D" w14:textId="77777777" w:rsidR="004140CC" w:rsidRDefault="004140CC">
      <w:pPr>
        <w:pStyle w:val="BodyText"/>
        <w:spacing w:before="3"/>
        <w:rPr>
          <w:sz w:val="26"/>
        </w:rPr>
      </w:pPr>
    </w:p>
    <w:p w14:paraId="4916443E" w14:textId="77777777" w:rsidR="004140CC" w:rsidRDefault="00F328DA">
      <w:pPr>
        <w:pStyle w:val="BodyText"/>
        <w:ind w:left="640" w:right="73"/>
      </w:pPr>
      <w:r>
        <w:t xml:space="preserve">Apply the boundary value analysis technique to identify all the test values so </w:t>
      </w:r>
      <w:r>
        <w:rPr>
          <w:spacing w:val="-5"/>
        </w:rPr>
        <w:t xml:space="preserve">that </w:t>
      </w:r>
      <w:r>
        <w:lastRenderedPageBreak/>
        <w:t>boundary coverage is achieved.</w:t>
      </w:r>
    </w:p>
    <w:p w14:paraId="4916443F" w14:textId="77777777" w:rsidR="004140CC" w:rsidRDefault="004140CC">
      <w:pPr>
        <w:pStyle w:val="BodyText"/>
      </w:pPr>
    </w:p>
    <w:p w14:paraId="49164440" w14:textId="77777777" w:rsidR="004140CC" w:rsidRDefault="004140CC">
      <w:pPr>
        <w:pStyle w:val="BodyText"/>
      </w:pPr>
    </w:p>
    <w:p w14:paraId="49164441" w14:textId="77777777" w:rsidR="004140CC" w:rsidRDefault="004140CC">
      <w:pPr>
        <w:pStyle w:val="BodyText"/>
        <w:spacing w:before="2"/>
      </w:pPr>
    </w:p>
    <w:p w14:paraId="49164442" w14:textId="77777777" w:rsidR="004140CC" w:rsidRDefault="00F328DA">
      <w:pPr>
        <w:pStyle w:val="ListParagraph"/>
        <w:numPr>
          <w:ilvl w:val="0"/>
          <w:numId w:val="1"/>
        </w:numPr>
        <w:tabs>
          <w:tab w:val="left" w:pos="640"/>
        </w:tabs>
        <w:ind w:right="122"/>
        <w:rPr>
          <w:sz w:val="24"/>
        </w:rPr>
      </w:pPr>
      <w:r>
        <w:rPr>
          <w:sz w:val="24"/>
        </w:rPr>
        <w:t xml:space="preserve">An employee has the first 4000EUR of salary tax free. The next 1500 is taxed at 10%. </w:t>
      </w:r>
      <w:r>
        <w:rPr>
          <w:spacing w:val="-6"/>
          <w:sz w:val="24"/>
        </w:rPr>
        <w:t xml:space="preserve">The </w:t>
      </w:r>
      <w:r>
        <w:rPr>
          <w:sz w:val="24"/>
        </w:rPr>
        <w:t>next 28000 is taxed at 22%. Any fur</w:t>
      </w:r>
      <w:r>
        <w:rPr>
          <w:sz w:val="24"/>
        </w:rPr>
        <w:t>ther amount is taxed at 40%. Apply the boundary value analysis technique to identify all the test values so that boundary coverage is achieved. (Adapted from a question from ISTQB).</w:t>
      </w:r>
    </w:p>
    <w:p w14:paraId="49164443" w14:textId="77777777" w:rsidR="004140CC" w:rsidRDefault="004140CC">
      <w:pPr>
        <w:pStyle w:val="BodyText"/>
        <w:rPr>
          <w:sz w:val="20"/>
        </w:rPr>
      </w:pPr>
    </w:p>
    <w:p w14:paraId="49164444" w14:textId="77777777" w:rsidR="004140CC" w:rsidRDefault="004140CC">
      <w:pPr>
        <w:pStyle w:val="BodyText"/>
        <w:rPr>
          <w:sz w:val="20"/>
        </w:rPr>
      </w:pPr>
    </w:p>
    <w:p w14:paraId="49164445" w14:textId="77777777" w:rsidR="004140CC" w:rsidRDefault="004140CC">
      <w:pPr>
        <w:pStyle w:val="BodyText"/>
        <w:spacing w:before="8"/>
        <w:rPr>
          <w:sz w:val="27"/>
        </w:rPr>
      </w:pPr>
    </w:p>
    <w:p w14:paraId="49164446" w14:textId="77777777" w:rsidR="004140CC" w:rsidRDefault="00F328DA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Reference</w:t>
      </w:r>
    </w:p>
    <w:p w14:paraId="49164447" w14:textId="77777777" w:rsidR="004140CC" w:rsidRDefault="00F328DA">
      <w:pPr>
        <w:ind w:left="100" w:right="345"/>
        <w:rPr>
          <w:i/>
          <w:sz w:val="24"/>
        </w:rPr>
      </w:pPr>
      <w:r>
        <w:rPr>
          <w:sz w:val="24"/>
        </w:rPr>
        <w:t xml:space="preserve">Brian Hambling et al. (2019). </w:t>
      </w:r>
      <w:r>
        <w:rPr>
          <w:i/>
          <w:sz w:val="24"/>
        </w:rPr>
        <w:t>Software Testing: An ISTQB−BCS Certified Tester Foundation guide</w:t>
      </w:r>
    </w:p>
    <w:sectPr w:rsidR="004140CC">
      <w:pgSz w:w="11910" w:h="16840"/>
      <w:pgMar w:top="124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7283"/>
    <w:multiLevelType w:val="hybridMultilevel"/>
    <w:tmpl w:val="B2FE4860"/>
    <w:lvl w:ilvl="0" w:tplc="1809000F">
      <w:start w:val="1"/>
      <w:numFmt w:val="decimal"/>
      <w:lvlText w:val="%1."/>
      <w:lvlJc w:val="left"/>
      <w:pPr>
        <w:ind w:left="1360" w:hanging="360"/>
      </w:pPr>
    </w:lvl>
    <w:lvl w:ilvl="1" w:tplc="18090019" w:tentative="1">
      <w:start w:val="1"/>
      <w:numFmt w:val="lowerLetter"/>
      <w:lvlText w:val="%2."/>
      <w:lvlJc w:val="left"/>
      <w:pPr>
        <w:ind w:left="2080" w:hanging="360"/>
      </w:pPr>
    </w:lvl>
    <w:lvl w:ilvl="2" w:tplc="1809001B" w:tentative="1">
      <w:start w:val="1"/>
      <w:numFmt w:val="lowerRoman"/>
      <w:lvlText w:val="%3."/>
      <w:lvlJc w:val="right"/>
      <w:pPr>
        <w:ind w:left="2800" w:hanging="180"/>
      </w:pPr>
    </w:lvl>
    <w:lvl w:ilvl="3" w:tplc="1809000F" w:tentative="1">
      <w:start w:val="1"/>
      <w:numFmt w:val="decimal"/>
      <w:lvlText w:val="%4."/>
      <w:lvlJc w:val="left"/>
      <w:pPr>
        <w:ind w:left="3520" w:hanging="360"/>
      </w:pPr>
    </w:lvl>
    <w:lvl w:ilvl="4" w:tplc="18090019" w:tentative="1">
      <w:start w:val="1"/>
      <w:numFmt w:val="lowerLetter"/>
      <w:lvlText w:val="%5."/>
      <w:lvlJc w:val="left"/>
      <w:pPr>
        <w:ind w:left="4240" w:hanging="360"/>
      </w:pPr>
    </w:lvl>
    <w:lvl w:ilvl="5" w:tplc="1809001B" w:tentative="1">
      <w:start w:val="1"/>
      <w:numFmt w:val="lowerRoman"/>
      <w:lvlText w:val="%6."/>
      <w:lvlJc w:val="right"/>
      <w:pPr>
        <w:ind w:left="4960" w:hanging="180"/>
      </w:pPr>
    </w:lvl>
    <w:lvl w:ilvl="6" w:tplc="1809000F" w:tentative="1">
      <w:start w:val="1"/>
      <w:numFmt w:val="decimal"/>
      <w:lvlText w:val="%7."/>
      <w:lvlJc w:val="left"/>
      <w:pPr>
        <w:ind w:left="5680" w:hanging="360"/>
      </w:pPr>
    </w:lvl>
    <w:lvl w:ilvl="7" w:tplc="18090019" w:tentative="1">
      <w:start w:val="1"/>
      <w:numFmt w:val="lowerLetter"/>
      <w:lvlText w:val="%8."/>
      <w:lvlJc w:val="left"/>
      <w:pPr>
        <w:ind w:left="6400" w:hanging="360"/>
      </w:pPr>
    </w:lvl>
    <w:lvl w:ilvl="8" w:tplc="18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540F0613"/>
    <w:multiLevelType w:val="hybridMultilevel"/>
    <w:tmpl w:val="8F3C55AC"/>
    <w:lvl w:ilvl="0" w:tplc="21C4E27A">
      <w:numFmt w:val="bullet"/>
      <w:lvlText w:val="•"/>
      <w:lvlJc w:val="left"/>
      <w:pPr>
        <w:ind w:left="640" w:hanging="2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26A8310">
      <w:numFmt w:val="bullet"/>
      <w:lvlText w:val="•"/>
      <w:lvlJc w:val="left"/>
      <w:pPr>
        <w:ind w:left="1514" w:hanging="276"/>
      </w:pPr>
      <w:rPr>
        <w:rFonts w:hint="default"/>
        <w:lang w:val="en-US" w:eastAsia="en-US" w:bidi="ar-SA"/>
      </w:rPr>
    </w:lvl>
    <w:lvl w:ilvl="2" w:tplc="74BE382E">
      <w:numFmt w:val="bullet"/>
      <w:lvlText w:val="•"/>
      <w:lvlJc w:val="left"/>
      <w:pPr>
        <w:ind w:left="2389" w:hanging="276"/>
      </w:pPr>
      <w:rPr>
        <w:rFonts w:hint="default"/>
        <w:lang w:val="en-US" w:eastAsia="en-US" w:bidi="ar-SA"/>
      </w:rPr>
    </w:lvl>
    <w:lvl w:ilvl="3" w:tplc="A112AE58">
      <w:numFmt w:val="bullet"/>
      <w:lvlText w:val="•"/>
      <w:lvlJc w:val="left"/>
      <w:pPr>
        <w:ind w:left="3263" w:hanging="276"/>
      </w:pPr>
      <w:rPr>
        <w:rFonts w:hint="default"/>
        <w:lang w:val="en-US" w:eastAsia="en-US" w:bidi="ar-SA"/>
      </w:rPr>
    </w:lvl>
    <w:lvl w:ilvl="4" w:tplc="17823A40">
      <w:numFmt w:val="bullet"/>
      <w:lvlText w:val="•"/>
      <w:lvlJc w:val="left"/>
      <w:pPr>
        <w:ind w:left="4138" w:hanging="276"/>
      </w:pPr>
      <w:rPr>
        <w:rFonts w:hint="default"/>
        <w:lang w:val="en-US" w:eastAsia="en-US" w:bidi="ar-SA"/>
      </w:rPr>
    </w:lvl>
    <w:lvl w:ilvl="5" w:tplc="20DA9D36">
      <w:numFmt w:val="bullet"/>
      <w:lvlText w:val="•"/>
      <w:lvlJc w:val="left"/>
      <w:pPr>
        <w:ind w:left="5012" w:hanging="276"/>
      </w:pPr>
      <w:rPr>
        <w:rFonts w:hint="default"/>
        <w:lang w:val="en-US" w:eastAsia="en-US" w:bidi="ar-SA"/>
      </w:rPr>
    </w:lvl>
    <w:lvl w:ilvl="6" w:tplc="A2AC3A28">
      <w:numFmt w:val="bullet"/>
      <w:lvlText w:val="•"/>
      <w:lvlJc w:val="left"/>
      <w:pPr>
        <w:ind w:left="5887" w:hanging="276"/>
      </w:pPr>
      <w:rPr>
        <w:rFonts w:hint="default"/>
        <w:lang w:val="en-US" w:eastAsia="en-US" w:bidi="ar-SA"/>
      </w:rPr>
    </w:lvl>
    <w:lvl w:ilvl="7" w:tplc="7FE601B4">
      <w:numFmt w:val="bullet"/>
      <w:lvlText w:val="•"/>
      <w:lvlJc w:val="left"/>
      <w:pPr>
        <w:ind w:left="6761" w:hanging="276"/>
      </w:pPr>
      <w:rPr>
        <w:rFonts w:hint="default"/>
        <w:lang w:val="en-US" w:eastAsia="en-US" w:bidi="ar-SA"/>
      </w:rPr>
    </w:lvl>
    <w:lvl w:ilvl="8" w:tplc="9CE47238">
      <w:numFmt w:val="bullet"/>
      <w:lvlText w:val="•"/>
      <w:lvlJc w:val="left"/>
      <w:pPr>
        <w:ind w:left="7636" w:hanging="276"/>
      </w:pPr>
      <w:rPr>
        <w:rFonts w:hint="default"/>
        <w:lang w:val="en-US" w:eastAsia="en-US" w:bidi="ar-SA"/>
      </w:rPr>
    </w:lvl>
  </w:abstractNum>
  <w:abstractNum w:abstractNumId="2" w15:restartNumberingAfterBreak="0">
    <w:nsid w:val="763B7E4A"/>
    <w:multiLevelType w:val="hybridMultilevel"/>
    <w:tmpl w:val="7882AA9E"/>
    <w:lvl w:ilvl="0" w:tplc="F37801F4">
      <w:start w:val="1"/>
      <w:numFmt w:val="decimal"/>
      <w:lvlText w:val="%1."/>
      <w:lvlJc w:val="left"/>
      <w:pPr>
        <w:ind w:left="640" w:hanging="34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4790AC16">
      <w:numFmt w:val="bullet"/>
      <w:lvlText w:val="•"/>
      <w:lvlJc w:val="left"/>
      <w:pPr>
        <w:ind w:left="1514" w:hanging="342"/>
      </w:pPr>
      <w:rPr>
        <w:rFonts w:hint="default"/>
        <w:lang w:val="en-US" w:eastAsia="en-US" w:bidi="ar-SA"/>
      </w:rPr>
    </w:lvl>
    <w:lvl w:ilvl="2" w:tplc="6A967F98">
      <w:numFmt w:val="bullet"/>
      <w:lvlText w:val="•"/>
      <w:lvlJc w:val="left"/>
      <w:pPr>
        <w:ind w:left="2389" w:hanging="342"/>
      </w:pPr>
      <w:rPr>
        <w:rFonts w:hint="default"/>
        <w:lang w:val="en-US" w:eastAsia="en-US" w:bidi="ar-SA"/>
      </w:rPr>
    </w:lvl>
    <w:lvl w:ilvl="3" w:tplc="7096C232">
      <w:numFmt w:val="bullet"/>
      <w:lvlText w:val="•"/>
      <w:lvlJc w:val="left"/>
      <w:pPr>
        <w:ind w:left="3263" w:hanging="342"/>
      </w:pPr>
      <w:rPr>
        <w:rFonts w:hint="default"/>
        <w:lang w:val="en-US" w:eastAsia="en-US" w:bidi="ar-SA"/>
      </w:rPr>
    </w:lvl>
    <w:lvl w:ilvl="4" w:tplc="A4827C70">
      <w:numFmt w:val="bullet"/>
      <w:lvlText w:val="•"/>
      <w:lvlJc w:val="left"/>
      <w:pPr>
        <w:ind w:left="4138" w:hanging="342"/>
      </w:pPr>
      <w:rPr>
        <w:rFonts w:hint="default"/>
        <w:lang w:val="en-US" w:eastAsia="en-US" w:bidi="ar-SA"/>
      </w:rPr>
    </w:lvl>
    <w:lvl w:ilvl="5" w:tplc="659ECFD8">
      <w:numFmt w:val="bullet"/>
      <w:lvlText w:val="•"/>
      <w:lvlJc w:val="left"/>
      <w:pPr>
        <w:ind w:left="5012" w:hanging="342"/>
      </w:pPr>
      <w:rPr>
        <w:rFonts w:hint="default"/>
        <w:lang w:val="en-US" w:eastAsia="en-US" w:bidi="ar-SA"/>
      </w:rPr>
    </w:lvl>
    <w:lvl w:ilvl="6" w:tplc="2F9E2F06">
      <w:numFmt w:val="bullet"/>
      <w:lvlText w:val="•"/>
      <w:lvlJc w:val="left"/>
      <w:pPr>
        <w:ind w:left="5887" w:hanging="342"/>
      </w:pPr>
      <w:rPr>
        <w:rFonts w:hint="default"/>
        <w:lang w:val="en-US" w:eastAsia="en-US" w:bidi="ar-SA"/>
      </w:rPr>
    </w:lvl>
    <w:lvl w:ilvl="7" w:tplc="6B8E8754">
      <w:numFmt w:val="bullet"/>
      <w:lvlText w:val="•"/>
      <w:lvlJc w:val="left"/>
      <w:pPr>
        <w:ind w:left="6761" w:hanging="342"/>
      </w:pPr>
      <w:rPr>
        <w:rFonts w:hint="default"/>
        <w:lang w:val="en-US" w:eastAsia="en-US" w:bidi="ar-SA"/>
      </w:rPr>
    </w:lvl>
    <w:lvl w:ilvl="8" w:tplc="05A0387E">
      <w:numFmt w:val="bullet"/>
      <w:lvlText w:val="•"/>
      <w:lvlJc w:val="left"/>
      <w:pPr>
        <w:ind w:left="7636" w:hanging="34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0CC"/>
    <w:rsid w:val="002B06BE"/>
    <w:rsid w:val="003B1F7D"/>
    <w:rsid w:val="004140CC"/>
    <w:rsid w:val="0053268A"/>
    <w:rsid w:val="007604E6"/>
    <w:rsid w:val="009D27CA"/>
    <w:rsid w:val="00C02100"/>
    <w:rsid w:val="00CF06E6"/>
    <w:rsid w:val="00DD630A"/>
    <w:rsid w:val="00F328DA"/>
    <w:rsid w:val="00FE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9164404"/>
  <w15:docId w15:val="{6302F20B-B15A-4A28-983B-61601221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12" w:right="397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570" w:right="397"/>
      <w:jc w:val="center"/>
    </w:pPr>
    <w:rPr>
      <w:rFonts w:ascii="Cambria" w:eastAsia="Cambria" w:hAnsi="Cambria" w:cs="Cambria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40" w:hanging="276"/>
    </w:pPr>
  </w:style>
  <w:style w:type="paragraph" w:customStyle="1" w:styleId="TableParagraph">
    <w:name w:val="Table Paragraph"/>
    <w:basedOn w:val="Normal"/>
    <w:uiPriority w:val="1"/>
    <w:qFormat/>
    <w:pPr>
      <w:spacing w:before="41"/>
    </w:pPr>
  </w:style>
  <w:style w:type="table" w:styleId="TableGrid">
    <w:name w:val="Table Grid"/>
    <w:basedOn w:val="TableNormal"/>
    <w:uiPriority w:val="39"/>
    <w:rsid w:val="003B1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F328DA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3 - B</dc:title>
  <dc:creator>Newton</dc:creator>
  <cp:lastModifiedBy>Sean Bonner</cp:lastModifiedBy>
  <cp:revision>11</cp:revision>
  <dcterms:created xsi:type="dcterms:W3CDTF">2022-02-17T16:41:00Z</dcterms:created>
  <dcterms:modified xsi:type="dcterms:W3CDTF">2022-02-17T16:54:00Z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LastSaved">
    <vt:filetime>2022-02-17T00:00:00Z</vt:filetime>
  </property>
</Properties>
</file>