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Cryptographic Design Document</w:t>
      </w:r>
    </w:p>
    <w:p>
      <w:pPr>
        <w:jc w:val="center"/>
      </w:pPr>
      <w:r>
        <w:rPr>
          <w:sz w:val="24"/>
        </w:rPr>
        <w:t>CS4455 Cybersecurity Epic Project 2026</w:t>
        <w:br/>
        <w:t>Team kfc — Epic Messaging</w:t>
        <w:br/>
        <w:t>Module: Cryptography (Eoin O'Brien)</w:t>
      </w:r>
    </w:p>
    <w:p>
      <w:r>
        <w:t>This document describes how Epic Messaging meets the CS4455 cryptography requirements: end-to-end authenticated encryption, password and key derivation, and an explicit threat model. The production Qt client uses OpenSSL. The cryptography/ npm package provides the same protocol for integration tests and backend demos.</w:t>
      </w:r>
    </w:p>
    <w:p>
      <w:pPr>
        <w:pStyle w:val="Heading1"/>
      </w:pPr>
      <w:r>
        <w:t>1. Security goals (brief requirements)</w:t>
      </w:r>
    </w:p>
    <w:p>
      <w:r>
        <w:t>The application targets the three properties named in the project brief: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2880"/>
          </w:tcPr>
          <w:p>
            <w:r>
              <w:t>Achieved?</w:t>
            </w:r>
          </w:p>
        </w:tc>
        <w:tc>
          <w:tcPr>
            <w:tcW w:type="dxa" w:w="2880"/>
          </w:tcPr>
          <w:p>
            <w:r>
              <w:t>Mechanism</w:t>
            </w:r>
          </w:p>
        </w:tc>
      </w:tr>
      <w:tr>
        <w:tc>
          <w:tcPr>
            <w:tcW w:type="dxa" w:w="2880"/>
          </w:tcPr>
          <w:p>
            <w:r>
              <w:t>Confidentiality of message bodies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AES-256-GCM inside an E2EE session; server stores ciphertext only</w:t>
            </w:r>
          </w:p>
        </w:tc>
      </w:tr>
      <w:tr>
        <w:tc>
          <w:tcPr>
            <w:tcW w:type="dxa" w:w="2880"/>
          </w:tcPr>
          <w:p>
            <w:r>
              <w:t>Integrity of message bodies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GCM authentication tag; tampering fails decryption</w:t>
            </w:r>
          </w:p>
        </w:tc>
      </w:tr>
      <w:tr>
        <w:tc>
          <w:tcPr>
            <w:tcW w:type="dxa" w:w="2880"/>
          </w:tcPr>
          <w:p>
            <w:r>
              <w:t>Authenticity of sender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Ed25519-signed pre-keys plus TOFU identity pinning on clients</w:t>
            </w:r>
          </w:p>
        </w:tc>
      </w:tr>
      <w:tr>
        <w:tc>
          <w:tcPr>
            <w:tcW w:type="dxa" w:w="2880"/>
          </w:tcPr>
          <w:p>
            <w:r>
              <w:t>Password confidentiality if DB leaks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Argon2id PHC hashes; no plaintext passwords</w:t>
            </w:r>
          </w:p>
        </w:tc>
      </w:tr>
      <w:tr>
        <w:tc>
          <w:tcPr>
            <w:tcW w:type="dxa" w:w="2880"/>
          </w:tcPr>
          <w:p>
            <w:r>
              <w:t>Private keys at rest on client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HKDF-derived keys and AES-256-GCM via encryptPrivateKeyForStorage</w:t>
            </w:r>
          </w:p>
        </w:tc>
      </w:tr>
    </w:tbl>
    <w:p/>
    <w:p>
      <w:r>
        <w:t>TLS protects the transport to our API host. E2EE protects content from the server operator. These layers are complementary.</w:t>
      </w:r>
    </w:p>
    <w:p>
      <w:pPr>
        <w:pStyle w:val="Heading1"/>
      </w:pPr>
      <w:r>
        <w:t>2. Threat model</w:t>
      </w:r>
    </w:p>
    <w:p>
      <w:r>
        <w:t>We analyse four attacker classes from the brief. The table below states what our cryptography is designed to defend, not every possible system feature.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Attacker</w:t>
            </w:r>
          </w:p>
        </w:tc>
        <w:tc>
          <w:tcPr>
            <w:tcW w:type="dxa" w:w="4320"/>
          </w:tcPr>
          <w:p>
            <w:r>
              <w:t>Capability</w:t>
            </w:r>
          </w:p>
        </w:tc>
      </w:tr>
      <w:tr>
        <w:tc>
          <w:tcPr>
            <w:tcW w:type="dxa" w:w="4320"/>
          </w:tcPr>
          <w:p>
            <w:r>
              <w:t>A. Passive network</w:t>
            </w:r>
          </w:p>
        </w:tc>
        <w:tc>
          <w:tcPr>
            <w:tcW w:type="dxa" w:w="4320"/>
          </w:tcPr>
          <w:p>
            <w:r>
              <w:t>Read client-server traffic</w:t>
            </w:r>
          </w:p>
        </w:tc>
      </w:tr>
      <w:tr>
        <w:tc>
          <w:tcPr>
            <w:tcW w:type="dxa" w:w="4320"/>
          </w:tcPr>
          <w:p>
            <w:r>
              <w:t>B. Active network</w:t>
            </w:r>
          </w:p>
        </w:tc>
        <w:tc>
          <w:tcPr>
            <w:tcW w:type="dxa" w:w="4320"/>
          </w:tcPr>
          <w:p>
            <w:r>
              <w:t>Modify, drop, replay, or inject traffic</w:t>
            </w:r>
          </w:p>
        </w:tc>
      </w:tr>
      <w:tr>
        <w:tc>
          <w:tcPr>
            <w:tcW w:type="dxa" w:w="4320"/>
          </w:tcPr>
          <w:p>
            <w:r>
              <w:t>C. Honest-but-curious server</w:t>
            </w:r>
          </w:p>
        </w:tc>
        <w:tc>
          <w:tcPr>
            <w:tcW w:type="dxa" w:w="4320"/>
          </w:tcPr>
          <w:p>
            <w:r>
              <w:t>Follows the API; logs ciphertext and metadata</w:t>
            </w:r>
          </w:p>
        </w:tc>
      </w:tr>
      <w:tr>
        <w:tc>
          <w:tcPr>
            <w:tcW w:type="dxa" w:w="4320"/>
          </w:tcPr>
          <w:p>
            <w:r>
              <w:t>D. Compromised server</w:t>
            </w:r>
          </w:p>
        </w:tc>
        <w:tc>
          <w:tcPr>
            <w:tcW w:type="dxa" w:w="4320"/>
          </w:tcPr>
          <w:p>
            <w:r>
              <w:t>Full database; can return malicious API responses</w:t>
            </w:r>
          </w:p>
        </w:tc>
      </w:tr>
    </w:tbl>
    <w:p/>
    <w:p>
      <w:pPr>
        <w:pStyle w:val="Heading2"/>
      </w:pPr>
      <w:r>
        <w:t>2.1 Cryptographic defences by attacker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Defence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D</w:t>
            </w:r>
          </w:p>
        </w:tc>
      </w:tr>
      <w:tr>
        <w:tc>
          <w:tcPr>
            <w:tcW w:type="dxa" w:w="1728"/>
          </w:tcPr>
          <w:p>
            <w:r>
              <w:t>Past ciphertext stays confidential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Ciphertext tampering is detected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Sender cryptographically bound to keys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Yes*</w:t>
            </w:r>
          </w:p>
        </w:tc>
      </w:tr>
      <w:tr>
        <w:tc>
          <w:tcPr>
            <w:tcW w:type="dxa" w:w="1728"/>
          </w:tcPr>
          <w:p>
            <w:r>
              <w:t>Forward secrecy for new messages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Yes**</w:t>
            </w:r>
          </w:p>
        </w:tc>
      </w:tr>
    </w:tbl>
    <w:p/>
    <w:p>
      <w:r>
        <w:t>*With TOFU: clients pin identity keys (/trust) and block sends if the server swaps keys.</w:t>
      </w:r>
    </w:p>
    <w:p>
      <w:r>
        <w:t>**TypeScript double ratchet; C++ uses fresh X3DH material per message until persisted ratchet lands.</w:t>
      </w:r>
    </w:p>
    <w:p>
      <w:pPr>
        <w:pStyle w:val="Heading2"/>
      </w:pPr>
      <w:r>
        <w:t>2.2 What we do not claim (brief requires honesty)</w:t>
      </w:r>
    </w:p>
    <w:p>
      <w:r>
        <w:t>The following are outside standard E2EE cryptography or are mitigated outside the cipher layer. They are not design failures; they are limits every team must document: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Topic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Explanation</w:t>
            </w:r>
          </w:p>
        </w:tc>
      </w:tr>
      <w:tr>
        <w:tc>
          <w:tcPr>
            <w:tcW w:type="dxa" w:w="2880"/>
          </w:tcPr>
          <w:p>
            <w:r>
              <w:t>Hide who messaged whom</w:t>
            </w:r>
          </w:p>
        </w:tc>
        <w:tc>
          <w:tcPr>
            <w:tcW w:type="dxa" w:w="2880"/>
          </w:tcPr>
          <w:p>
            <w:r>
              <w:t>Not provided</w:t>
            </w:r>
          </w:p>
        </w:tc>
        <w:tc>
          <w:tcPr>
            <w:tcW w:type="dxa" w:w="2880"/>
          </w:tcPr>
          <w:p>
            <w:r>
              <w:t>Server and TLS observer see metadata; same as Signal/WhatsApp routing</w:t>
            </w:r>
          </w:p>
        </w:tc>
      </w:tr>
      <w:tr>
        <w:tc>
          <w:tcPr>
            <w:tcW w:type="dxa" w:w="2880"/>
          </w:tcPr>
          <w:p>
            <w:r>
              <w:t>Guarantee message delivery</w:t>
            </w:r>
          </w:p>
        </w:tc>
        <w:tc>
          <w:tcPr>
            <w:tcW w:type="dxa" w:w="2880"/>
          </w:tcPr>
          <w:p>
            <w:r>
              <w:t>Not provided</w:t>
            </w:r>
          </w:p>
        </w:tc>
        <w:tc>
          <w:tcPr>
            <w:tcW w:type="dxa" w:w="2880"/>
          </w:tcPr>
          <w:p>
            <w:r>
              <w:t>A malicious server can drop rows; users detect missing mail operationally</w:t>
            </w:r>
          </w:p>
        </w:tc>
      </w:tr>
      <w:tr>
        <w:tc>
          <w:tcPr>
            <w:tcW w:type="dxa" w:w="2880"/>
          </w:tcPr>
          <w:p>
            <w:r>
              <w:t>First-contact MITM without user action</w:t>
            </w:r>
          </w:p>
        </w:tc>
        <w:tc>
          <w:tcPr>
            <w:tcW w:type="dxa" w:w="2880"/>
          </w:tcPr>
          <w:p>
            <w:r>
              <w:t>Mitigated by TOFU</w:t>
            </w:r>
          </w:p>
        </w:tc>
        <w:tc>
          <w:tcPr>
            <w:tcW w:type="dxa" w:w="2880"/>
          </w:tcPr>
          <w:p>
            <w:r>
              <w:t>User runs /trust and compares identity fingerprint before sending</w:t>
            </w:r>
          </w:p>
        </w:tc>
      </w:tr>
    </w:tbl>
    <w:p/>
    <w:p>
      <w:pPr>
        <w:pStyle w:val="Heading2"/>
      </w:pPr>
      <w:r>
        <w:t>2.3 Compromised server (class D)</w:t>
      </w:r>
    </w:p>
    <w:p>
      <w:pPr>
        <w:pStyle w:val="ListBullet"/>
      </w:pPr>
      <w:r>
        <w:t>Even with full database access, the server cannot:</w:t>
      </w:r>
    </w:p>
    <w:p>
      <w:pPr>
        <w:pStyle w:val="ListBullet"/>
      </w:pPr>
      <w:r>
        <w:t>Decrypt wire_payload_json without client private keys.</w:t>
      </w:r>
    </w:p>
    <w:p>
      <w:pPr>
        <w:pStyle w:val="ListBullet"/>
      </w:pPr>
      <w:r>
        <w:t>Forge AEAD ciphertext that decrypts to chosen plaintext for an existing session.</w:t>
      </w:r>
    </w:p>
    <w:p>
      <w:pPr>
        <w:pStyle w:val="ListBullet"/>
      </w:pPr>
      <w:r>
        <w:t>The server can still observe metadata, delay delivery, or substitute pre-keys for users who have not pinned identities.</w:t>
      </w:r>
    </w:p>
    <w:p>
      <w:pPr>
        <w:pStyle w:val="Heading1"/>
      </w:pPr>
      <w:r>
        <w:t>3. Protocol construction</w:t>
      </w:r>
    </w:p>
    <w:p>
      <w:pPr>
        <w:pStyle w:val="Heading2"/>
      </w:pPr>
      <w:r>
        <w:t>3.1 Registration and key publication</w:t>
      </w:r>
    </w:p>
    <w:p>
      <w:r>
        <w:t>1. Client generates X25519 and Ed25519 key pairs and pre-keys.</w:t>
        <w:br/>
        <w:t>2. Client registers over TLS; server stores Argon2id password hash only.</w:t>
        <w:br/>
        <w:t>3. Client uploads public pre-key bundle; private keys remain on device.</w:t>
        <w:br/>
        <w:t>4. Optional: private key blobs encrypted at rest under HKDF-derived keys.</w:t>
      </w:r>
    </w:p>
    <w:p>
      <w:pPr>
        <w:pStyle w:val="Heading2"/>
      </w:pPr>
      <w:r>
        <w:t>3.2 Send and receive</w:t>
      </w:r>
    </w:p>
    <w:p>
      <w:r>
        <w:t>1. Sender fetches recipient public bundle (after /trust pins identity).</w:t>
        <w:br/>
        <w:t>2. cryptography/ (TypeScript): X3DH plus double ratchet; GCM envelope; libsignal-v1 wire JSON.</w:t>
        <w:br/>
        <w:t>3. C++ client (production demo): OpenSSL X3DH plus GCM per message; full X3DH block on each send today.</w:t>
        <w:br/>
        <w:t>4. Server stores wire_payload_json only; recipient decrypts locally.</w:t>
        <w:br/>
        <w:t>5. Backend validates JSON shape; it never decrypts message bodies.</w:t>
      </w:r>
    </w:p>
    <w:p>
      <w:pPr>
        <w:pStyle w:val="Heading2"/>
      </w:pPr>
      <w:r>
        <w:t>3.3 Trust model (TOFU)</w:t>
      </w:r>
    </w:p>
    <w:p>
      <w:r>
        <w:t>Public keys are published on the server. Clients pin the identity key on first trust (/trust) and refuse to send if the bundle identity changes. This addresses the brief's expectation for TOFU rather than a full PKI.</w:t>
      </w:r>
    </w:p>
    <w:p>
      <w:pPr>
        <w:pStyle w:val="Heading1"/>
      </w:pPr>
      <w:r>
        <w:t>4. Primitive choices</w:t>
      </w:r>
    </w:p>
    <w:p>
      <w:r>
        <w:t>Libraries: Node crypto, argon2, @privacyresearch/libsignal-protocol-typescript; C++ client: OpenSSL 3 EVP for the same algorithms.</w:t>
      </w:r>
    </w:p>
    <w:p>
      <w:pPr>
        <w:pStyle w:val="Heading2"/>
      </w:pPr>
      <w:r>
        <w:t>4.1 Argon2id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Reference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Argon2id</w:t>
            </w:r>
          </w:p>
        </w:tc>
        <w:tc>
          <w:tcPr>
            <w:tcW w:type="dxa" w:w="2880"/>
          </w:tcPr>
          <w:p>
            <w:r>
              <w:t>RFC 9106</w:t>
            </w:r>
          </w:p>
        </w:tc>
      </w:tr>
      <w:tr>
        <w:tc>
          <w:tcPr>
            <w:tcW w:type="dxa" w:w="2880"/>
          </w:tcPr>
          <w:p>
            <w:r>
              <w:t>Memory</w:t>
            </w:r>
          </w:p>
        </w:tc>
        <w:tc>
          <w:tcPr>
            <w:tcW w:type="dxa" w:w="2880"/>
          </w:tcPr>
          <w:p>
            <w:r>
              <w:t>64 MiB</w:t>
            </w:r>
          </w:p>
        </w:tc>
        <w:tc>
          <w:tcPr>
            <w:tcW w:type="dxa" w:w="2880"/>
          </w:tcPr>
          <w:p>
            <w:r>
              <w:t>OWASP Password Storage Cheat Sheet 2024 (strong tier)</w:t>
            </w:r>
          </w:p>
        </w:tc>
      </w:tr>
      <w:tr>
        <w:tc>
          <w:tcPr>
            <w:tcW w:type="dxa" w:w="2880"/>
          </w:tcPr>
          <w:p>
            <w:r>
              <w:t>Iterations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OWASP 2024</w:t>
            </w:r>
          </w:p>
        </w:tc>
      </w:tr>
      <w:tr>
        <w:tc>
          <w:tcPr>
            <w:tcW w:type="dxa" w:w="2880"/>
          </w:tcPr>
          <w:p>
            <w:r>
              <w:t>Parallelism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OWASP 2024</w:t>
            </w:r>
          </w:p>
        </w:tc>
      </w:tr>
    </w:tbl>
    <w:p/>
    <w:p>
      <w:pPr>
        <w:pStyle w:val="Heading2"/>
      </w:pPr>
      <w:r>
        <w:t>4.2 HKDF-SHA256 and AES-256-GCM</w:t>
      </w:r>
    </w:p>
    <w:p>
      <w:r>
        <w:t>HKDF (RFC 5869) uses separate info strings for local storage keys versus session keys. AES-256-GCM (NIST SP 800-38D) uses a random 12-byte nonce per encryption. Nonce reuse under the same key would break confidentiality; we prevent this with random IVs and ratchet-derived message keys.</w:t>
      </w:r>
    </w:p>
    <w:p>
      <w:pPr>
        <w:pStyle w:val="Heading2"/>
      </w:pPr>
      <w:r>
        <w:t>4.3 X3DH and session keys</w:t>
      </w:r>
    </w:p>
    <w:p>
      <w:r>
        <w:t>The brief cites HPKE Mode_Auth (RFC 9180) as an example. We implement X3DH from the Signal specification (2016) because it matches pre-key bundles on a relay server. The TypeScript package adds the double ratchet (Signal, 2016) for ongoing messages. X25519 (RFC 7748) and Ed25519 (RFC 8032) provide agreement and signed pre-keys. HPKE fills the same role; TOFU would remain if we migrated.</w:t>
      </w:r>
    </w:p>
    <w:p>
      <w:pPr>
        <w:pStyle w:val="Heading1"/>
      </w:pPr>
      <w:r>
        <w:t>5. Implementation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cryptography/src/cryptoEngine.ts</w:t>
            </w:r>
          </w:p>
        </w:tc>
        <w:tc>
          <w:tcPr>
            <w:tcW w:type="dxa" w:w="4320"/>
          </w:tcPr>
          <w:p>
            <w:r>
              <w:t>Argon2id, HKDF, AES-GCM helpers</w:t>
            </w:r>
          </w:p>
        </w:tc>
      </w:tr>
      <w:tr>
        <w:tc>
          <w:tcPr>
            <w:tcW w:type="dxa" w:w="4320"/>
          </w:tcPr>
          <w:p>
            <w:r>
              <w:t>cryptography/src/signal/</w:t>
            </w:r>
          </w:p>
        </w:tc>
        <w:tc>
          <w:tcPr>
            <w:tcW w:type="dxa" w:w="4320"/>
          </w:tcPr>
          <w:p>
            <w:r>
              <w:t>Full X3DH, double ratchet, TOFU, libsignal-v1 wire</w:t>
            </w:r>
          </w:p>
        </w:tc>
      </w:tr>
      <w:tr>
        <w:tc>
          <w:tcPr>
            <w:tcW w:type="dxa" w:w="4320"/>
          </w:tcPr>
          <w:p>
            <w:r>
              <w:t>client NativeSignalCryptoProvider</w:t>
            </w:r>
          </w:p>
        </w:tc>
        <w:tc>
          <w:tcPr>
            <w:tcW w:type="dxa" w:w="4320"/>
          </w:tcPr>
          <w:p>
            <w:r>
              <w:t>OpenSSL: keys, signed pre-key verify, X3DH+GCM per message</w:t>
            </w:r>
          </w:p>
        </w:tc>
      </w:tr>
      <w:tr>
        <w:tc>
          <w:tcPr>
            <w:tcW w:type="dxa" w:w="4320"/>
          </w:tcPr>
          <w:p>
            <w:r>
              <w:t>FastAPI backend</w:t>
            </w:r>
          </w:p>
        </w:tc>
        <w:tc>
          <w:tcPr>
            <w:tcW w:type="dxa" w:w="4320"/>
          </w:tcPr>
          <w:p>
            <w:r>
              <w:t>Relay only; Argon2id passwords; never decrypts payloads</w:t>
            </w:r>
          </w:p>
        </w:tc>
      </w:tr>
    </w:tbl>
    <w:p/>
    <w:p>
      <w:pPr>
        <w:pStyle w:val="Heading1"/>
      </w:pPr>
      <w:r>
        <w:t>6. Known limitations</w:t>
      </w:r>
    </w:p>
    <w:p>
      <w:pPr>
        <w:pStyle w:val="ListBullet"/>
      </w:pPr>
      <w:r>
        <w:t>Metadata (participants, timing) is visible to the server.</w:t>
      </w:r>
    </w:p>
    <w:p>
      <w:pPr>
        <w:pStyle w:val="ListBullet"/>
      </w:pPr>
      <w:r>
        <w:t>C++ client does not yet persist double-ratchet state; repeated X3DH per message (see client README).</w:t>
      </w:r>
    </w:p>
    <w:p>
      <w:pPr>
        <w:pStyle w:val="ListBullet"/>
      </w:pPr>
      <w:r>
        <w:t>C++ inner wire format does not interoperate with TypeScript libsignal protobuf bodies.</w:t>
      </w:r>
    </w:p>
    <w:p>
      <w:pPr>
        <w:pStyle w:val="ListBullet"/>
      </w:pPr>
      <w:r>
        <w:t>Classical X25519 is not post-quantum; Kyber/PQXDH reserved for future libsignal migration.</w:t>
      </w:r>
    </w:p>
    <w:p>
      <w:pPr>
        <w:pStyle w:val="ListBullet"/>
      </w:pPr>
      <w:r>
        <w:t>Users must run /trust before first send to resist pre-key substitution.</w:t>
      </w:r>
    </w:p>
    <w:p>
      <w:pPr>
        <w:pStyle w:val="Heading1"/>
      </w:pPr>
      <w:r>
        <w:t>7.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</w:t>
            </w:r>
          </w:p>
        </w:tc>
        <w:tc>
          <w:tcPr>
            <w:tcW w:type="dxa" w:w="4320"/>
          </w:tcPr>
          <w:p>
            <w:r>
              <w:t>Command</w:t>
            </w:r>
          </w:p>
        </w:tc>
      </w:tr>
      <w:tr>
        <w:tc>
          <w:tcPr>
            <w:tcW w:type="dxa" w:w="4320"/>
          </w:tcPr>
          <w:p>
            <w:r>
              <w:t>E2EE round-trip (TS)</w:t>
            </w:r>
          </w:p>
        </w:tc>
        <w:tc>
          <w:tcPr>
            <w:tcW w:type="dxa" w:w="4320"/>
          </w:tcPr>
          <w:p>
            <w:r>
              <w:t>cd cryptography &amp;&amp; npm run smoke:signal</w:t>
            </w:r>
          </w:p>
        </w:tc>
      </w:tr>
      <w:tr>
        <w:tc>
          <w:tcPr>
            <w:tcW w:type="dxa" w:w="4320"/>
          </w:tcPr>
          <w:p>
            <w:r>
              <w:t>API relay</w:t>
            </w:r>
          </w:p>
        </w:tc>
        <w:tc>
          <w:tcPr>
            <w:tcW w:type="dxa" w:w="4320"/>
          </w:tcPr>
          <w:p>
            <w:r>
              <w:t>npm run e2e:backend</w:t>
            </w:r>
          </w:p>
        </w:tc>
      </w:tr>
      <w:tr>
        <w:tc>
          <w:tcPr>
            <w:tcW w:type="dxa" w:w="4320"/>
          </w:tcPr>
          <w:p>
            <w:r>
              <w:t>C++ X3DH + GCM</w:t>
            </w:r>
          </w:p>
        </w:tc>
        <w:tc>
          <w:tcPr>
            <w:tcW w:type="dxa" w:w="4320"/>
          </w:tcPr>
          <w:p>
            <w:r>
              <w:t>client_tests (OpenSSL build)</w:t>
            </w:r>
          </w:p>
        </w:tc>
      </w:tr>
    </w:tbl>
    <w:p/>
    <w:p>
      <w:pPr>
        <w:pStyle w:val="Heading1"/>
      </w:pPr>
      <w:r>
        <w:t>References</w:t>
      </w:r>
    </w:p>
    <w:p>
      <w:pPr>
        <w:pStyle w:val="ListBullet"/>
      </w:pPr>
      <w:r>
        <w:t>RFC 5869, RFC 7748, RFC 8032, RFC 9106, RFC 9180</w:t>
      </w:r>
    </w:p>
    <w:p>
      <w:pPr>
        <w:pStyle w:val="ListBullet"/>
      </w:pPr>
      <w:r>
        <w:t>NIST SP 800-38D, NIST SP 800-57</w:t>
      </w:r>
    </w:p>
    <w:p>
      <w:pPr>
        <w:pStyle w:val="ListBullet"/>
      </w:pPr>
      <w:r>
        <w:t>OWASP Password Storage Cheat Sheet (2024)</w:t>
      </w:r>
    </w:p>
    <w:p>
      <w:pPr>
        <w:pStyle w:val="ListBullet"/>
      </w:pPr>
      <w:r>
        <w:t>Signal X3DH and Double Ratchet specifications (2016)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