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Cryptographic Design Document</w:t>
      </w:r>
    </w:p>
    <w:p>
      <w:pPr>
        <w:jc w:val="center"/>
      </w:pPr>
      <w:r>
        <w:rPr>
          <w:sz w:val="24"/>
        </w:rPr>
        <w:t>CS4455 Cybersecurity Epic Project 2026</w:t>
        <w:br/>
        <w:t>Team kfc — Epic Messaging</w:t>
        <w:br/>
        <w:t>Module: Cryptography (Eoin O'Brien)</w:t>
      </w:r>
    </w:p>
    <w:p>
      <w:r>
        <w:t>Epic Messaging is a secure relay messaging system. Message bodies are end-to-end encrypted before they reach the server. Passwords and long-term private keys are protected with standard KDFs and AEAD. The Qt client uses OpenSSL for production traffic; the cryptography/ package implements the full Signal-style session for automated tests and backend integration.</w:t>
      </w:r>
    </w:p>
    <w:p>
      <w:pPr>
        <w:pStyle w:val="Heading1"/>
      </w:pPr>
      <w:r>
        <w:t>1. Security goals</w:t>
      </w:r>
    </w:p>
    <w:p>
      <w:r>
        <w:t>The design targets confidentiality, integrity, and authenticity of message content between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Mechanism</w:t>
            </w:r>
          </w:p>
        </w:tc>
      </w:tr>
      <w:tr>
        <w:tc>
          <w:tcPr>
            <w:tcW w:type="dxa" w:w="4320"/>
          </w:tcPr>
          <w:p>
            <w:r>
              <w:t>Confidentiality of message bodies</w:t>
            </w:r>
          </w:p>
        </w:tc>
        <w:tc>
          <w:tcPr>
            <w:tcW w:type="dxa" w:w="4320"/>
          </w:tcPr>
          <w:p>
            <w:r>
              <w:t>AES-256-GCM inside an E2EE session; server stores ciphertext only</w:t>
            </w:r>
          </w:p>
        </w:tc>
      </w:tr>
      <w:tr>
        <w:tc>
          <w:tcPr>
            <w:tcW w:type="dxa" w:w="4320"/>
          </w:tcPr>
          <w:p>
            <w:r>
              <w:t>Integrity of message bodies</w:t>
            </w:r>
          </w:p>
        </w:tc>
        <w:tc>
          <w:tcPr>
            <w:tcW w:type="dxa" w:w="4320"/>
          </w:tcPr>
          <w:p>
            <w:r>
              <w:t>GCM authentication tag; tampering fails decryption</w:t>
            </w:r>
          </w:p>
        </w:tc>
      </w:tr>
      <w:tr>
        <w:tc>
          <w:tcPr>
            <w:tcW w:type="dxa" w:w="4320"/>
          </w:tcPr>
          <w:p>
            <w:r>
              <w:t>Authenticity of sender</w:t>
            </w:r>
          </w:p>
        </w:tc>
        <w:tc>
          <w:tcPr>
            <w:tcW w:type="dxa" w:w="4320"/>
          </w:tcPr>
          <w:p>
            <w:r>
              <w:t>Ed25519-signed pre-keys plus TOFU identity pinning on clients</w:t>
            </w:r>
          </w:p>
        </w:tc>
      </w:tr>
      <w:tr>
        <w:tc>
          <w:tcPr>
            <w:tcW w:type="dxa" w:w="4320"/>
          </w:tcPr>
          <w:p>
            <w:r>
              <w:t>Password confidentiality if DB leaks</w:t>
            </w:r>
          </w:p>
        </w:tc>
        <w:tc>
          <w:tcPr>
            <w:tcW w:type="dxa" w:w="4320"/>
          </w:tcPr>
          <w:p>
            <w:r>
              <w:t>Argon2id PHC hashes; no plaintext passwords</w:t>
            </w:r>
          </w:p>
        </w:tc>
      </w:tr>
      <w:tr>
        <w:tc>
          <w:tcPr>
            <w:tcW w:type="dxa" w:w="4320"/>
          </w:tcPr>
          <w:p>
            <w:r>
              <w:t>Private keys at rest on client</w:t>
            </w:r>
          </w:p>
        </w:tc>
        <w:tc>
          <w:tcPr>
            <w:tcW w:type="dxa" w:w="4320"/>
          </w:tcPr>
          <w:p>
            <w:r>
              <w:t>HKDF-derived keys and AES-256-GCM via encryptPrivateKeyForStorage</w:t>
            </w:r>
          </w:p>
        </w:tc>
      </w:tr>
    </w:tbl>
    <w:p/>
    <w:p>
      <w:r>
        <w:t>TLS protects the transport to the API host. E2EE protects content from the server operator.</w:t>
      </w:r>
    </w:p>
    <w:p>
      <w:pPr>
        <w:pStyle w:val="Heading1"/>
      </w:pPr>
      <w:r>
        <w:t>2. Threat model</w:t>
      </w:r>
    </w:p>
    <w:p>
      <w:r>
        <w:t>We consider four attacker classes. The tables below separate cryptographic guarantees from properties the protocol does not provide.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Attacker</w:t>
            </w:r>
          </w:p>
        </w:tc>
        <w:tc>
          <w:tcPr>
            <w:tcW w:type="dxa" w:w="4320"/>
          </w:tcPr>
          <w:p>
            <w:r>
              <w:t>Capability</w:t>
            </w:r>
          </w:p>
        </w:tc>
      </w:tr>
      <w:tr>
        <w:tc>
          <w:tcPr>
            <w:tcW w:type="dxa" w:w="4320"/>
          </w:tcPr>
          <w:p>
            <w:r>
              <w:t>A. Passive network</w:t>
            </w:r>
          </w:p>
        </w:tc>
        <w:tc>
          <w:tcPr>
            <w:tcW w:type="dxa" w:w="4320"/>
          </w:tcPr>
          <w:p>
            <w:r>
              <w:t>Read client-server traffic</w:t>
            </w:r>
          </w:p>
        </w:tc>
      </w:tr>
      <w:tr>
        <w:tc>
          <w:tcPr>
            <w:tcW w:type="dxa" w:w="4320"/>
          </w:tcPr>
          <w:p>
            <w:r>
              <w:t>B. Active network</w:t>
            </w:r>
          </w:p>
        </w:tc>
        <w:tc>
          <w:tcPr>
            <w:tcW w:type="dxa" w:w="4320"/>
          </w:tcPr>
          <w:p>
            <w:r>
              <w:t>Modify, drop, replay, or inject traffic</w:t>
            </w:r>
          </w:p>
        </w:tc>
      </w:tr>
      <w:tr>
        <w:tc>
          <w:tcPr>
            <w:tcW w:type="dxa" w:w="4320"/>
          </w:tcPr>
          <w:p>
            <w:r>
              <w:t>C. Honest-but-curious server</w:t>
            </w:r>
          </w:p>
        </w:tc>
        <w:tc>
          <w:tcPr>
            <w:tcW w:type="dxa" w:w="4320"/>
          </w:tcPr>
          <w:p>
            <w:r>
              <w:t>Follows the API; logs ciphertext and metadata</w:t>
            </w:r>
          </w:p>
        </w:tc>
      </w:tr>
      <w:tr>
        <w:tc>
          <w:tcPr>
            <w:tcW w:type="dxa" w:w="4320"/>
          </w:tcPr>
          <w:p>
            <w:r>
              <w:t>D. Compromised server</w:t>
            </w:r>
          </w:p>
        </w:tc>
        <w:tc>
          <w:tcPr>
            <w:tcW w:type="dxa" w:w="4320"/>
          </w:tcPr>
          <w:p>
            <w:r>
              <w:t>Full database; can return malicious API responses</w:t>
            </w:r>
          </w:p>
        </w:tc>
      </w:tr>
    </w:tbl>
    <w:p/>
    <w:p>
      <w:pPr>
        <w:pStyle w:val="Heading2"/>
      </w:pPr>
      <w:r>
        <w:t>2.1 Cryptographic defences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Defence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Past ciphertext stays confidential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Ciphertext tampering is detected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Sender cryptographically bound to keys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Yes*</w:t>
            </w:r>
          </w:p>
        </w:tc>
      </w:tr>
      <w:tr>
        <w:tc>
          <w:tcPr>
            <w:tcW w:type="dxa" w:w="1728"/>
          </w:tcPr>
          <w:p>
            <w:r>
              <w:t>Forward secrecy for new messages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Yes**</w:t>
            </w:r>
          </w:p>
        </w:tc>
      </w:tr>
    </w:tbl>
    <w:p/>
    <w:p>
      <w:r>
        <w:t>*Clients pin identity keys with /trust and block sends if the server swaps keys.</w:t>
      </w:r>
    </w:p>
    <w:p>
      <w:r>
        <w:t>**Full double ratchet in the TypeScript package; the C++ client runs X3DH plus GCM on each message until persisted ratchet state is added.</w:t>
      </w:r>
    </w:p>
    <w:p>
      <w:pPr>
        <w:pStyle w:val="Heading2"/>
      </w:pPr>
      <w:r>
        <w:t>2.2 Out of scope</w:t>
      </w:r>
    </w:p>
    <w:p>
      <w:r>
        <w:t>These properties are not provided by the cipher layer or are handled operationally: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Hide who messaged whom</w:t>
            </w:r>
          </w:p>
        </w:tc>
        <w:tc>
          <w:tcPr>
            <w:tcW w:type="dxa" w:w="2880"/>
          </w:tcPr>
          <w:p>
            <w:r>
              <w:t>Not provided</w:t>
            </w:r>
          </w:p>
        </w:tc>
        <w:tc>
          <w:tcPr>
            <w:tcW w:type="dxa" w:w="2880"/>
          </w:tcPr>
          <w:p>
            <w:r>
              <w:t>Relay server and TLS observer see routing metadata</w:t>
            </w:r>
          </w:p>
        </w:tc>
      </w:tr>
      <w:tr>
        <w:tc>
          <w:tcPr>
            <w:tcW w:type="dxa" w:w="2880"/>
          </w:tcPr>
          <w:p>
            <w:r>
              <w:t>Guarantee message delivery</w:t>
            </w:r>
          </w:p>
        </w:tc>
        <w:tc>
          <w:tcPr>
            <w:tcW w:type="dxa" w:w="2880"/>
          </w:tcPr>
          <w:p>
            <w:r>
              <w:t>Not provided</w:t>
            </w:r>
          </w:p>
        </w:tc>
        <w:tc>
          <w:tcPr>
            <w:tcW w:type="dxa" w:w="2880"/>
          </w:tcPr>
          <w:p>
            <w:r>
              <w:t>Server can drop or withhold messages</w:t>
            </w:r>
          </w:p>
        </w:tc>
      </w:tr>
      <w:tr>
        <w:tc>
          <w:tcPr>
            <w:tcW w:type="dxa" w:w="2880"/>
          </w:tcPr>
          <w:p>
            <w:r>
              <w:t>First-contact MITM</w:t>
            </w:r>
          </w:p>
        </w:tc>
        <w:tc>
          <w:tcPr>
            <w:tcW w:type="dxa" w:w="2880"/>
          </w:tcPr>
          <w:p>
            <w:r>
              <w:t>Mitigated by TOFU</w:t>
            </w:r>
          </w:p>
        </w:tc>
        <w:tc>
          <w:tcPr>
            <w:tcW w:type="dxa" w:w="2880"/>
          </w:tcPr>
          <w:p>
            <w:r>
              <w:t>User runs /trust before sending</w:t>
            </w:r>
          </w:p>
        </w:tc>
      </w:tr>
    </w:tbl>
    <w:p/>
    <w:p>
      <w:pPr>
        <w:pStyle w:val="Heading2"/>
      </w:pPr>
      <w:r>
        <w:t>2.3 Compromised server</w:t>
      </w:r>
    </w:p>
    <w:p>
      <w:pPr>
        <w:pStyle w:val="ListBullet"/>
      </w:pPr>
      <w:r>
        <w:t>With full database access, the server still cannot:</w:t>
      </w:r>
    </w:p>
    <w:p>
      <w:pPr>
        <w:pStyle w:val="ListBullet"/>
      </w:pPr>
      <w:r>
        <w:t>Decrypt wire_payload_json without client private keys.</w:t>
      </w:r>
    </w:p>
    <w:p>
      <w:pPr>
        <w:pStyle w:val="ListBullet"/>
      </w:pPr>
      <w:r>
        <w:t>Forge AEAD ciphertext that decrypts to chosen plaintext for an existing session.</w:t>
      </w:r>
    </w:p>
    <w:p>
      <w:pPr>
        <w:pStyle w:val="ListBullet"/>
      </w:pPr>
      <w:r>
        <w:t>The server can observe metadata, delay delivery, or substitute pre-keys for contacts not yet pinned.</w:t>
      </w:r>
    </w:p>
    <w:p>
      <w:pPr>
        <w:pStyle w:val="Heading1"/>
      </w:pPr>
      <w:r>
        <w:t>3. Protocol construction</w:t>
      </w:r>
    </w:p>
    <w:p>
      <w:pPr>
        <w:pStyle w:val="Heading2"/>
      </w:pPr>
      <w:r>
        <w:t>3.1 Registration and key publication</w:t>
      </w:r>
    </w:p>
    <w:p>
      <w:r>
        <w:t>1. Client generates X25519 and Ed25519 key pairs and pre-keys.</w:t>
        <w:br/>
        <w:t>2. Client registers over TLS; server stores Argon2id password hash only.</w:t>
        <w:br/>
        <w:t>3. Client uploads public pre-key bundle; private keys remain on device.</w:t>
        <w:br/>
        <w:t>4. Private key blobs may be encrypted at rest under HKDF-derived keys.</w:t>
      </w:r>
    </w:p>
    <w:p>
      <w:pPr>
        <w:pStyle w:val="Heading2"/>
      </w:pPr>
      <w:r>
        <w:t>3.2 Send and receive</w:t>
      </w:r>
    </w:p>
    <w:p>
      <w:r>
        <w:t>1. Sender fetches recipient public bundle after /trust pins identity.</w:t>
        <w:br/>
        <w:t>2. TypeScript (cryptography/): X3DH, double ratchet, GCM envelope, libsignal-v1 wire JSON.</w:t>
        <w:br/>
        <w:t>3. C++ client: OpenSSL X3DH and GCM per message; each send carries a full X3DH block today.</w:t>
        <w:br/>
        <w:t>4. Server stores wire_payload_json; recipient decrypts locally.</w:t>
        <w:br/>
        <w:t>5. Backend checks JSON shape only; it never decrypts payloads.</w:t>
      </w:r>
    </w:p>
    <w:p>
      <w:pPr>
        <w:pStyle w:val="Heading2"/>
      </w:pPr>
      <w:r>
        <w:t>3.3 Trust model</w:t>
      </w:r>
    </w:p>
    <w:p>
      <w:r>
        <w:t>Public keys are stored on the server. Clients pin the identity key on first use (/trust) and stop sending if the identity changes. We use TOFU rather than a certificate authority.</w:t>
      </w:r>
    </w:p>
    <w:p>
      <w:pPr>
        <w:pStyle w:val="Heading1"/>
      </w:pPr>
      <w:r>
        <w:t>4. Primitive choices</w:t>
      </w:r>
    </w:p>
    <w:p>
      <w:r>
        <w:t>Libraries: Node crypto, argon2, @privacyresearch/libsignal-protocol-typescript; C++ client: OpenSSL 3 EVP.</w:t>
      </w:r>
    </w:p>
    <w:p>
      <w:pPr>
        <w:pStyle w:val="Heading2"/>
      </w:pPr>
      <w:r>
        <w:t>4.1 Argon2id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Argon2id</w:t>
            </w:r>
          </w:p>
        </w:tc>
        <w:tc>
          <w:tcPr>
            <w:tcW w:type="dxa" w:w="2880"/>
          </w:tcPr>
          <w:p>
            <w:r>
              <w:t>RFC 9106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64 MiB</w:t>
            </w:r>
          </w:p>
        </w:tc>
        <w:tc>
          <w:tcPr>
            <w:tcW w:type="dxa" w:w="2880"/>
          </w:tcPr>
          <w:p>
            <w:r>
              <w:t>OWASP Password Storage Cheat Sheet 2024 (strong tier)</w:t>
            </w:r>
          </w:p>
        </w:tc>
      </w:tr>
      <w:tr>
        <w:tc>
          <w:tcPr>
            <w:tcW w:type="dxa" w:w="2880"/>
          </w:tcPr>
          <w:p>
            <w:r>
              <w:t>Iterations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OWASP 2024</w:t>
            </w:r>
          </w:p>
        </w:tc>
      </w:tr>
      <w:tr>
        <w:tc>
          <w:tcPr>
            <w:tcW w:type="dxa" w:w="2880"/>
          </w:tcPr>
          <w:p>
            <w:r>
              <w:t>Parallelism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OWASP 2024</w:t>
            </w:r>
          </w:p>
        </w:tc>
      </w:tr>
    </w:tbl>
    <w:p/>
    <w:p>
      <w:pPr>
        <w:pStyle w:val="Heading2"/>
      </w:pPr>
      <w:r>
        <w:t>4.2 HKDF-SHA256 and AES-256-GCM</w:t>
      </w:r>
    </w:p>
    <w:p>
      <w:r>
        <w:t>HKDF (RFC 5869) uses separate info strings for local storage keys versus session keys. AES-256-GCM (NIST SP 800-38D) uses a random 12-byte nonce per encryption. Reusing a nonce under the same key breaks confidentiality; we use random IVs and ratchet-derived message keys.</w:t>
      </w:r>
    </w:p>
    <w:p>
      <w:pPr>
        <w:pStyle w:val="Heading2"/>
      </w:pPr>
      <w:r>
        <w:t>4.3 X3DH and session keys</w:t>
      </w:r>
    </w:p>
    <w:p>
      <w:r>
        <w:t>HPKE Mode_Auth (RFC 9180) is one standard option for authenticated key establishment. We use X3DH (Signal, 2016) with pre-key bundles on the relay server. The TypeScript package adds the double ratchet (Signal, 2016) for ongoing messages. X25519 (RFC 7748) and Ed25519 (RFC 8032) handle agreement and signed pre-keys.</w:t>
      </w:r>
    </w:p>
    <w:p>
      <w:pPr>
        <w:pStyle w:val="Heading1"/>
      </w:pPr>
      <w:r>
        <w:t>5.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cryptography/src/cryptoEngine.ts</w:t>
            </w:r>
          </w:p>
        </w:tc>
        <w:tc>
          <w:tcPr>
            <w:tcW w:type="dxa" w:w="4320"/>
          </w:tcPr>
          <w:p>
            <w:r>
              <w:t>Argon2id, HKDF, AES-GCM helpers</w:t>
            </w:r>
          </w:p>
        </w:tc>
      </w:tr>
      <w:tr>
        <w:tc>
          <w:tcPr>
            <w:tcW w:type="dxa" w:w="4320"/>
          </w:tcPr>
          <w:p>
            <w:r>
              <w:t>cryptography/src/signal/</w:t>
            </w:r>
          </w:p>
        </w:tc>
        <w:tc>
          <w:tcPr>
            <w:tcW w:type="dxa" w:w="4320"/>
          </w:tcPr>
          <w:p>
            <w:r>
              <w:t>X3DH, double ratchet, TOFU, libsignal-v1 wire</w:t>
            </w:r>
          </w:p>
        </w:tc>
      </w:tr>
      <w:tr>
        <w:tc>
          <w:tcPr>
            <w:tcW w:type="dxa" w:w="4320"/>
          </w:tcPr>
          <w:p>
            <w:r>
              <w:t>client NativeSignalCryptoProvider</w:t>
            </w:r>
          </w:p>
        </w:tc>
        <w:tc>
          <w:tcPr>
            <w:tcW w:type="dxa" w:w="4320"/>
          </w:tcPr>
          <w:p>
            <w:r>
              <w:t>OpenSSL: keys, pre-key verify, X3DH+GCM per message</w:t>
            </w:r>
          </w:p>
        </w:tc>
      </w:tr>
      <w:tr>
        <w:tc>
          <w:tcPr>
            <w:tcW w:type="dxa" w:w="4320"/>
          </w:tcPr>
          <w:p>
            <w:r>
              <w:t>FastAPI backend</w:t>
            </w:r>
          </w:p>
        </w:tc>
        <w:tc>
          <w:tcPr>
            <w:tcW w:type="dxa" w:w="4320"/>
          </w:tcPr>
          <w:p>
            <w:r>
              <w:t>Relay; Argon2id passwords; no payload decryption</w:t>
            </w:r>
          </w:p>
        </w:tc>
      </w:tr>
    </w:tbl>
    <w:p/>
    <w:p>
      <w:pPr>
        <w:pStyle w:val="Heading1"/>
      </w:pPr>
      <w:r>
        <w:t>6. Limitations</w:t>
      </w:r>
    </w:p>
    <w:p>
      <w:pPr>
        <w:pStyle w:val="ListBullet"/>
      </w:pPr>
      <w:r>
        <w:t>Metadata (participants, timing) is visible to the server.</w:t>
      </w:r>
    </w:p>
    <w:p>
      <w:pPr>
        <w:pStyle w:val="ListBullet"/>
      </w:pPr>
      <w:r>
        <w:t>The C++ client does not yet persist double-ratchet state (see client README).</w:t>
      </w:r>
    </w:p>
    <w:p>
      <w:pPr>
        <w:pStyle w:val="ListBullet"/>
      </w:pPr>
      <w:r>
        <w:t>C++ and TypeScript inner wire formats are not interoperable without a shared adapter.</w:t>
      </w:r>
    </w:p>
    <w:p>
      <w:pPr>
        <w:pStyle w:val="ListBullet"/>
      </w:pPr>
      <w:r>
        <w:t>X25519 is not post-quantum; Kyber/PQXDH is reserved for a future libsignal upgrade.</w:t>
      </w:r>
    </w:p>
    <w:p>
      <w:pPr>
        <w:pStyle w:val="ListBullet"/>
      </w:pPr>
      <w:r>
        <w:t>Users should run /trust before the first message to a new contact.</w:t>
      </w:r>
    </w:p>
    <w:p>
      <w:pPr>
        <w:pStyle w:val="Heading1"/>
      </w:pPr>
      <w:r>
        <w:t>7.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E2EE round-trip (TypeScript)</w:t>
            </w:r>
          </w:p>
        </w:tc>
        <w:tc>
          <w:tcPr>
            <w:tcW w:type="dxa" w:w="4320"/>
          </w:tcPr>
          <w:p>
            <w:r>
              <w:t>cd cryptography &amp;&amp; npm run smoke:signal</w:t>
            </w:r>
          </w:p>
        </w:tc>
      </w:tr>
      <w:tr>
        <w:tc>
          <w:tcPr>
            <w:tcW w:type="dxa" w:w="4320"/>
          </w:tcPr>
          <w:p>
            <w:r>
              <w:t>API relay</w:t>
            </w:r>
          </w:p>
        </w:tc>
        <w:tc>
          <w:tcPr>
            <w:tcW w:type="dxa" w:w="4320"/>
          </w:tcPr>
          <w:p>
            <w:r>
              <w:t>npm run e2e:backend</w:t>
            </w:r>
          </w:p>
        </w:tc>
      </w:tr>
      <w:tr>
        <w:tc>
          <w:tcPr>
            <w:tcW w:type="dxa" w:w="4320"/>
          </w:tcPr>
          <w:p>
            <w:r>
              <w:t>C++ X3DH + GCM</w:t>
            </w:r>
          </w:p>
        </w:tc>
        <w:tc>
          <w:tcPr>
            <w:tcW w:type="dxa" w:w="4320"/>
          </w:tcPr>
          <w:p>
            <w:r>
              <w:t>client_tests with OpenSSL enabled</w:t>
            </w:r>
          </w:p>
        </w:tc>
      </w:tr>
    </w:tbl>
    <w:p/>
    <w:p>
      <w:pPr>
        <w:pStyle w:val="Heading1"/>
      </w:pPr>
      <w:r>
        <w:t>References</w:t>
      </w:r>
    </w:p>
    <w:p>
      <w:pPr>
        <w:pStyle w:val="ListBullet"/>
      </w:pPr>
      <w:r>
        <w:t>RFC 5869, RFC 7748, RFC 8032, RFC 9106, RFC 9180</w:t>
      </w:r>
    </w:p>
    <w:p>
      <w:pPr>
        <w:pStyle w:val="ListBullet"/>
      </w:pPr>
      <w:r>
        <w:t>NIST SP 800-38D, NIST SP 800-57</w:t>
      </w:r>
    </w:p>
    <w:p>
      <w:pPr>
        <w:pStyle w:val="ListBullet"/>
      </w:pPr>
      <w:r>
        <w:t>OWASP Password Storage Cheat Sheet (2024)</w:t>
      </w:r>
    </w:p>
    <w:p>
      <w:pPr>
        <w:pStyle w:val="ListBullet"/>
      </w:pPr>
      <w:r>
        <w:t>Signal X3DH and Double Ratchet specifications (2016)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