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Wave 1 Technical Methodology and Test Report</w:t>
      </w:r>
    </w:p>
    <w:p>
      <w:pPr>
        <w:jc w:val="center"/>
      </w:pPr>
      <w:r>
        <w:rPr>
          <w:b/>
          <w:color w:val="C00000"/>
        </w:rPr>
        <w:t>INTERNAL ONLY — PENDING GATE 5 AND HUMAN PUBLICATION APPROVAL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592"/>
            <w:shd w:fill="17365D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8352"/>
            <w:shd w:fill="17365D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2592"/>
          </w:tcPr>
          <w:p>
            <w:r>
              <w:rPr>
                <w:rFonts w:ascii="Arial" w:hAnsi="Arial"/>
                <w:b w:val="0"/>
                <w:sz w:val="16"/>
              </w:rPr>
              <w:t>Run ID</w:t>
            </w:r>
          </w:p>
        </w:tc>
        <w:tc>
          <w:tcPr>
            <w:tcW w:type="dxa" w:w="8352"/>
          </w:tcPr>
          <w:p>
            <w:r>
              <w:rPr>
                <w:rFonts w:ascii="Arial" w:hAnsi="Arial"/>
                <w:b w:val="0"/>
                <w:sz w:val="16"/>
              </w:rPr>
              <w:t>W1-20260727-001</w:t>
            </w:r>
          </w:p>
        </w:tc>
      </w:tr>
      <w:tr>
        <w:tc>
          <w:tcPr>
            <w:tcW w:type="dxa" w:w="2592"/>
          </w:tcPr>
          <w:p>
            <w:r>
              <w:rPr>
                <w:rFonts w:ascii="Arial" w:hAnsi="Arial"/>
                <w:b w:val="0"/>
                <w:sz w:val="16"/>
              </w:rPr>
              <w:t>Signal definition version</w:t>
            </w:r>
          </w:p>
        </w:tc>
        <w:tc>
          <w:tcPr>
            <w:tcW w:type="dxa" w:w="8352"/>
          </w:tcPr>
          <w:p>
            <w:r>
              <w:rPr>
                <w:rFonts w:ascii="Arial" w:hAnsi="Arial"/>
                <w:b w:val="0"/>
                <w:sz w:val="16"/>
              </w:rPr>
              <w:t>0.1.0</w:t>
            </w:r>
          </w:p>
        </w:tc>
      </w:tr>
      <w:tr>
        <w:tc>
          <w:tcPr>
            <w:tcW w:type="dxa" w:w="2592"/>
          </w:tcPr>
          <w:p>
            <w:r>
              <w:rPr>
                <w:rFonts w:ascii="Arial" w:hAnsi="Arial"/>
                <w:b w:val="0"/>
                <w:sz w:val="16"/>
              </w:rPr>
              <w:t>Validation generated at</w:t>
            </w:r>
          </w:p>
        </w:tc>
        <w:tc>
          <w:tcPr>
            <w:tcW w:type="dxa" w:w="8352"/>
          </w:tcPr>
          <w:p>
            <w:r>
              <w:rPr>
                <w:rFonts w:ascii="Arial" w:hAnsi="Arial"/>
                <w:b w:val="0"/>
                <w:sz w:val="16"/>
              </w:rPr>
              <w:t>2026-07-27T12:24:26.408112+00:00</w:t>
            </w:r>
          </w:p>
        </w:tc>
      </w:tr>
      <w:tr>
        <w:tc>
          <w:tcPr>
            <w:tcW w:type="dxa" w:w="2592"/>
          </w:tcPr>
          <w:p>
            <w:r>
              <w:rPr>
                <w:rFonts w:ascii="Arial" w:hAnsi="Arial"/>
                <w:b w:val="0"/>
                <w:sz w:val="16"/>
              </w:rPr>
              <w:t>Source ID</w:t>
            </w:r>
          </w:p>
        </w:tc>
        <w:tc>
          <w:tcPr>
            <w:tcW w:type="dxa" w:w="8352"/>
          </w:tcPr>
          <w:p>
            <w:r>
              <w:rPr>
                <w:rFonts w:ascii="Arial" w:hAnsi="Arial"/>
                <w:b w:val="0"/>
                <w:sz w:val="16"/>
              </w:rPr>
              <w:t>uci_default_credit_card_clients</w:t>
            </w:r>
          </w:p>
        </w:tc>
      </w:tr>
      <w:tr>
        <w:tc>
          <w:tcPr>
            <w:tcW w:type="dxa" w:w="2592"/>
          </w:tcPr>
          <w:p>
            <w:r>
              <w:rPr>
                <w:rFonts w:ascii="Arial" w:hAnsi="Arial"/>
                <w:b w:val="0"/>
                <w:sz w:val="16"/>
              </w:rPr>
              <w:t>Source SHA-256</w:t>
            </w:r>
          </w:p>
        </w:tc>
        <w:tc>
          <w:tcPr>
            <w:tcW w:type="dxa" w:w="8352"/>
          </w:tcPr>
          <w:p>
            <w:r>
              <w:rPr>
                <w:rFonts w:ascii="Arial" w:hAnsi="Arial"/>
                <w:b w:val="0"/>
                <w:sz w:val="16"/>
              </w:rPr>
              <w:t>30c6be3abd8dcfd3e6096c828bad8c2f011238620f5369220bd60cfc82700933</w:t>
            </w:r>
          </w:p>
        </w:tc>
      </w:tr>
      <w:tr>
        <w:tc>
          <w:tcPr>
            <w:tcW w:type="dxa" w:w="2592"/>
          </w:tcPr>
          <w:p>
            <w:r>
              <w:rPr>
                <w:rFonts w:ascii="Arial" w:hAnsi="Arial"/>
                <w:b w:val="0"/>
                <w:sz w:val="16"/>
              </w:rPr>
              <w:t>Publication</w:t>
            </w:r>
          </w:p>
        </w:tc>
        <w:tc>
          <w:tcPr>
            <w:tcW w:type="dxa" w:w="8352"/>
          </w:tcPr>
          <w:p>
            <w:r>
              <w:rPr>
                <w:rFonts w:ascii="Arial" w:hAnsi="Arial"/>
                <w:b w:val="0"/>
                <w:sz w:val="16"/>
              </w:rPr>
              <w:t>Pending Gate 5 and human approval</w:t>
            </w:r>
          </w:p>
        </w:tc>
      </w:tr>
    </w:tbl>
    <w:p/>
    <w:p>
      <w:pPr>
        <w:pStyle w:val="Heading1"/>
      </w:pPr>
      <w:r>
        <w:t>Technical summary</w:t>
      </w:r>
    </w:p>
    <w:p>
      <w:r>
        <w:t>Independent Gate 1–3 evidence for run W1-20260727-001 validates 30,000 borrowers, 180,000 borrower-month rows, and 15 SQL tests with 0 failures. Row and amount reconciliations satisfy the approved controls. Observed rates are descriptive and internal-only.</w:t>
      </w:r>
    </w:p>
    <w:p>
      <w:pPr>
        <w:pStyle w:val="Heading1"/>
      </w:pPr>
      <w:r>
        <w:t>Reconciled populations protect the signal denominator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3744"/>
            <w:shd w:fill="17365D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Metric</w:t>
            </w:r>
          </w:p>
        </w:tc>
        <w:tc>
          <w:tcPr>
            <w:tcW w:type="dxa" w:w="1800"/>
            <w:shd w:fill="17365D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Source / expected</w:t>
            </w:r>
          </w:p>
        </w:tc>
        <w:tc>
          <w:tcPr>
            <w:tcW w:type="dxa" w:w="1800"/>
            <w:shd w:fill="17365D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Derived / actual</w:t>
            </w:r>
          </w:p>
        </w:tc>
        <w:tc>
          <w:tcPr>
            <w:tcW w:type="dxa" w:w="1440"/>
            <w:shd w:fill="17365D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Difference</w:t>
            </w:r>
          </w:p>
        </w:tc>
        <w:tc>
          <w:tcPr>
            <w:tcW w:type="dxa" w:w="1152"/>
            <w:shd w:fill="17365D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3744"/>
          </w:tcPr>
          <w:p>
            <w:r>
              <w:rPr>
                <w:rFonts w:ascii="Arial" w:hAnsi="Arial"/>
                <w:b w:val="0"/>
                <w:sz w:val="16"/>
              </w:rPr>
              <w:t>Source rows → raw rows</w:t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b w:val="0"/>
                <w:sz w:val="16"/>
              </w:rPr>
              <w:t>30000</w:t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b w:val="0"/>
                <w:sz w:val="16"/>
              </w:rPr>
              <w:t>30000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1152"/>
          </w:tcPr>
          <w:p>
            <w:r>
              <w:rPr>
                <w:rFonts w:ascii="Arial" w:hAnsi="Arial"/>
                <w:b w:val="0"/>
                <w:sz w:val="16"/>
              </w:rPr>
              <w:t>PASS</w:t>
            </w:r>
          </w:p>
        </w:tc>
      </w:tr>
      <w:tr>
        <w:tc>
          <w:tcPr>
            <w:tcW w:type="dxa" w:w="3744"/>
          </w:tcPr>
          <w:p>
            <w:r>
              <w:rPr>
                <w:rFonts w:ascii="Arial" w:hAnsi="Arial"/>
                <w:b w:val="0"/>
                <w:sz w:val="16"/>
              </w:rPr>
              <w:t>Raw rows → borrowers</w:t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b w:val="0"/>
                <w:sz w:val="16"/>
              </w:rPr>
              <w:t>30000</w:t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b w:val="0"/>
                <w:sz w:val="16"/>
              </w:rPr>
              <w:t>30000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1152"/>
          </w:tcPr>
          <w:p>
            <w:r>
              <w:rPr>
                <w:rFonts w:ascii="Arial" w:hAnsi="Arial"/>
                <w:b w:val="0"/>
                <w:sz w:val="16"/>
              </w:rPr>
              <w:t>PASS</w:t>
            </w:r>
          </w:p>
        </w:tc>
      </w:tr>
      <w:tr>
        <w:tc>
          <w:tcPr>
            <w:tcW w:type="dxa" w:w="3744"/>
          </w:tcPr>
          <w:p>
            <w:r>
              <w:rPr>
                <w:rFonts w:ascii="Arial" w:hAnsi="Arial"/>
                <w:b w:val="0"/>
                <w:sz w:val="16"/>
              </w:rPr>
              <w:t>Borrowers × 6 → borrower-months</w:t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b w:val="0"/>
                <w:sz w:val="16"/>
              </w:rPr>
              <w:t>180000</w:t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b w:val="0"/>
                <w:sz w:val="16"/>
              </w:rPr>
              <w:t>180000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1152"/>
          </w:tcPr>
          <w:p>
            <w:r>
              <w:rPr>
                <w:rFonts w:ascii="Arial" w:hAnsi="Arial"/>
                <w:b w:val="0"/>
                <w:sz w:val="16"/>
              </w:rPr>
              <w:t>PASS</w:t>
            </w:r>
          </w:p>
        </w:tc>
      </w:tr>
      <w:tr>
        <w:tc>
          <w:tcPr>
            <w:tcW w:type="dxa" w:w="3744"/>
          </w:tcPr>
          <w:p>
            <w:r>
              <w:rPr>
                <w:rFonts w:ascii="Arial" w:hAnsi="Arial"/>
                <w:b w:val="0"/>
                <w:sz w:val="16"/>
              </w:rPr>
              <w:t>Wide bills → long bills</w:t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b w:val="0"/>
                <w:sz w:val="16"/>
              </w:rPr>
              <w:t>8095850136</w:t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b w:val="0"/>
                <w:sz w:val="16"/>
              </w:rPr>
              <w:t>8095850136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1152"/>
          </w:tcPr>
          <w:p>
            <w:r>
              <w:rPr>
                <w:rFonts w:ascii="Arial" w:hAnsi="Arial"/>
                <w:b w:val="0"/>
                <w:sz w:val="16"/>
              </w:rPr>
              <w:t>PASS</w:t>
            </w:r>
          </w:p>
        </w:tc>
      </w:tr>
      <w:tr>
        <w:tc>
          <w:tcPr>
            <w:tcW w:type="dxa" w:w="3744"/>
          </w:tcPr>
          <w:p>
            <w:r>
              <w:rPr>
                <w:rFonts w:ascii="Arial" w:hAnsi="Arial"/>
                <w:b w:val="0"/>
                <w:sz w:val="16"/>
              </w:rPr>
              <w:t>Wide payments → long payments</w:t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b w:val="0"/>
                <w:sz w:val="16"/>
              </w:rPr>
              <w:t>949541777</w:t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b w:val="0"/>
                <w:sz w:val="16"/>
              </w:rPr>
              <w:t>949541777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1152"/>
          </w:tcPr>
          <w:p>
            <w:r>
              <w:rPr>
                <w:rFonts w:ascii="Arial" w:hAnsi="Arial"/>
                <w:b w:val="0"/>
                <w:sz w:val="16"/>
              </w:rPr>
              <w:t>PASS</w:t>
            </w:r>
          </w:p>
        </w:tc>
      </w:tr>
    </w:tbl>
    <w:p/>
    <w:p>
      <w:r>
        <w:t>These checks establish transformation consistency. They do not establish causal, predictive, calibration, or production-model validity.</w:t>
      </w:r>
    </w:p>
    <w:p>
      <w:pPr>
        <w:pStyle w:val="Heading1"/>
      </w:pPr>
      <w:r>
        <w:t>Data-quality controls passed with one reporting limitation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448"/>
            <w:shd w:fill="17365D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Control</w:t>
            </w:r>
          </w:p>
        </w:tc>
        <w:tc>
          <w:tcPr>
            <w:tcW w:type="dxa" w:w="1152"/>
            <w:shd w:fill="17365D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1440"/>
            <w:shd w:fill="17365D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Observed</w:t>
            </w:r>
          </w:p>
        </w:tc>
        <w:tc>
          <w:tcPr>
            <w:tcW w:type="dxa" w:w="1872"/>
            <w:shd w:fill="17365D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Expectation</w:t>
            </w:r>
          </w:p>
        </w:tc>
        <w:tc>
          <w:tcPr>
            <w:tcW w:type="dxa" w:w="4320"/>
            <w:shd w:fill="17365D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Evidence / warning</w:t>
            </w:r>
          </w:p>
        </w:tc>
      </w:tr>
      <w:tr>
        <w:tc>
          <w:tcPr>
            <w:tcW w:type="dxa" w:w="2448"/>
          </w:tcPr>
          <w:p>
            <w:r>
              <w:rPr>
                <w:rFonts w:ascii="Arial" w:hAnsi="Arial"/>
                <w:b w:val="0"/>
                <w:sz w:val="16"/>
              </w:rPr>
              <w:t>DQ-PK-BORROWER</w:t>
            </w:r>
          </w:p>
        </w:tc>
        <w:tc>
          <w:tcPr>
            <w:tcW w:type="dxa" w:w="1152"/>
          </w:tcPr>
          <w:p>
            <w:r>
              <w:rPr>
                <w:rFonts w:ascii="Arial" w:hAnsi="Arial"/>
                <w:b w:val="0"/>
                <w:sz w:val="1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b w:val="0"/>
                <w:sz w:val="16"/>
              </w:rPr>
              <w:t>Gate 2 primary_key</w:t>
            </w:r>
          </w:p>
        </w:tc>
      </w:tr>
      <w:tr>
        <w:tc>
          <w:tcPr>
            <w:tcW w:type="dxa" w:w="2448"/>
          </w:tcPr>
          <w:p>
            <w:r>
              <w:rPr>
                <w:rFonts w:ascii="Arial" w:hAnsi="Arial"/>
                <w:b w:val="0"/>
                <w:sz w:val="16"/>
              </w:rPr>
              <w:t>DQ-PK-ACCOUNT-MONTH</w:t>
            </w:r>
          </w:p>
        </w:tc>
        <w:tc>
          <w:tcPr>
            <w:tcW w:type="dxa" w:w="1152"/>
          </w:tcPr>
          <w:p>
            <w:r>
              <w:rPr>
                <w:rFonts w:ascii="Arial" w:hAnsi="Arial"/>
                <w:b w:val="0"/>
                <w:sz w:val="1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b w:val="0"/>
                <w:sz w:val="16"/>
              </w:rPr>
              <w:t>Gate 2 primary_key</w:t>
            </w:r>
          </w:p>
        </w:tc>
      </w:tr>
      <w:tr>
        <w:tc>
          <w:tcPr>
            <w:tcW w:type="dxa" w:w="2448"/>
          </w:tcPr>
          <w:p>
            <w:r>
              <w:rPr>
                <w:rFonts w:ascii="Arial" w:hAnsi="Arial"/>
                <w:b w:val="0"/>
                <w:sz w:val="16"/>
              </w:rPr>
              <w:t>DQ-NULL-BORROWER-KEY</w:t>
            </w:r>
          </w:p>
        </w:tc>
        <w:tc>
          <w:tcPr>
            <w:tcW w:type="dxa" w:w="1152"/>
          </w:tcPr>
          <w:p>
            <w:r>
              <w:rPr>
                <w:rFonts w:ascii="Arial" w:hAnsi="Arial"/>
                <w:b w:val="0"/>
                <w:sz w:val="1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b w:val="0"/>
                <w:sz w:val="16"/>
              </w:rPr>
              <w:t>Gate 2 primary_key</w:t>
            </w:r>
          </w:p>
        </w:tc>
      </w:tr>
      <w:tr>
        <w:tc>
          <w:tcPr>
            <w:tcW w:type="dxa" w:w="2448"/>
          </w:tcPr>
          <w:p>
            <w:r>
              <w:rPr>
                <w:rFonts w:ascii="Arial" w:hAnsi="Arial"/>
                <w:b w:val="0"/>
                <w:sz w:val="16"/>
              </w:rPr>
              <w:t>DQ-FK-ACCOUNT-MONTH</w:t>
            </w:r>
          </w:p>
        </w:tc>
        <w:tc>
          <w:tcPr>
            <w:tcW w:type="dxa" w:w="1152"/>
          </w:tcPr>
          <w:p>
            <w:r>
              <w:rPr>
                <w:rFonts w:ascii="Arial" w:hAnsi="Arial"/>
                <w:b w:val="0"/>
                <w:sz w:val="1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b w:val="0"/>
                <w:sz w:val="16"/>
              </w:rPr>
              <w:t>Gate 2 foreign_key</w:t>
            </w:r>
          </w:p>
        </w:tc>
      </w:tr>
      <w:tr>
        <w:tc>
          <w:tcPr>
            <w:tcW w:type="dxa" w:w="2448"/>
          </w:tcPr>
          <w:p>
            <w:r>
              <w:rPr>
                <w:rFonts w:ascii="Arial" w:hAnsi="Arial"/>
                <w:b w:val="0"/>
                <w:sz w:val="16"/>
              </w:rPr>
              <w:t>DQ-CODE-DOMAIN</w:t>
            </w:r>
          </w:p>
        </w:tc>
        <w:tc>
          <w:tcPr>
            <w:tcW w:type="dxa" w:w="1152"/>
          </w:tcPr>
          <w:p>
            <w:r>
              <w:rPr>
                <w:rFonts w:ascii="Arial" w:hAnsi="Arial"/>
                <w:b w:val="0"/>
                <w:sz w:val="1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b w:val="0"/>
                <w:sz w:val="16"/>
              </w:rPr>
              <w:t>Gate 2 code_domains</w:t>
            </w:r>
          </w:p>
        </w:tc>
      </w:tr>
      <w:tr>
        <w:tc>
          <w:tcPr>
            <w:tcW w:type="dxa" w:w="2448"/>
          </w:tcPr>
          <w:p>
            <w:r>
              <w:rPr>
                <w:rFonts w:ascii="Arial" w:hAnsi="Arial"/>
                <w:b w:val="0"/>
                <w:sz w:val="16"/>
              </w:rPr>
              <w:t>DQ-MISSING-HISTORY</w:t>
            </w:r>
          </w:p>
        </w:tc>
        <w:tc>
          <w:tcPr>
            <w:tcW w:type="dxa" w:w="1152"/>
          </w:tcPr>
          <w:p>
            <w:r>
              <w:rPr>
                <w:rFonts w:ascii="Arial" w:hAnsi="Arial"/>
                <w:b w:val="0"/>
                <w:sz w:val="1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b w:val="0"/>
                <w:sz w:val="16"/>
              </w:rPr>
              <w:t>Gate 2 code_domains</w:t>
            </w:r>
          </w:p>
        </w:tc>
      </w:tr>
      <w:tr>
        <w:tc>
          <w:tcPr>
            <w:tcW w:type="dxa" w:w="2448"/>
          </w:tcPr>
          <w:p>
            <w:r>
              <w:rPr>
                <w:rFonts w:ascii="Arial" w:hAnsi="Arial"/>
                <w:b w:val="0"/>
                <w:sz w:val="16"/>
              </w:rPr>
              <w:t>DQ-SQL-FAILURES</w:t>
            </w:r>
          </w:p>
        </w:tc>
        <w:tc>
          <w:tcPr>
            <w:tcW w:type="dxa" w:w="1152"/>
          </w:tcPr>
          <w:p>
            <w:r>
              <w:rPr>
                <w:rFonts w:ascii="Arial" w:hAnsi="Arial"/>
                <w:b w:val="0"/>
                <w:sz w:val="1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b w:val="0"/>
                <w:sz w:val="16"/>
              </w:rPr>
              <w:t>Gate 2 sql_test_suite</w:t>
            </w:r>
          </w:p>
        </w:tc>
      </w:tr>
      <w:tr>
        <w:tc>
          <w:tcPr>
            <w:tcW w:type="dxa" w:w="2448"/>
          </w:tcPr>
          <w:p>
            <w:r>
              <w:rPr>
                <w:rFonts w:ascii="Arial" w:hAnsi="Arial"/>
                <w:b w:val="0"/>
                <w:sz w:val="16"/>
              </w:rPr>
              <w:t>DQ-TIMING</w:t>
            </w:r>
          </w:p>
        </w:tc>
        <w:tc>
          <w:tcPr>
            <w:tcW w:type="dxa" w:w="1152"/>
          </w:tcPr>
          <w:p>
            <w:r>
              <w:rPr>
                <w:rFonts w:ascii="Arial" w:hAnsi="Arial"/>
                <w:b w:val="0"/>
                <w:sz w:val="1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b w:val="0"/>
                <w:sz w:val="16"/>
              </w:rPr>
              <w:t>Gate 3 observation_timing</w:t>
            </w:r>
          </w:p>
        </w:tc>
      </w:tr>
      <w:tr>
        <w:tc>
          <w:tcPr>
            <w:tcW w:type="dxa" w:w="2448"/>
          </w:tcPr>
          <w:p>
            <w:r>
              <w:rPr>
                <w:rFonts w:ascii="Arial" w:hAnsi="Arial"/>
                <w:b w:val="0"/>
                <w:sz w:val="16"/>
              </w:rPr>
              <w:t>DQ-LEAKAGE</w:t>
            </w:r>
          </w:p>
        </w:tc>
        <w:tc>
          <w:tcPr>
            <w:tcW w:type="dxa" w:w="1152"/>
          </w:tcPr>
          <w:p>
            <w:r>
              <w:rPr>
                <w:rFonts w:ascii="Arial" w:hAnsi="Arial"/>
                <w:b w:val="0"/>
                <w:sz w:val="1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b w:val="0"/>
                <w:sz w:val="16"/>
              </w:rPr>
              <w:t>Gate 3 leakage</w:t>
            </w:r>
          </w:p>
        </w:tc>
      </w:tr>
      <w:tr>
        <w:tc>
          <w:tcPr>
            <w:tcW w:type="dxa" w:w="2448"/>
          </w:tcPr>
          <w:p>
            <w:r>
              <w:rPr>
                <w:rFonts w:ascii="Arial" w:hAnsi="Arial"/>
                <w:b w:val="0"/>
                <w:sz w:val="16"/>
              </w:rPr>
              <w:t>DQ-SQL-DETAIL-COVERAGE</w:t>
            </w:r>
          </w:p>
        </w:tc>
        <w:tc>
          <w:tcPr>
            <w:tcW w:type="dxa" w:w="1152"/>
          </w:tcPr>
          <w:p>
            <w:r>
              <w:rPr>
                <w:rFonts w:ascii="Arial" w:hAnsi="Arial"/>
                <w:b w:val="0"/>
                <w:sz w:val="16"/>
              </w:rPr>
              <w:t>LIMITATION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b w:val="0"/>
                <w:sz w:val="16"/>
              </w:rPr>
              <w:t>15 aggregate tests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b w:val="0"/>
                <w:sz w:val="16"/>
              </w:rPr>
              <w:t>individual test IDs remain upstream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b w:val="0"/>
                <w:sz w:val="16"/>
              </w:rPr>
              <w:t>validation input exposes counts but not individual test records</w:t>
            </w:r>
          </w:p>
        </w:tc>
      </w:tr>
    </w:tbl>
    <w:p/>
    <w:p>
      <w:pPr>
        <w:pStyle w:val="Heading1"/>
      </w:pPr>
      <w:r>
        <w:t>Observed default rates differ by initial risk band</w:t>
      </w:r>
    </w:p>
    <w:p>
      <w:r>
        <w:t>Counts remain the denominator authority. Displayed percentages are rounded to two decimal places.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1440"/>
            <w:shd w:fill="17365D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Risk band</w:t>
            </w:r>
          </w:p>
        </w:tc>
        <w:tc>
          <w:tcPr>
            <w:tcW w:type="dxa" w:w="1440"/>
            <w:shd w:fill="17365D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Sample</w:t>
            </w:r>
          </w:p>
        </w:tc>
        <w:tc>
          <w:tcPr>
            <w:tcW w:type="dxa" w:w="1440"/>
            <w:shd w:fill="17365D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Defaults</w:t>
            </w:r>
          </w:p>
        </w:tc>
        <w:tc>
          <w:tcPr>
            <w:tcW w:type="dxa" w:w="4032"/>
            <w:shd w:fill="17365D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Exact rate</w:t>
            </w:r>
          </w:p>
        </w:tc>
        <w:tc>
          <w:tcPr>
            <w:tcW w:type="dxa" w:w="1440"/>
            <w:shd w:fill="17365D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Display rate</w:t>
            </w:r>
          </w:p>
        </w:tc>
      </w:tr>
      <w:tr>
        <w:tc>
          <w:tcPr>
            <w:tcW w:type="dxa" w:w="1440"/>
          </w:tcPr>
          <w:p>
            <w:r>
              <w:rPr>
                <w:rFonts w:ascii="Arial" w:hAnsi="Arial"/>
                <w:b w:val="0"/>
                <w:sz w:val="16"/>
              </w:rPr>
              <w:t>Low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b w:val="0"/>
                <w:sz w:val="16"/>
              </w:rPr>
              <w:t>14952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b w:val="0"/>
                <w:sz w:val="16"/>
              </w:rPr>
              <w:t>1748</w:t>
            </w:r>
          </w:p>
        </w:tc>
        <w:tc>
          <w:tcPr>
            <w:tcW w:type="dxa" w:w="4032"/>
          </w:tcPr>
          <w:p>
            <w:r>
              <w:rPr>
                <w:rFonts w:ascii="Arial" w:hAnsi="Arial"/>
                <w:b w:val="0"/>
                <w:sz w:val="16"/>
              </w:rPr>
              <w:t>0.1169074371321562332798287854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b w:val="0"/>
                <w:sz w:val="16"/>
              </w:rPr>
              <w:t>11.69%</w:t>
            </w:r>
          </w:p>
        </w:tc>
      </w:tr>
      <w:tr>
        <w:tc>
          <w:tcPr>
            <w:tcW w:type="dxa" w:w="1440"/>
          </w:tcPr>
          <w:p>
            <w:r>
              <w:rPr>
                <w:rFonts w:ascii="Arial" w:hAnsi="Arial"/>
                <w:b w:val="0"/>
                <w:sz w:val="16"/>
              </w:rPr>
              <w:t>Medium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b w:val="0"/>
                <w:sz w:val="16"/>
              </w:rPr>
              <w:t>8138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b w:val="0"/>
                <w:sz w:val="16"/>
              </w:rPr>
              <w:t>1339</w:t>
            </w:r>
          </w:p>
        </w:tc>
        <w:tc>
          <w:tcPr>
            <w:tcW w:type="dxa" w:w="4032"/>
          </w:tcPr>
          <w:p>
            <w:r>
              <w:rPr>
                <w:rFonts w:ascii="Arial" w:hAnsi="Arial"/>
                <w:b w:val="0"/>
                <w:sz w:val="16"/>
              </w:rPr>
              <w:t>0.1645367412140575079872204473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b w:val="0"/>
                <w:sz w:val="16"/>
              </w:rPr>
              <w:t>16.45%</w:t>
            </w:r>
          </w:p>
        </w:tc>
      </w:tr>
      <w:tr>
        <w:tc>
          <w:tcPr>
            <w:tcW w:type="dxa" w:w="1440"/>
          </w:tcPr>
          <w:p>
            <w:r>
              <w:rPr>
                <w:rFonts w:ascii="Arial" w:hAnsi="Arial"/>
                <w:b w:val="0"/>
                <w:sz w:val="16"/>
              </w:rPr>
              <w:t>High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b w:val="0"/>
                <w:sz w:val="16"/>
              </w:rPr>
              <w:t>6910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b w:val="0"/>
                <w:sz w:val="16"/>
              </w:rPr>
              <w:t>3549</w:t>
            </w:r>
          </w:p>
        </w:tc>
        <w:tc>
          <w:tcPr>
            <w:tcW w:type="dxa" w:w="4032"/>
          </w:tcPr>
          <w:p>
            <w:r>
              <w:rPr>
                <w:rFonts w:ascii="Arial" w:hAnsi="Arial"/>
                <w:b w:val="0"/>
                <w:sz w:val="16"/>
              </w:rPr>
              <w:t>0.5136034732272069464544138929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b w:val="0"/>
                <w:sz w:val="16"/>
              </w:rPr>
              <w:t>51.36%</w:t>
            </w:r>
          </w:p>
        </w:tc>
      </w:tr>
    </w:tbl>
    <w:p/>
    <w:p>
      <w:pPr>
        <w:pStyle w:val="Heading1"/>
      </w:pPr>
      <w:r>
        <w:t>All validated signal-bucket outcomes remain auditable</w:t>
      </w:r>
    </w:p>
    <w:p>
      <w:r>
        <w:t>The 23 rows below cover 7 versioned signals. Each signal's bucket samples reconcile to the borrower population.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2592"/>
            <w:shd w:fill="17365D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Signal ID</w:t>
            </w:r>
          </w:p>
        </w:tc>
        <w:tc>
          <w:tcPr>
            <w:tcW w:type="dxa" w:w="1728"/>
            <w:shd w:fill="17365D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Bucket</w:t>
            </w:r>
          </w:p>
        </w:tc>
        <w:tc>
          <w:tcPr>
            <w:tcW w:type="dxa" w:w="1152"/>
            <w:shd w:fill="17365D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Sample</w:t>
            </w:r>
          </w:p>
        </w:tc>
        <w:tc>
          <w:tcPr>
            <w:tcW w:type="dxa" w:w="1152"/>
            <w:shd w:fill="17365D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Defaults</w:t>
            </w:r>
          </w:p>
        </w:tc>
        <w:tc>
          <w:tcPr>
            <w:tcW w:type="dxa" w:w="3384"/>
            <w:shd w:fill="17365D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Exact rate</w:t>
            </w:r>
          </w:p>
        </w:tc>
        <w:tc>
          <w:tcPr>
            <w:tcW w:type="dxa" w:w="1224"/>
            <w:shd w:fill="17365D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Display rate</w:t>
            </w:r>
          </w:p>
        </w:tc>
      </w:tr>
      <w:tr>
        <w:tc>
          <w:tcPr>
            <w:tcW w:type="dxa" w:w="2592"/>
          </w:tcPr>
          <w:p>
            <w:r>
              <w:rPr>
                <w:rFonts w:ascii="Arial" w:hAnsi="Arial"/>
                <w:b w:val="0"/>
                <w:sz w:val="16"/>
              </w:rPr>
              <w:t>delinquency_deterioration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b w:val="0"/>
                <w:sz w:val="16"/>
              </w:rPr>
              <w:t>&lt;=0</w:t>
            </w:r>
          </w:p>
        </w:tc>
        <w:tc>
          <w:tcPr>
            <w:tcW w:type="dxa" w:w="1152"/>
          </w:tcPr>
          <w:p>
            <w:r>
              <w:rPr>
                <w:rFonts w:ascii="Arial" w:hAnsi="Arial"/>
                <w:b w:val="0"/>
                <w:sz w:val="16"/>
              </w:rPr>
              <w:t>24569</w:t>
            </w:r>
          </w:p>
        </w:tc>
        <w:tc>
          <w:tcPr>
            <w:tcW w:type="dxa" w:w="1152"/>
          </w:tcPr>
          <w:p>
            <w:r>
              <w:rPr>
                <w:rFonts w:ascii="Arial" w:hAnsi="Arial"/>
                <w:b w:val="0"/>
                <w:sz w:val="16"/>
              </w:rPr>
              <w:t>4464</w:t>
            </w:r>
          </w:p>
        </w:tc>
        <w:tc>
          <w:tcPr>
            <w:tcW w:type="dxa" w:w="3384"/>
          </w:tcPr>
          <w:p>
            <w:r>
              <w:rPr>
                <w:rFonts w:ascii="Arial" w:hAnsi="Arial"/>
                <w:b w:val="0"/>
                <w:sz w:val="16"/>
              </w:rPr>
              <w:t>0.1816923765721030566974642843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6"/>
              </w:rPr>
              <w:t>18.17%</w:t>
            </w:r>
          </w:p>
        </w:tc>
      </w:tr>
      <w:tr>
        <w:tc>
          <w:tcPr>
            <w:tcW w:type="dxa" w:w="2592"/>
          </w:tcPr>
          <w:p>
            <w:r>
              <w:rPr>
                <w:rFonts w:ascii="Arial" w:hAnsi="Arial"/>
                <w:b w:val="0"/>
                <w:sz w:val="16"/>
              </w:rPr>
              <w:t>delinquency_deterioration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1152"/>
          </w:tcPr>
          <w:p>
            <w:r>
              <w:rPr>
                <w:rFonts w:ascii="Arial" w:hAnsi="Arial"/>
                <w:b w:val="0"/>
                <w:sz w:val="16"/>
              </w:rPr>
              <w:t>2080</w:t>
            </w:r>
          </w:p>
        </w:tc>
        <w:tc>
          <w:tcPr>
            <w:tcW w:type="dxa" w:w="1152"/>
          </w:tcPr>
          <w:p>
            <w:r>
              <w:rPr>
                <w:rFonts w:ascii="Arial" w:hAnsi="Arial"/>
                <w:b w:val="0"/>
                <w:sz w:val="16"/>
              </w:rPr>
              <w:t>669</w:t>
            </w:r>
          </w:p>
        </w:tc>
        <w:tc>
          <w:tcPr>
            <w:tcW w:type="dxa" w:w="3384"/>
          </w:tcPr>
          <w:p>
            <w:r>
              <w:rPr>
                <w:rFonts w:ascii="Arial" w:hAnsi="Arial"/>
                <w:b w:val="0"/>
                <w:sz w:val="16"/>
              </w:rPr>
              <w:t>0.3216346153846153846153846154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6"/>
              </w:rPr>
              <w:t>32.16%</w:t>
            </w:r>
          </w:p>
        </w:tc>
      </w:tr>
      <w:tr>
        <w:tc>
          <w:tcPr>
            <w:tcW w:type="dxa" w:w="2592"/>
          </w:tcPr>
          <w:p>
            <w:r>
              <w:rPr>
                <w:rFonts w:ascii="Arial" w:hAnsi="Arial"/>
                <w:b w:val="0"/>
                <w:sz w:val="16"/>
              </w:rPr>
              <w:t>delinquency_deterioration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b w:val="0"/>
                <w:sz w:val="16"/>
              </w:rPr>
              <w:t>2+</w:t>
            </w:r>
          </w:p>
        </w:tc>
        <w:tc>
          <w:tcPr>
            <w:tcW w:type="dxa" w:w="1152"/>
          </w:tcPr>
          <w:p>
            <w:r>
              <w:rPr>
                <w:rFonts w:ascii="Arial" w:hAnsi="Arial"/>
                <w:b w:val="0"/>
                <w:sz w:val="16"/>
              </w:rPr>
              <w:t>3351</w:t>
            </w:r>
          </w:p>
        </w:tc>
        <w:tc>
          <w:tcPr>
            <w:tcW w:type="dxa" w:w="1152"/>
          </w:tcPr>
          <w:p>
            <w:r>
              <w:rPr>
                <w:rFonts w:ascii="Arial" w:hAnsi="Arial"/>
                <w:b w:val="0"/>
                <w:sz w:val="16"/>
              </w:rPr>
              <w:t>1503</w:t>
            </w:r>
          </w:p>
        </w:tc>
        <w:tc>
          <w:tcPr>
            <w:tcW w:type="dxa" w:w="3384"/>
          </w:tcPr>
          <w:p>
            <w:r>
              <w:rPr>
                <w:rFonts w:ascii="Arial" w:hAnsi="Arial"/>
                <w:b w:val="0"/>
                <w:sz w:val="16"/>
              </w:rPr>
              <w:t>0.4485228290062667860340196956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6"/>
              </w:rPr>
              <w:t>44.85%</w:t>
            </w:r>
          </w:p>
        </w:tc>
      </w:tr>
      <w:tr>
        <w:tc>
          <w:tcPr>
            <w:tcW w:type="dxa" w:w="2592"/>
          </w:tcPr>
          <w:p>
            <w:r>
              <w:rPr>
                <w:rFonts w:ascii="Arial" w:hAnsi="Arial"/>
                <w:b w:val="0"/>
                <w:sz w:val="16"/>
              </w:rPr>
              <w:t>delinquent_months_6m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1152"/>
          </w:tcPr>
          <w:p>
            <w:r>
              <w:rPr>
                <w:rFonts w:ascii="Arial" w:hAnsi="Arial"/>
                <w:b w:val="0"/>
                <w:sz w:val="16"/>
              </w:rPr>
              <w:t>19931</w:t>
            </w:r>
          </w:p>
        </w:tc>
        <w:tc>
          <w:tcPr>
            <w:tcW w:type="dxa" w:w="1152"/>
          </w:tcPr>
          <w:p>
            <w:r>
              <w:rPr>
                <w:rFonts w:ascii="Arial" w:hAnsi="Arial"/>
                <w:b w:val="0"/>
                <w:sz w:val="16"/>
              </w:rPr>
              <w:t>2334</w:t>
            </w:r>
          </w:p>
        </w:tc>
        <w:tc>
          <w:tcPr>
            <w:tcW w:type="dxa" w:w="3384"/>
          </w:tcPr>
          <w:p>
            <w:r>
              <w:rPr>
                <w:rFonts w:ascii="Arial" w:hAnsi="Arial"/>
                <w:b w:val="0"/>
                <w:sz w:val="16"/>
              </w:rPr>
              <w:t>0.1171040088304651046109076313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6"/>
              </w:rPr>
              <w:t>11.71%</w:t>
            </w:r>
          </w:p>
        </w:tc>
      </w:tr>
      <w:tr>
        <w:tc>
          <w:tcPr>
            <w:tcW w:type="dxa" w:w="2592"/>
          </w:tcPr>
          <w:p>
            <w:r>
              <w:rPr>
                <w:rFonts w:ascii="Arial" w:hAnsi="Arial"/>
                <w:b w:val="0"/>
                <w:sz w:val="16"/>
              </w:rPr>
              <w:t>delinquent_months_6m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1152"/>
          </w:tcPr>
          <w:p>
            <w:r>
              <w:rPr>
                <w:rFonts w:ascii="Arial" w:hAnsi="Arial"/>
                <w:b w:val="0"/>
                <w:sz w:val="16"/>
              </w:rPr>
              <w:t>4426</w:t>
            </w:r>
          </w:p>
        </w:tc>
        <w:tc>
          <w:tcPr>
            <w:tcW w:type="dxa" w:w="1152"/>
          </w:tcPr>
          <w:p>
            <w:r>
              <w:rPr>
                <w:rFonts w:ascii="Arial" w:hAnsi="Arial"/>
                <w:b w:val="0"/>
                <w:sz w:val="16"/>
              </w:rPr>
              <w:t>1320</w:t>
            </w:r>
          </w:p>
        </w:tc>
        <w:tc>
          <w:tcPr>
            <w:tcW w:type="dxa" w:w="3384"/>
          </w:tcPr>
          <w:p>
            <w:r>
              <w:rPr>
                <w:rFonts w:ascii="Arial" w:hAnsi="Arial"/>
                <w:b w:val="0"/>
                <w:sz w:val="16"/>
              </w:rPr>
              <w:t>0.2982376863985539990962494352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6"/>
              </w:rPr>
              <w:t>29.82%</w:t>
            </w:r>
          </w:p>
        </w:tc>
      </w:tr>
      <w:tr>
        <w:tc>
          <w:tcPr>
            <w:tcW w:type="dxa" w:w="2592"/>
          </w:tcPr>
          <w:p>
            <w:r>
              <w:rPr>
                <w:rFonts w:ascii="Arial" w:hAnsi="Arial"/>
                <w:b w:val="0"/>
                <w:sz w:val="16"/>
              </w:rPr>
              <w:t>delinquent_months_6m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b w:val="0"/>
                <w:sz w:val="16"/>
              </w:rPr>
              <w:t>2+</w:t>
            </w:r>
          </w:p>
        </w:tc>
        <w:tc>
          <w:tcPr>
            <w:tcW w:type="dxa" w:w="1152"/>
          </w:tcPr>
          <w:p>
            <w:r>
              <w:rPr>
                <w:rFonts w:ascii="Arial" w:hAnsi="Arial"/>
                <w:b w:val="0"/>
                <w:sz w:val="16"/>
              </w:rPr>
              <w:t>5643</w:t>
            </w:r>
          </w:p>
        </w:tc>
        <w:tc>
          <w:tcPr>
            <w:tcW w:type="dxa" w:w="1152"/>
          </w:tcPr>
          <w:p>
            <w:r>
              <w:rPr>
                <w:rFonts w:ascii="Arial" w:hAnsi="Arial"/>
                <w:b w:val="0"/>
                <w:sz w:val="16"/>
              </w:rPr>
              <w:t>2982</w:t>
            </w:r>
          </w:p>
        </w:tc>
        <w:tc>
          <w:tcPr>
            <w:tcW w:type="dxa" w:w="3384"/>
          </w:tcPr>
          <w:p>
            <w:r>
              <w:rPr>
                <w:rFonts w:ascii="Arial" w:hAnsi="Arial"/>
                <w:b w:val="0"/>
                <w:sz w:val="16"/>
              </w:rPr>
              <w:t>0.5284423179160021265284423179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6"/>
              </w:rPr>
              <w:t>52.84%</w:t>
            </w:r>
          </w:p>
        </w:tc>
      </w:tr>
      <w:tr>
        <w:tc>
          <w:tcPr>
            <w:tcW w:type="dxa" w:w="2592"/>
          </w:tcPr>
          <w:p>
            <w:r>
              <w:rPr>
                <w:rFonts w:ascii="Arial" w:hAnsi="Arial"/>
                <w:b w:val="0"/>
                <w:sz w:val="16"/>
              </w:rPr>
              <w:t>latest_utilization_ratio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b w:val="0"/>
                <w:sz w:val="16"/>
              </w:rPr>
              <w:t>&lt;0.80</w:t>
            </w:r>
          </w:p>
        </w:tc>
        <w:tc>
          <w:tcPr>
            <w:tcW w:type="dxa" w:w="1152"/>
          </w:tcPr>
          <w:p>
            <w:r>
              <w:rPr>
                <w:rFonts w:ascii="Arial" w:hAnsi="Arial"/>
                <w:b w:val="0"/>
                <w:sz w:val="16"/>
              </w:rPr>
              <w:t>22020</w:t>
            </w:r>
          </w:p>
        </w:tc>
        <w:tc>
          <w:tcPr>
            <w:tcW w:type="dxa" w:w="1152"/>
          </w:tcPr>
          <w:p>
            <w:r>
              <w:rPr>
                <w:rFonts w:ascii="Arial" w:hAnsi="Arial"/>
                <w:b w:val="0"/>
                <w:sz w:val="16"/>
              </w:rPr>
              <w:t>4503</w:t>
            </w:r>
          </w:p>
        </w:tc>
        <w:tc>
          <w:tcPr>
            <w:tcW w:type="dxa" w:w="3384"/>
          </w:tcPr>
          <w:p>
            <w:r>
              <w:rPr>
                <w:rFonts w:ascii="Arial" w:hAnsi="Arial"/>
                <w:b w:val="0"/>
                <w:sz w:val="16"/>
              </w:rPr>
              <w:t>0.2044959128065395095367847411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6"/>
              </w:rPr>
              <w:t>20.45%</w:t>
            </w:r>
          </w:p>
        </w:tc>
      </w:tr>
      <w:tr>
        <w:tc>
          <w:tcPr>
            <w:tcW w:type="dxa" w:w="2592"/>
          </w:tcPr>
          <w:p>
            <w:r>
              <w:rPr>
                <w:rFonts w:ascii="Arial" w:hAnsi="Arial"/>
                <w:b w:val="0"/>
                <w:sz w:val="16"/>
              </w:rPr>
              <w:t>latest_utilization_ratio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b w:val="0"/>
                <w:sz w:val="16"/>
              </w:rPr>
              <w:t>0.80-&lt;1.00</w:t>
            </w:r>
          </w:p>
        </w:tc>
        <w:tc>
          <w:tcPr>
            <w:tcW w:type="dxa" w:w="1152"/>
          </w:tcPr>
          <w:p>
            <w:r>
              <w:rPr>
                <w:rFonts w:ascii="Arial" w:hAnsi="Arial"/>
                <w:b w:val="0"/>
                <w:sz w:val="16"/>
              </w:rPr>
              <w:t>5857</w:t>
            </w:r>
          </w:p>
        </w:tc>
        <w:tc>
          <w:tcPr>
            <w:tcW w:type="dxa" w:w="1152"/>
          </w:tcPr>
          <w:p>
            <w:r>
              <w:rPr>
                <w:rFonts w:ascii="Arial" w:hAnsi="Arial"/>
                <w:b w:val="0"/>
                <w:sz w:val="16"/>
              </w:rPr>
              <w:t>1495</w:t>
            </w:r>
          </w:p>
        </w:tc>
        <w:tc>
          <w:tcPr>
            <w:tcW w:type="dxa" w:w="3384"/>
          </w:tcPr>
          <w:p>
            <w:r>
              <w:rPr>
                <w:rFonts w:ascii="Arial" w:hAnsi="Arial"/>
                <w:b w:val="0"/>
                <w:sz w:val="16"/>
              </w:rPr>
              <w:t>0.2552501280519037049684138638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6"/>
              </w:rPr>
              <w:t>25.53%</w:t>
            </w:r>
          </w:p>
        </w:tc>
      </w:tr>
      <w:tr>
        <w:tc>
          <w:tcPr>
            <w:tcW w:type="dxa" w:w="2592"/>
          </w:tcPr>
          <w:p>
            <w:r>
              <w:rPr>
                <w:rFonts w:ascii="Arial" w:hAnsi="Arial"/>
                <w:b w:val="0"/>
                <w:sz w:val="16"/>
              </w:rPr>
              <w:t>latest_utilization_ratio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b w:val="0"/>
                <w:sz w:val="16"/>
              </w:rPr>
              <w:t>&gt;=1.00</w:t>
            </w:r>
          </w:p>
        </w:tc>
        <w:tc>
          <w:tcPr>
            <w:tcW w:type="dxa" w:w="1152"/>
          </w:tcPr>
          <w:p>
            <w:r>
              <w:rPr>
                <w:rFonts w:ascii="Arial" w:hAnsi="Arial"/>
                <w:b w:val="0"/>
                <w:sz w:val="16"/>
              </w:rPr>
              <w:t>2123</w:t>
            </w:r>
          </w:p>
        </w:tc>
        <w:tc>
          <w:tcPr>
            <w:tcW w:type="dxa" w:w="1152"/>
          </w:tcPr>
          <w:p>
            <w:r>
              <w:rPr>
                <w:rFonts w:ascii="Arial" w:hAnsi="Arial"/>
                <w:b w:val="0"/>
                <w:sz w:val="16"/>
              </w:rPr>
              <w:t>638</w:t>
            </w:r>
          </w:p>
        </w:tc>
        <w:tc>
          <w:tcPr>
            <w:tcW w:type="dxa" w:w="3384"/>
          </w:tcPr>
          <w:p>
            <w:r>
              <w:rPr>
                <w:rFonts w:ascii="Arial" w:hAnsi="Arial"/>
                <w:b w:val="0"/>
                <w:sz w:val="16"/>
              </w:rPr>
              <w:t>0.3005181347150259067357512953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6"/>
              </w:rPr>
              <w:t>30.05%</w:t>
            </w:r>
          </w:p>
        </w:tc>
      </w:tr>
      <w:tr>
        <w:tc>
          <w:tcPr>
            <w:tcW w:type="dxa" w:w="2592"/>
          </w:tcPr>
          <w:p>
            <w:r>
              <w:rPr>
                <w:rFonts w:ascii="Arial" w:hAnsi="Arial"/>
                <w:b w:val="0"/>
                <w:sz w:val="16"/>
              </w:rPr>
              <w:t>payment_coverage_ratio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b w:val="0"/>
                <w:sz w:val="16"/>
              </w:rPr>
              <w:t>not_applicable</w:t>
            </w:r>
          </w:p>
        </w:tc>
        <w:tc>
          <w:tcPr>
            <w:tcW w:type="dxa" w:w="1152"/>
          </w:tcPr>
          <w:p>
            <w:r>
              <w:rPr>
                <w:rFonts w:ascii="Arial" w:hAnsi="Arial"/>
                <w:b w:val="0"/>
                <w:sz w:val="16"/>
              </w:rPr>
              <w:t>3175</w:t>
            </w:r>
          </w:p>
        </w:tc>
        <w:tc>
          <w:tcPr>
            <w:tcW w:type="dxa" w:w="1152"/>
          </w:tcPr>
          <w:p>
            <w:r>
              <w:rPr>
                <w:rFonts w:ascii="Arial" w:hAnsi="Arial"/>
                <w:b w:val="0"/>
                <w:sz w:val="16"/>
              </w:rPr>
              <w:t>744</w:t>
            </w:r>
          </w:p>
        </w:tc>
        <w:tc>
          <w:tcPr>
            <w:tcW w:type="dxa" w:w="3384"/>
          </w:tcPr>
          <w:p>
            <w:r>
              <w:rPr>
                <w:rFonts w:ascii="Arial" w:hAnsi="Arial"/>
                <w:b w:val="0"/>
                <w:sz w:val="16"/>
              </w:rPr>
              <w:t>0.2343307086614173228346456693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6"/>
              </w:rPr>
              <w:t>23.43%</w:t>
            </w:r>
          </w:p>
        </w:tc>
      </w:tr>
      <w:tr>
        <w:tc>
          <w:tcPr>
            <w:tcW w:type="dxa" w:w="2592"/>
          </w:tcPr>
          <w:p>
            <w:r>
              <w:rPr>
                <w:rFonts w:ascii="Arial" w:hAnsi="Arial"/>
                <w:b w:val="0"/>
                <w:sz w:val="16"/>
              </w:rPr>
              <w:t>payment_coverage_ratio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b w:val="0"/>
                <w:sz w:val="16"/>
              </w:rPr>
              <w:t>&lt;0.10</w:t>
            </w:r>
          </w:p>
        </w:tc>
        <w:tc>
          <w:tcPr>
            <w:tcW w:type="dxa" w:w="1152"/>
          </w:tcPr>
          <w:p>
            <w:r>
              <w:rPr>
                <w:rFonts w:ascii="Arial" w:hAnsi="Arial"/>
                <w:b w:val="0"/>
                <w:sz w:val="16"/>
              </w:rPr>
              <w:t>14912</w:t>
            </w:r>
          </w:p>
        </w:tc>
        <w:tc>
          <w:tcPr>
            <w:tcW w:type="dxa" w:w="1152"/>
          </w:tcPr>
          <w:p>
            <w:r>
              <w:rPr>
                <w:rFonts w:ascii="Arial" w:hAnsi="Arial"/>
                <w:b w:val="0"/>
                <w:sz w:val="16"/>
              </w:rPr>
              <w:t>3873</w:t>
            </w:r>
          </w:p>
        </w:tc>
        <w:tc>
          <w:tcPr>
            <w:tcW w:type="dxa" w:w="3384"/>
          </w:tcPr>
          <w:p>
            <w:r>
              <w:rPr>
                <w:rFonts w:ascii="Arial" w:hAnsi="Arial"/>
                <w:b w:val="0"/>
                <w:sz w:val="16"/>
              </w:rPr>
              <w:t>0.2597237124463519313304721030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6"/>
              </w:rPr>
              <w:t>25.97%</w:t>
            </w:r>
          </w:p>
        </w:tc>
      </w:tr>
      <w:tr>
        <w:tc>
          <w:tcPr>
            <w:tcW w:type="dxa" w:w="2592"/>
          </w:tcPr>
          <w:p>
            <w:r>
              <w:rPr>
                <w:rFonts w:ascii="Arial" w:hAnsi="Arial"/>
                <w:b w:val="0"/>
                <w:sz w:val="16"/>
              </w:rPr>
              <w:t>payment_coverage_ratio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b w:val="0"/>
                <w:sz w:val="16"/>
              </w:rPr>
              <w:t>0.10-&lt;0.50</w:t>
            </w:r>
          </w:p>
        </w:tc>
        <w:tc>
          <w:tcPr>
            <w:tcW w:type="dxa" w:w="1152"/>
          </w:tcPr>
          <w:p>
            <w:r>
              <w:rPr>
                <w:rFonts w:ascii="Arial" w:hAnsi="Arial"/>
                <w:b w:val="0"/>
                <w:sz w:val="16"/>
              </w:rPr>
              <w:t>4332</w:t>
            </w:r>
          </w:p>
        </w:tc>
        <w:tc>
          <w:tcPr>
            <w:tcW w:type="dxa" w:w="1152"/>
          </w:tcPr>
          <w:p>
            <w:r>
              <w:rPr>
                <w:rFonts w:ascii="Arial" w:hAnsi="Arial"/>
                <w:b w:val="0"/>
                <w:sz w:val="16"/>
              </w:rPr>
              <w:t>953</w:t>
            </w:r>
          </w:p>
        </w:tc>
        <w:tc>
          <w:tcPr>
            <w:tcW w:type="dxa" w:w="3384"/>
          </w:tcPr>
          <w:p>
            <w:r>
              <w:rPr>
                <w:rFonts w:ascii="Arial" w:hAnsi="Arial"/>
                <w:b w:val="0"/>
                <w:sz w:val="16"/>
              </w:rPr>
              <w:t>0.2199907663896583564173591874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6"/>
              </w:rPr>
              <w:t>22.00%</w:t>
            </w:r>
          </w:p>
        </w:tc>
      </w:tr>
      <w:tr>
        <w:tc>
          <w:tcPr>
            <w:tcW w:type="dxa" w:w="2592"/>
          </w:tcPr>
          <w:p>
            <w:r>
              <w:rPr>
                <w:rFonts w:ascii="Arial" w:hAnsi="Arial"/>
                <w:b w:val="0"/>
                <w:sz w:val="16"/>
              </w:rPr>
              <w:t>payment_coverage_ratio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b w:val="0"/>
                <w:sz w:val="16"/>
              </w:rPr>
              <w:t>&gt;=0.50</w:t>
            </w:r>
          </w:p>
        </w:tc>
        <w:tc>
          <w:tcPr>
            <w:tcW w:type="dxa" w:w="1152"/>
          </w:tcPr>
          <w:p>
            <w:r>
              <w:rPr>
                <w:rFonts w:ascii="Arial" w:hAnsi="Arial"/>
                <w:b w:val="0"/>
                <w:sz w:val="16"/>
              </w:rPr>
              <w:t>7581</w:t>
            </w:r>
          </w:p>
        </w:tc>
        <w:tc>
          <w:tcPr>
            <w:tcW w:type="dxa" w:w="1152"/>
          </w:tcPr>
          <w:p>
            <w:r>
              <w:rPr>
                <w:rFonts w:ascii="Arial" w:hAnsi="Arial"/>
                <w:b w:val="0"/>
                <w:sz w:val="16"/>
              </w:rPr>
              <w:t>1066</w:t>
            </w:r>
          </w:p>
        </w:tc>
        <w:tc>
          <w:tcPr>
            <w:tcW w:type="dxa" w:w="3384"/>
          </w:tcPr>
          <w:p>
            <w:r>
              <w:rPr>
                <w:rFonts w:ascii="Arial" w:hAnsi="Arial"/>
                <w:b w:val="0"/>
                <w:sz w:val="16"/>
              </w:rPr>
              <w:t>0.1406146946313151299300883788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6"/>
              </w:rPr>
              <w:t>14.06%</w:t>
            </w:r>
          </w:p>
        </w:tc>
      </w:tr>
      <w:tr>
        <w:tc>
          <w:tcPr>
            <w:tcW w:type="dxa" w:w="2592"/>
          </w:tcPr>
          <w:p>
            <w:r>
              <w:rPr>
                <w:rFonts w:ascii="Arial" w:hAnsi="Arial"/>
                <w:b w:val="0"/>
                <w:sz w:val="16"/>
              </w:rPr>
              <w:t>recent_bill_growth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b w:val="0"/>
                <w:sz w:val="16"/>
              </w:rPr>
              <w:t>not_applicable</w:t>
            </w:r>
          </w:p>
        </w:tc>
        <w:tc>
          <w:tcPr>
            <w:tcW w:type="dxa" w:w="1152"/>
          </w:tcPr>
          <w:p>
            <w:r>
              <w:rPr>
                <w:rFonts w:ascii="Arial" w:hAnsi="Arial"/>
                <w:b w:val="0"/>
                <w:sz w:val="16"/>
              </w:rPr>
              <w:t>3195</w:t>
            </w:r>
          </w:p>
        </w:tc>
        <w:tc>
          <w:tcPr>
            <w:tcW w:type="dxa" w:w="1152"/>
          </w:tcPr>
          <w:p>
            <w:r>
              <w:rPr>
                <w:rFonts w:ascii="Arial" w:hAnsi="Arial"/>
                <w:b w:val="0"/>
                <w:sz w:val="16"/>
              </w:rPr>
              <w:t>781</w:t>
            </w:r>
          </w:p>
        </w:tc>
        <w:tc>
          <w:tcPr>
            <w:tcW w:type="dxa" w:w="3384"/>
          </w:tcPr>
          <w:p>
            <w:r>
              <w:rPr>
                <w:rFonts w:ascii="Arial" w:hAnsi="Arial"/>
                <w:b w:val="0"/>
                <w:sz w:val="16"/>
              </w:rPr>
              <w:t>0.2444444444444444444444444444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6"/>
              </w:rPr>
              <w:t>24.44%</w:t>
            </w:r>
          </w:p>
        </w:tc>
      </w:tr>
      <w:tr>
        <w:tc>
          <w:tcPr>
            <w:tcW w:type="dxa" w:w="2592"/>
          </w:tcPr>
          <w:p>
            <w:r>
              <w:rPr>
                <w:rFonts w:ascii="Arial" w:hAnsi="Arial"/>
                <w:b w:val="0"/>
                <w:sz w:val="16"/>
              </w:rPr>
              <w:t>recent_bill_growth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b w:val="0"/>
                <w:sz w:val="16"/>
              </w:rPr>
              <w:t>&lt;=0</w:t>
            </w:r>
          </w:p>
        </w:tc>
        <w:tc>
          <w:tcPr>
            <w:tcW w:type="dxa" w:w="1152"/>
          </w:tcPr>
          <w:p>
            <w:r>
              <w:rPr>
                <w:rFonts w:ascii="Arial" w:hAnsi="Arial"/>
                <w:b w:val="0"/>
                <w:sz w:val="16"/>
              </w:rPr>
              <w:t>13347</w:t>
            </w:r>
          </w:p>
        </w:tc>
        <w:tc>
          <w:tcPr>
            <w:tcW w:type="dxa" w:w="1152"/>
          </w:tcPr>
          <w:p>
            <w:r>
              <w:rPr>
                <w:rFonts w:ascii="Arial" w:hAnsi="Arial"/>
                <w:b w:val="0"/>
                <w:sz w:val="16"/>
              </w:rPr>
              <w:t>3447</w:t>
            </w:r>
          </w:p>
        </w:tc>
        <w:tc>
          <w:tcPr>
            <w:tcW w:type="dxa" w:w="3384"/>
          </w:tcPr>
          <w:p>
            <w:r>
              <w:rPr>
                <w:rFonts w:ascii="Arial" w:hAnsi="Arial"/>
                <w:b w:val="0"/>
                <w:sz w:val="16"/>
              </w:rPr>
              <w:t>0.2582602832097100472016183412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6"/>
              </w:rPr>
              <w:t>25.83%</w:t>
            </w:r>
          </w:p>
        </w:tc>
      </w:tr>
      <w:tr>
        <w:tc>
          <w:tcPr>
            <w:tcW w:type="dxa" w:w="2592"/>
          </w:tcPr>
          <w:p>
            <w:r>
              <w:rPr>
                <w:rFonts w:ascii="Arial" w:hAnsi="Arial"/>
                <w:b w:val="0"/>
                <w:sz w:val="16"/>
              </w:rPr>
              <w:t>recent_bill_growth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b w:val="0"/>
                <w:sz w:val="16"/>
              </w:rPr>
              <w:t>0-&lt;0.25</w:t>
            </w:r>
          </w:p>
        </w:tc>
        <w:tc>
          <w:tcPr>
            <w:tcW w:type="dxa" w:w="1152"/>
          </w:tcPr>
          <w:p>
            <w:r>
              <w:rPr>
                <w:rFonts w:ascii="Arial" w:hAnsi="Arial"/>
                <w:b w:val="0"/>
                <w:sz w:val="16"/>
              </w:rPr>
              <w:t>4671</w:t>
            </w:r>
          </w:p>
        </w:tc>
        <w:tc>
          <w:tcPr>
            <w:tcW w:type="dxa" w:w="1152"/>
          </w:tcPr>
          <w:p>
            <w:r>
              <w:rPr>
                <w:rFonts w:ascii="Arial" w:hAnsi="Arial"/>
                <w:b w:val="0"/>
                <w:sz w:val="16"/>
              </w:rPr>
              <w:t>993</w:t>
            </w:r>
          </w:p>
        </w:tc>
        <w:tc>
          <w:tcPr>
            <w:tcW w:type="dxa" w:w="3384"/>
          </w:tcPr>
          <w:p>
            <w:r>
              <w:rPr>
                <w:rFonts w:ascii="Arial" w:hAnsi="Arial"/>
                <w:b w:val="0"/>
                <w:sz w:val="16"/>
              </w:rPr>
              <w:t>0.2125883108542068079640333976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6"/>
              </w:rPr>
              <w:t>21.26%</w:t>
            </w:r>
          </w:p>
        </w:tc>
      </w:tr>
      <w:tr>
        <w:tc>
          <w:tcPr>
            <w:tcW w:type="dxa" w:w="2592"/>
          </w:tcPr>
          <w:p>
            <w:r>
              <w:rPr>
                <w:rFonts w:ascii="Arial" w:hAnsi="Arial"/>
                <w:b w:val="0"/>
                <w:sz w:val="16"/>
              </w:rPr>
              <w:t>recent_bill_growth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b w:val="0"/>
                <w:sz w:val="16"/>
              </w:rPr>
              <w:t>&gt;=0.25</w:t>
            </w:r>
          </w:p>
        </w:tc>
        <w:tc>
          <w:tcPr>
            <w:tcW w:type="dxa" w:w="1152"/>
          </w:tcPr>
          <w:p>
            <w:r>
              <w:rPr>
                <w:rFonts w:ascii="Arial" w:hAnsi="Arial"/>
                <w:b w:val="0"/>
                <w:sz w:val="16"/>
              </w:rPr>
              <w:t>8787</w:t>
            </w:r>
          </w:p>
        </w:tc>
        <w:tc>
          <w:tcPr>
            <w:tcW w:type="dxa" w:w="1152"/>
          </w:tcPr>
          <w:p>
            <w:r>
              <w:rPr>
                <w:rFonts w:ascii="Arial" w:hAnsi="Arial"/>
                <w:b w:val="0"/>
                <w:sz w:val="16"/>
              </w:rPr>
              <w:t>1415</w:t>
            </w:r>
          </w:p>
        </w:tc>
        <w:tc>
          <w:tcPr>
            <w:tcW w:type="dxa" w:w="3384"/>
          </w:tcPr>
          <w:p>
            <w:r>
              <w:rPr>
                <w:rFonts w:ascii="Arial" w:hAnsi="Arial"/>
                <w:b w:val="0"/>
                <w:sz w:val="16"/>
              </w:rPr>
              <w:t>0.1610333447137817229998861955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6"/>
              </w:rPr>
              <w:t>16.10%</w:t>
            </w:r>
          </w:p>
        </w:tc>
      </w:tr>
      <w:tr>
        <w:tc>
          <w:tcPr>
            <w:tcW w:type="dxa" w:w="2592"/>
          </w:tcPr>
          <w:p>
            <w:r>
              <w:rPr>
                <w:rFonts w:ascii="Arial" w:hAnsi="Arial"/>
                <w:b w:val="0"/>
                <w:sz w:val="16"/>
              </w:rPr>
              <w:t>recent_max_delinquency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1152"/>
          </w:tcPr>
          <w:p>
            <w:r>
              <w:rPr>
                <w:rFonts w:ascii="Arial" w:hAnsi="Arial"/>
                <w:b w:val="0"/>
                <w:sz w:val="16"/>
              </w:rPr>
              <w:t>21560</w:t>
            </w:r>
          </w:p>
        </w:tc>
        <w:tc>
          <w:tcPr>
            <w:tcW w:type="dxa" w:w="1152"/>
          </w:tcPr>
          <w:p>
            <w:r>
              <w:rPr>
                <w:rFonts w:ascii="Arial" w:hAnsi="Arial"/>
                <w:b w:val="0"/>
                <w:sz w:val="16"/>
              </w:rPr>
              <w:t>2700</w:t>
            </w:r>
          </w:p>
        </w:tc>
        <w:tc>
          <w:tcPr>
            <w:tcW w:type="dxa" w:w="3384"/>
          </w:tcPr>
          <w:p>
            <w:r>
              <w:rPr>
                <w:rFonts w:ascii="Arial" w:hAnsi="Arial"/>
                <w:b w:val="0"/>
                <w:sz w:val="16"/>
              </w:rPr>
              <w:t>0.1252319109461966604823747681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6"/>
              </w:rPr>
              <w:t>12.52%</w:t>
            </w:r>
          </w:p>
        </w:tc>
      </w:tr>
      <w:tr>
        <w:tc>
          <w:tcPr>
            <w:tcW w:type="dxa" w:w="2592"/>
          </w:tcPr>
          <w:p>
            <w:r>
              <w:rPr>
                <w:rFonts w:ascii="Arial" w:hAnsi="Arial"/>
                <w:b w:val="0"/>
                <w:sz w:val="16"/>
              </w:rPr>
              <w:t>recent_max_delinquency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1152"/>
          </w:tcPr>
          <w:p>
            <w:r>
              <w:rPr>
                <w:rFonts w:ascii="Arial" w:hAnsi="Arial"/>
                <w:b w:val="0"/>
                <w:sz w:val="16"/>
              </w:rPr>
              <w:t>1779</w:t>
            </w:r>
          </w:p>
        </w:tc>
        <w:tc>
          <w:tcPr>
            <w:tcW w:type="dxa" w:w="1152"/>
          </w:tcPr>
          <w:p>
            <w:r>
              <w:rPr>
                <w:rFonts w:ascii="Arial" w:hAnsi="Arial"/>
                <w:b w:val="0"/>
                <w:sz w:val="16"/>
              </w:rPr>
              <w:t>454</w:t>
            </w:r>
          </w:p>
        </w:tc>
        <w:tc>
          <w:tcPr>
            <w:tcW w:type="dxa" w:w="3384"/>
          </w:tcPr>
          <w:p>
            <w:r>
              <w:rPr>
                <w:rFonts w:ascii="Arial" w:hAnsi="Arial"/>
                <w:b w:val="0"/>
                <w:sz w:val="16"/>
              </w:rPr>
              <w:t>0.2551995503091624508150646431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6"/>
              </w:rPr>
              <w:t>25.52%</w:t>
            </w:r>
          </w:p>
        </w:tc>
      </w:tr>
      <w:tr>
        <w:tc>
          <w:tcPr>
            <w:tcW w:type="dxa" w:w="2592"/>
          </w:tcPr>
          <w:p>
            <w:r>
              <w:rPr>
                <w:rFonts w:ascii="Arial" w:hAnsi="Arial"/>
                <w:b w:val="0"/>
                <w:sz w:val="16"/>
              </w:rPr>
              <w:t>recent_max_delinquency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b w:val="0"/>
                <w:sz w:val="16"/>
              </w:rPr>
              <w:t>2+</w:t>
            </w:r>
          </w:p>
        </w:tc>
        <w:tc>
          <w:tcPr>
            <w:tcW w:type="dxa" w:w="1152"/>
          </w:tcPr>
          <w:p>
            <w:r>
              <w:rPr>
                <w:rFonts w:ascii="Arial" w:hAnsi="Arial"/>
                <w:b w:val="0"/>
                <w:sz w:val="16"/>
              </w:rPr>
              <w:t>6661</w:t>
            </w:r>
          </w:p>
        </w:tc>
        <w:tc>
          <w:tcPr>
            <w:tcW w:type="dxa" w:w="1152"/>
          </w:tcPr>
          <w:p>
            <w:r>
              <w:rPr>
                <w:rFonts w:ascii="Arial" w:hAnsi="Arial"/>
                <w:b w:val="0"/>
                <w:sz w:val="16"/>
              </w:rPr>
              <w:t>3482</w:t>
            </w:r>
          </w:p>
        </w:tc>
        <w:tc>
          <w:tcPr>
            <w:tcW w:type="dxa" w:w="3384"/>
          </w:tcPr>
          <w:p>
            <w:r>
              <w:rPr>
                <w:rFonts w:ascii="Arial" w:hAnsi="Arial"/>
                <w:b w:val="0"/>
                <w:sz w:val="16"/>
              </w:rPr>
              <w:t>0.5227443326827803633088124906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6"/>
              </w:rPr>
              <w:t>52.27%</w:t>
            </w:r>
          </w:p>
        </w:tc>
      </w:tr>
      <w:tr>
        <w:tc>
          <w:tcPr>
            <w:tcW w:type="dxa" w:w="2592"/>
          </w:tcPr>
          <w:p>
            <w:r>
              <w:rPr>
                <w:rFonts w:ascii="Arial" w:hAnsi="Arial"/>
                <w:b w:val="0"/>
                <w:sz w:val="16"/>
              </w:rPr>
              <w:t>zero_payment_streak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1152"/>
          </w:tcPr>
          <w:p>
            <w:r>
              <w:rPr>
                <w:rFonts w:ascii="Arial" w:hAnsi="Arial"/>
                <w:b w:val="0"/>
                <w:sz w:val="16"/>
              </w:rPr>
              <w:t>15458</w:t>
            </w:r>
          </w:p>
        </w:tc>
        <w:tc>
          <w:tcPr>
            <w:tcW w:type="dxa" w:w="1152"/>
          </w:tcPr>
          <w:p>
            <w:r>
              <w:rPr>
                <w:rFonts w:ascii="Arial" w:hAnsi="Arial"/>
                <w:b w:val="0"/>
                <w:sz w:val="16"/>
              </w:rPr>
              <w:t>2151</w:t>
            </w:r>
          </w:p>
        </w:tc>
        <w:tc>
          <w:tcPr>
            <w:tcW w:type="dxa" w:w="3384"/>
          </w:tcPr>
          <w:p>
            <w:r>
              <w:rPr>
                <w:rFonts w:ascii="Arial" w:hAnsi="Arial"/>
                <w:b w:val="0"/>
                <w:sz w:val="16"/>
              </w:rPr>
              <w:t>0.1391512485444430068572907233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6"/>
              </w:rPr>
              <w:t>13.92%</w:t>
            </w:r>
          </w:p>
        </w:tc>
      </w:tr>
      <w:tr>
        <w:tc>
          <w:tcPr>
            <w:tcW w:type="dxa" w:w="2592"/>
          </w:tcPr>
          <w:p>
            <w:r>
              <w:rPr>
                <w:rFonts w:ascii="Arial" w:hAnsi="Arial"/>
                <w:b w:val="0"/>
                <w:sz w:val="16"/>
              </w:rPr>
              <w:t>zero_payment_streak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1152"/>
          </w:tcPr>
          <w:p>
            <w:r>
              <w:rPr>
                <w:rFonts w:ascii="Arial" w:hAnsi="Arial"/>
                <w:b w:val="0"/>
                <w:sz w:val="16"/>
              </w:rPr>
              <w:t>8247</w:t>
            </w:r>
          </w:p>
        </w:tc>
        <w:tc>
          <w:tcPr>
            <w:tcW w:type="dxa" w:w="1152"/>
          </w:tcPr>
          <w:p>
            <w:r>
              <w:rPr>
                <w:rFonts w:ascii="Arial" w:hAnsi="Arial"/>
                <w:b w:val="0"/>
                <w:sz w:val="16"/>
              </w:rPr>
              <w:t>2752</w:t>
            </w:r>
          </w:p>
        </w:tc>
        <w:tc>
          <w:tcPr>
            <w:tcW w:type="dxa" w:w="3384"/>
          </w:tcPr>
          <w:p>
            <w:r>
              <w:rPr>
                <w:rFonts w:ascii="Arial" w:hAnsi="Arial"/>
                <w:b w:val="0"/>
                <w:sz w:val="16"/>
              </w:rPr>
              <w:t>0.3336971019764762944100885170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6"/>
              </w:rPr>
              <w:t>33.37%</w:t>
            </w:r>
          </w:p>
        </w:tc>
      </w:tr>
      <w:tr>
        <w:tc>
          <w:tcPr>
            <w:tcW w:type="dxa" w:w="2592"/>
          </w:tcPr>
          <w:p>
            <w:r>
              <w:rPr>
                <w:rFonts w:ascii="Arial" w:hAnsi="Arial"/>
                <w:b w:val="0"/>
                <w:sz w:val="16"/>
              </w:rPr>
              <w:t>zero_payment_streak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b w:val="0"/>
                <w:sz w:val="16"/>
              </w:rPr>
              <w:t>2+</w:t>
            </w:r>
          </w:p>
        </w:tc>
        <w:tc>
          <w:tcPr>
            <w:tcW w:type="dxa" w:w="1152"/>
          </w:tcPr>
          <w:p>
            <w:r>
              <w:rPr>
                <w:rFonts w:ascii="Arial" w:hAnsi="Arial"/>
                <w:b w:val="0"/>
                <w:sz w:val="16"/>
              </w:rPr>
              <w:t>6295</w:t>
            </w:r>
          </w:p>
        </w:tc>
        <w:tc>
          <w:tcPr>
            <w:tcW w:type="dxa" w:w="1152"/>
          </w:tcPr>
          <w:p>
            <w:r>
              <w:rPr>
                <w:rFonts w:ascii="Arial" w:hAnsi="Arial"/>
                <w:b w:val="0"/>
                <w:sz w:val="16"/>
              </w:rPr>
              <w:t>1733</w:t>
            </w:r>
          </w:p>
        </w:tc>
        <w:tc>
          <w:tcPr>
            <w:tcW w:type="dxa" w:w="3384"/>
          </w:tcPr>
          <w:p>
            <w:r>
              <w:rPr>
                <w:rFonts w:ascii="Arial" w:hAnsi="Arial"/>
                <w:b w:val="0"/>
                <w:sz w:val="16"/>
              </w:rPr>
              <w:t>0.2752978554408260524225575854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6"/>
              </w:rPr>
              <w:t>27.53%</w:t>
            </w:r>
          </w:p>
        </w:tc>
      </w:tr>
    </w:tbl>
    <w:p/>
    <w:p>
      <w:pPr>
        <w:pStyle w:val="Heading1"/>
      </w:pPr>
      <w:r>
        <w:t>Scope, data, and metric definitions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592"/>
            <w:shd w:fill="17365D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Definition</w:t>
            </w:r>
          </w:p>
        </w:tc>
        <w:tc>
          <w:tcPr>
            <w:tcW w:type="dxa" w:w="8352"/>
            <w:shd w:fill="17365D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Approved report meaning</w:t>
            </w:r>
          </w:p>
        </w:tc>
      </w:tr>
      <w:tr>
        <w:tc>
          <w:tcPr>
            <w:tcW w:type="dxa" w:w="2592"/>
          </w:tcPr>
          <w:p>
            <w:r>
              <w:rPr>
                <w:rFonts w:ascii="Arial" w:hAnsi="Arial"/>
                <w:b w:val="0"/>
                <w:sz w:val="16"/>
              </w:rPr>
              <w:t>Observation grain</w:t>
            </w:r>
          </w:p>
        </w:tc>
        <w:tc>
          <w:tcPr>
            <w:tcW w:type="dxa" w:w="8352"/>
          </w:tcPr>
          <w:p>
            <w:r>
              <w:rPr>
                <w:rFonts w:ascii="Arial" w:hAnsi="Arial"/>
                <w:b w:val="0"/>
                <w:sz w:val="16"/>
              </w:rPr>
              <w:t>Borrower and borrower-month; six source history months per borrower.</w:t>
            </w:r>
          </w:p>
        </w:tc>
      </w:tr>
      <w:tr>
        <w:tc>
          <w:tcPr>
            <w:tcW w:type="dxa" w:w="2592"/>
          </w:tcPr>
          <w:p>
            <w:r>
              <w:rPr>
                <w:rFonts w:ascii="Arial" w:hAnsi="Arial"/>
                <w:b w:val="0"/>
                <w:sz w:val="16"/>
              </w:rPr>
              <w:t>Outcome</w:t>
            </w:r>
          </w:p>
        </w:tc>
        <w:tc>
          <w:tcPr>
            <w:tcW w:type="dxa" w:w="8352"/>
          </w:tcPr>
          <w:p>
            <w:r>
              <w:rPr>
                <w:rFonts w:ascii="Arial" w:hAnsi="Arial"/>
                <w:b w:val="0"/>
                <w:sz w:val="16"/>
              </w:rPr>
              <w:t>Source-provided next-month default label.</w:t>
            </w:r>
          </w:p>
        </w:tc>
      </w:tr>
      <w:tr>
        <w:tc>
          <w:tcPr>
            <w:tcW w:type="dxa" w:w="2592"/>
          </w:tcPr>
          <w:p>
            <w:r>
              <w:rPr>
                <w:rFonts w:ascii="Arial" w:hAnsi="Arial"/>
                <w:b w:val="0"/>
                <w:sz w:val="16"/>
              </w:rPr>
              <w:t>Observed default rate</w:t>
            </w:r>
          </w:p>
        </w:tc>
        <w:tc>
          <w:tcPr>
            <w:tcW w:type="dxa" w:w="8352"/>
          </w:tcPr>
          <w:p>
            <w:r>
              <w:rPr>
                <w:rFonts w:ascii="Arial" w:hAnsi="Arial"/>
                <w:b w:val="0"/>
                <w:sz w:val="16"/>
              </w:rPr>
              <w:t>Default count divided by sample count within each validated bucket.</w:t>
            </w:r>
          </w:p>
        </w:tc>
      </w:tr>
      <w:tr>
        <w:tc>
          <w:tcPr>
            <w:tcW w:type="dxa" w:w="2592"/>
          </w:tcPr>
          <w:p>
            <w:r>
              <w:rPr>
                <w:rFonts w:ascii="Arial" w:hAnsi="Arial"/>
                <w:b w:val="0"/>
                <w:sz w:val="16"/>
              </w:rPr>
              <w:t>Risk band</w:t>
            </w:r>
          </w:p>
        </w:tc>
        <w:tc>
          <w:tcPr>
            <w:tcW w:type="dxa" w:w="8352"/>
          </w:tcPr>
          <w:p>
            <w:r>
              <w:rPr>
                <w:rFonts w:ascii="Arial" w:hAnsi="Arial"/>
                <w:b w:val="0"/>
                <w:sz w:val="16"/>
              </w:rPr>
              <w:t>Explainable prototype grouping under definition version 0.1.0; not a bank rating or Stage.</w:t>
            </w:r>
          </w:p>
        </w:tc>
      </w:tr>
      <w:tr>
        <w:tc>
          <w:tcPr>
            <w:tcW w:type="dxa" w:w="2592"/>
          </w:tcPr>
          <w:p>
            <w:r>
              <w:rPr>
                <w:rFonts w:ascii="Arial" w:hAnsi="Arial"/>
                <w:b w:val="0"/>
                <w:sz w:val="16"/>
              </w:rPr>
              <w:t>Claim type</w:t>
            </w:r>
          </w:p>
        </w:tc>
        <w:tc>
          <w:tcPr>
            <w:tcW w:type="dxa" w:w="8352"/>
          </w:tcPr>
          <w:p>
            <w:r>
              <w:rPr>
                <w:rFonts w:ascii="Arial" w:hAnsi="Arial"/>
                <w:b w:val="0"/>
                <w:sz w:val="16"/>
              </w:rPr>
              <w:t>Descriptive observed association; neither causal inference nor out-of-sample model performance.</w:t>
            </w:r>
          </w:p>
        </w:tc>
      </w:tr>
    </w:tbl>
    <w:p/>
    <w:p>
      <w:pPr>
        <w:pStyle w:val="Heading1"/>
      </w:pPr>
      <w:r>
        <w:t>Methodology and reporting controls</w:t>
      </w:r>
    </w:p>
    <w:p>
      <w:pPr>
        <w:pStyle w:val="ListBullet"/>
      </w:pPr>
      <w:r>
        <w:t>Validate Gate 1–3 packet structure, referenced artifacts, run identity, and arithmetic.</w:t>
      </w:r>
    </w:p>
    <w:p>
      <w:pPr>
        <w:pStyle w:val="ListBullet"/>
      </w:pPr>
      <w:r>
        <w:t>Match the claim manifest run/version and validation SHA-256.</w:t>
      </w:r>
    </w:p>
    <w:p>
      <w:pPr>
        <w:pStyle w:val="ListBullet"/>
      </w:pPr>
      <w:r>
        <w:t>Read counts and exact decimal rates only from verified_findings and Gate evidence.</w:t>
      </w:r>
    </w:p>
    <w:p>
      <w:pPr>
        <w:pStyle w:val="ListBullet"/>
      </w:pPr>
      <w:r>
        <w:t>Generate all Office outputs from the same in-memory OfficeData contract.</w:t>
      </w:r>
    </w:p>
    <w:p>
      <w:pPr>
        <w:pStyle w:val="ListBullet"/>
      </w:pPr>
      <w:r>
        <w:t>Normalize OOXML package timestamps for deterministic file hashes.</w:t>
      </w:r>
    </w:p>
    <w:p>
      <w:pPr>
        <w:pStyle w:val="ListBullet"/>
      </w:pPr>
      <w:r>
        <w:t>Reopen XLSX/PPTX/DOCX and compare metadata, populations, outcomes, and limitations.</w:t>
      </w:r>
    </w:p>
    <w:p>
      <w:pPr>
        <w:pStyle w:val="ListBullet"/>
      </w:pPr>
      <w:r>
        <w:t>Write a file-hash/value manifest only after cross-artifact checks pass.</w:t>
      </w:r>
    </w:p>
    <w:p>
      <w:pPr>
        <w:pStyle w:val="ListBullet"/>
      </w:pPr>
      <w:r>
        <w:t>Refuse to overwrite any prior Office artifact or manifest.</w:t>
      </w:r>
    </w:p>
    <w:p>
      <w:pPr>
        <w:pStyle w:val="Heading1"/>
      </w:pPr>
      <w:r>
        <w:t>Limitations, uncertainty, and robustness checks</w:t>
      </w:r>
    </w:p>
    <w:p>
      <w:pPr>
        <w:pStyle w:val="ListBullet"/>
      </w:pPr>
      <w:r>
        <w:t>Public-data descriptive prototype; not a production IFRS 9 rating, Stage, PD, LGD, EAD, or ECL result.</w:t>
      </w:r>
    </w:p>
    <w:p>
      <w:pPr>
        <w:pStyle w:val="ListBullet"/>
      </w:pPr>
      <w:r>
        <w:t>Observed default rates are descriptive associations, not causal effects.</w:t>
      </w:r>
    </w:p>
    <w:p>
      <w:pPr>
        <w:pStyle w:val="ListBullet"/>
      </w:pPr>
      <w:r>
        <w:t>Risk bands are explainable prototype rules, not approved bank ratings or IFRS 9 Stage assignments.</w:t>
      </w:r>
    </w:p>
    <w:p>
      <w:pPr>
        <w:pStyle w:val="ListBullet"/>
      </w:pPr>
      <w:r>
        <w:t>The independent validation artifact contains the aggregate SQL test count, not all individual test-result records.</w:t>
      </w:r>
    </w:p>
    <w:p>
      <w:pPr>
        <w:pStyle w:val="ListBullet"/>
      </w:pPr>
      <w:r>
        <w:t>Displayed percentages are rounded to two decimals; exact counts and exact decimal-rate strings remain the audit authority.</w:t>
      </w:r>
    </w:p>
    <w:p>
      <w:pPr>
        <w:pStyle w:val="ListBullet"/>
      </w:pPr>
      <w:r>
        <w:t>Gate 1–3 machine evidence does not constitute Gate 5 review or human approval for external publication.</w:t>
      </w:r>
    </w:p>
    <w:p>
      <w:pPr>
        <w:pStyle w:val="Heading1"/>
      </w:pPr>
      <w:r>
        <w:t>Claim-to-evidence mapping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440"/>
            <w:shd w:fill="17365D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Claim ID</w:t>
            </w:r>
          </w:p>
        </w:tc>
        <w:tc>
          <w:tcPr>
            <w:tcW w:type="dxa" w:w="4320"/>
            <w:shd w:fill="17365D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Claim</w:t>
            </w:r>
          </w:p>
        </w:tc>
        <w:tc>
          <w:tcPr>
            <w:tcW w:type="dxa" w:w="5328"/>
            <w:shd w:fill="17365D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JSON evidence pointers</w:t>
            </w:r>
          </w:p>
        </w:tc>
      </w:tr>
      <w:tr>
        <w:tc>
          <w:tcPr>
            <w:tcW w:type="dxa" w:w="1440"/>
          </w:tcPr>
          <w:p>
            <w:r>
              <w:rPr>
                <w:rFonts w:ascii="Arial" w:hAnsi="Arial"/>
                <w:b w:val="0"/>
                <w:sz w:val="16"/>
              </w:rPr>
              <w:t>W1-CLM-001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b w:val="0"/>
                <w:sz w:val="16"/>
              </w:rPr>
              <w:t>The registered source reconciles exactly to the raw table.</w:t>
            </w:r>
          </w:p>
        </w:tc>
        <w:tc>
          <w:tcPr>
            <w:tcW w:type="dxa" w:w="5328"/>
          </w:tcPr>
          <w:p>
            <w:r>
              <w:rPr>
                <w:rFonts w:ascii="Arial" w:hAnsi="Arial"/>
                <w:b w:val="0"/>
                <w:sz w:val="16"/>
              </w:rPr>
              <w:t>$.gate_packets[gate=1].checks[check_id=raw_rows_reconciled] | $.verified_findings.source_rows | $.verified_findings.raw_rows</w:t>
            </w:r>
          </w:p>
        </w:tc>
      </w:tr>
      <w:tr>
        <w:tc>
          <w:tcPr>
            <w:tcW w:type="dxa" w:w="1440"/>
          </w:tcPr>
          <w:p>
            <w:r>
              <w:rPr>
                <w:rFonts w:ascii="Arial" w:hAnsi="Arial"/>
                <w:b w:val="0"/>
                <w:sz w:val="16"/>
              </w:rPr>
              <w:t>W1-CLM-002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b w:val="0"/>
                <w:sz w:val="16"/>
              </w:rPr>
              <w:t>Borrower and six-month borrower-month populations reconcile.</w:t>
            </w:r>
          </w:p>
        </w:tc>
        <w:tc>
          <w:tcPr>
            <w:tcW w:type="dxa" w:w="5328"/>
          </w:tcPr>
          <w:p>
            <w:r>
              <w:rPr>
                <w:rFonts w:ascii="Arial" w:hAnsi="Arial"/>
                <w:b w:val="0"/>
                <w:sz w:val="16"/>
              </w:rPr>
              <w:t>$.gate_packets[gate=2].checks[check_id=wide_to_long_rows] | $.verified_findings.borrower_rows | $.verified_findings.account_month_rows</w:t>
            </w:r>
          </w:p>
        </w:tc>
      </w:tr>
      <w:tr>
        <w:tc>
          <w:tcPr>
            <w:tcW w:type="dxa" w:w="1440"/>
          </w:tcPr>
          <w:p>
            <w:r>
              <w:rPr>
                <w:rFonts w:ascii="Arial" w:hAnsi="Arial"/>
                <w:b w:val="0"/>
                <w:sz w:val="16"/>
              </w:rPr>
              <w:t>W1-CLM-003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b w:val="0"/>
                <w:sz w:val="16"/>
              </w:rPr>
              <w:t>Wide and long bill and payment totals reconcile within the approved threshold.</w:t>
            </w:r>
          </w:p>
        </w:tc>
        <w:tc>
          <w:tcPr>
            <w:tcW w:type="dxa" w:w="5328"/>
          </w:tcPr>
          <w:p>
            <w:r>
              <w:rPr>
                <w:rFonts w:ascii="Arial" w:hAnsi="Arial"/>
                <w:b w:val="0"/>
                <w:sz w:val="16"/>
              </w:rPr>
              <w:t>$.gate_packets[gate=2].checks[check_id=bill_amounts] | $.gate_packets[gate=2].checks[check_id=payment_amounts]</w:t>
            </w:r>
          </w:p>
        </w:tc>
      </w:tr>
      <w:tr>
        <w:tc>
          <w:tcPr>
            <w:tcW w:type="dxa" w:w="1440"/>
          </w:tcPr>
          <w:p>
            <w:r>
              <w:rPr>
                <w:rFonts w:ascii="Arial" w:hAnsi="Arial"/>
                <w:b w:val="0"/>
                <w:sz w:val="16"/>
              </w:rPr>
              <w:t>W1-CLM-004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b w:val="0"/>
                <w:sz w:val="16"/>
              </w:rPr>
              <w:t>The validated SQL test suite has no failed test.</w:t>
            </w:r>
          </w:p>
        </w:tc>
        <w:tc>
          <w:tcPr>
            <w:tcW w:type="dxa" w:w="5328"/>
          </w:tcPr>
          <w:p>
            <w:r>
              <w:rPr>
                <w:rFonts w:ascii="Arial" w:hAnsi="Arial"/>
                <w:b w:val="0"/>
                <w:sz w:val="16"/>
              </w:rPr>
              <w:t>$.gate_packets[gate=2].checks[check_id=sql_test_suite] | $.verified_findings.sql_test_count | $.verified_findings.sql_failed_count</w:t>
            </w:r>
          </w:p>
        </w:tc>
      </w:tr>
      <w:tr>
        <w:tc>
          <w:tcPr>
            <w:tcW w:type="dxa" w:w="1440"/>
          </w:tcPr>
          <w:p>
            <w:r>
              <w:rPr>
                <w:rFonts w:ascii="Arial" w:hAnsi="Arial"/>
                <w:b w:val="0"/>
                <w:sz w:val="16"/>
              </w:rPr>
              <w:t>W1-CLM-005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b w:val="0"/>
                <w:sz w:val="16"/>
              </w:rPr>
              <w:t>Signal-bucket observed default rates use reconciled populations.</w:t>
            </w:r>
          </w:p>
        </w:tc>
        <w:tc>
          <w:tcPr>
            <w:tcW w:type="dxa" w:w="5328"/>
          </w:tcPr>
          <w:p>
            <w:r>
              <w:rPr>
                <w:rFonts w:ascii="Arial" w:hAnsi="Arial"/>
                <w:b w:val="0"/>
                <w:sz w:val="16"/>
              </w:rPr>
              <w:t>$.gate_packets[gate=3].checks[check_id=outcome_summary] | $.verified_findings.signal_outcomes</w:t>
            </w:r>
          </w:p>
        </w:tc>
      </w:tr>
      <w:tr>
        <w:tc>
          <w:tcPr>
            <w:tcW w:type="dxa" w:w="1440"/>
          </w:tcPr>
          <w:p>
            <w:r>
              <w:rPr>
                <w:rFonts w:ascii="Arial" w:hAnsi="Arial"/>
                <w:b w:val="0"/>
                <w:sz w:val="16"/>
              </w:rPr>
              <w:t>W1-CLM-006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b w:val="0"/>
                <w:sz w:val="16"/>
              </w:rPr>
              <w:t>Initial risk-band observed default rates use the same run.</w:t>
            </w:r>
          </w:p>
        </w:tc>
        <w:tc>
          <w:tcPr>
            <w:tcW w:type="dxa" w:w="5328"/>
          </w:tcPr>
          <w:p>
            <w:r>
              <w:rPr>
                <w:rFonts w:ascii="Arial" w:hAnsi="Arial"/>
                <w:b w:val="0"/>
                <w:sz w:val="16"/>
              </w:rPr>
              <w:t>$.gate_packets[gate=3].checks[check_id=outcome_summary] | $.verified_findings.risk_band_outcomes</w:t>
            </w:r>
          </w:p>
        </w:tc>
      </w:tr>
    </w:tbl>
    <w:p/>
    <w:p>
      <w:pPr>
        <w:pStyle w:val="Heading1"/>
      </w:pPr>
      <w:r>
        <w:t>Recommended next steps</w:t>
      </w:r>
    </w:p>
    <w:p>
      <w:pPr>
        <w:pStyle w:val="ListNumber"/>
      </w:pPr>
      <w:r>
        <w:t>Review the Office manifest and reconcile its hashes and common values.</w:t>
      </w:r>
    </w:p>
    <w:p>
      <w:pPr>
        <w:pStyle w:val="ListNumber"/>
      </w:pPr>
      <w:r>
        <w:t>Complete independent Gate 5 cross-artifact review.</w:t>
      </w:r>
    </w:p>
    <w:p>
      <w:pPr>
        <w:pStyle w:val="ListNumber"/>
      </w:pPr>
      <w:r>
        <w:t>Obtain explicit human approval before any external portfolio quotation.</w:t>
      </w:r>
    </w:p>
    <w:p>
      <w:pPr>
        <w:pStyle w:val="ListNumber"/>
      </w:pPr>
      <w:r>
        <w:t>In Wave 2, test time-aware stability and calibration before model conclusions.</w:t>
      </w:r>
    </w:p>
    <w:p>
      <w:pPr>
        <w:pStyle w:val="Heading1"/>
      </w:pPr>
      <w:r>
        <w:t>Further questions</w:t>
      </w:r>
    </w:p>
    <w:p>
      <w:r>
        <w:t>Do signal directions persist under time-aware and segment validation?</w:t>
      </w:r>
    </w:p>
    <w:p>
      <w:r>
        <w:t>Which public-data limitations prevent each prototype from representing a bank production process?</w:t>
      </w:r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W1-20260727-001 | definition 0.1.0 | INTERNAL ONLY — PENDING GATE 5 AND HUMAN PUBLICATION APPROVAL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7365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Wave 1 Technical Methodology and Test Report</dc:title>
  <dc:subject>INTERNAL ONLY — PENDING GATE 5 AND HUMAN PUBLICATION APPROVAL</dc:subject>
  <dc:creator>Credit Risk Signal Lab</dc:creator>
  <cp:keywords/>
  <dc:description>generated by python-docx</dc:description>
  <cp:lastModifiedBy/>
  <cp:revision>1</cp:revision>
  <dcterms:created xsi:type="dcterms:W3CDTF">2026-07-27T12:24:26Z</dcterms:created>
  <dcterms:modified xsi:type="dcterms:W3CDTF">2026-07-27T12:24:26Z</dcterms:modified>
  <cp:category/>
</cp:coreProperties>
</file>