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EIMAS 통합 시장 분석 보고서</w:t>
      </w:r>
    </w:p>
    <w:p>
      <w:r/>
      <w:r>
        <w:rPr>
          <w:b/>
        </w:rPr>
        <w:t>생성일</w:t>
      </w:r>
      <w:r>
        <w:t>: 2025-12-28</w:t>
      </w:r>
    </w:p>
    <w:p>
      <w:r/>
      <w:r>
        <w:rPr>
          <w:b/>
        </w:rPr>
        <w:t>시스템</w:t>
      </w:r>
      <w:r>
        <w:t>: Economic Intelligence Multi-Agent System (EIMAS)</w:t>
      </w:r>
    </w:p>
    <w:p>
      <w:r/>
      <w:r>
        <w:rPr>
          <w:b/>
        </w:rPr>
        <w:t>분석 기간</w:t>
      </w:r>
      <w:r>
        <w:t>: 2025년 1월 시장 전망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분석 프로세스 개요</w:t>
      </w:r>
    </w:p>
    <w:p>
      <w:r>
        <w:t>본 보고서는 다단계 AI 분석 파이프라인을 통해 생성되었습니다: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1단계: EIMAS 정량 분석                                          │</w:t>
        <w:br/>
      </w:r>
      <w:r>
        <w:rPr>
          <w:rFonts w:ascii="Consolas" w:hAnsi="Consolas"/>
          <w:sz w:val="18"/>
        </w:rPr>
        <w:t>│  → 통화정책 전달경로, 자산간 상관관계 분석   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     ↓</w:t>
        <w:br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2단계: Perplexity 리서치                                        │</w:t>
        <w:br/>
      </w:r>
      <w:r>
        <w:rPr>
          <w:rFonts w:ascii="Consolas" w:hAnsi="Consolas"/>
          <w:sz w:val="18"/>
        </w:rPr>
        <w:t>│  → 최신 시장 데이터, IB 전망 수집           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     ↓</w:t>
        <w:br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3단계: Market Anomaly Detector v2.2                             │</w:t>
        <w:br/>
      </w:r>
      <w:r>
        <w:rPr>
          <w:rFonts w:ascii="Consolas" w:hAnsi="Consolas"/>
          <w:sz w:val="18"/>
        </w:rPr>
        <w:t>│  → 실시간 이상 신호, 레짐 분석, ML 위험 확률 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     ↓</w:t>
        <w:br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4단계: Claude 종합 분석                                         │</w:t>
        <w:br/>
      </w:r>
      <w:r>
        <w:rPr>
          <w:rFonts w:ascii="Consolas" w:hAnsi="Consolas"/>
          <w:sz w:val="18"/>
        </w:rPr>
        <w:t>│  → 투자 전략 권고, 리스크 관리 방안         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1단계: EIMAS 정량 분석</w:t>
      </w:r>
    </w:p>
    <w:p>
      <w:pPr>
        <w:pStyle w:val="Heading1"/>
      </w:pPr>
      <w:r>
        <w:t>1.1 분석 환경</w:t>
      </w:r>
    </w:p>
    <w:p>
      <w:r/>
      <w:r>
        <w:rPr>
          <w:b/>
        </w:rPr>
        <w:t>거시경제 현황</w:t>
      </w:r>
      <w:r>
        <w:t xml:space="preserve"> (2025년 1월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현재 수준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시장 함의</w:t>
            </w:r>
          </w:p>
        </w:tc>
      </w:tr>
      <w:tr>
        <w:tc>
          <w:tcPr>
            <w:tcW w:type="dxa" w:w="2880"/>
          </w:tcPr>
          <w:p>
            <w:r>
              <w:t>Fed 기준금리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  <w:tc>
          <w:tcPr>
            <w:tcW w:type="dxa" w:w="2880"/>
          </w:tcPr>
          <w:p>
            <w:r>
              <w:t>제한적(Restrictive) 영역</w:t>
            </w:r>
          </w:p>
        </w:tc>
      </w:tr>
      <w:tr>
        <w:tc>
          <w:tcPr>
            <w:tcW w:type="dxa" w:w="2880"/>
          </w:tcPr>
          <w:p>
            <w:r>
              <w:t>10년물 금리</w:t>
            </w:r>
          </w:p>
        </w:tc>
        <w:tc>
          <w:tcPr>
            <w:tcW w:type="dxa" w:w="2880"/>
          </w:tcPr>
          <w:p>
            <w:r>
              <w:t>4.25%</w:t>
            </w:r>
          </w:p>
        </w:tc>
        <w:tc>
          <w:tcPr>
            <w:tcW w:type="dxa" w:w="2880"/>
          </w:tcPr>
          <w:p>
            <w:r>
              <w:t>역이자율구조 해소</w:t>
            </w:r>
          </w:p>
        </w:tc>
      </w:tr>
      <w:tr>
        <w:tc>
          <w:tcPr>
            <w:tcW w:type="dxa" w:w="2880"/>
          </w:tcPr>
          <w:p>
            <w:r>
              <w:t>인플레이션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  <w:tc>
          <w:tcPr>
            <w:tcW w:type="dxa" w:w="2880"/>
          </w:tcPr>
          <w:p>
            <w:r>
              <w:t>Fed 목표치(2%) 상회, 둔화 추세</w:t>
            </w:r>
          </w:p>
        </w:tc>
      </w:tr>
      <w:tr>
        <w:tc>
          <w:tcPr>
            <w:tcW w:type="dxa" w:w="2880"/>
          </w:tcPr>
          <w:p>
            <w:r>
              <w:t>VIX</w:t>
            </w:r>
          </w:p>
        </w:tc>
        <w:tc>
          <w:tcPr>
            <w:tcW w:type="dxa" w:w="2880"/>
          </w:tcPr>
          <w:p>
            <w:r>
              <w:t>18.5</w:t>
            </w:r>
          </w:p>
        </w:tc>
        <w:tc>
          <w:tcPr>
            <w:tcW w:type="dxa" w:w="2880"/>
          </w:tcPr>
          <w:p>
            <w:r>
              <w:t>중립적 변동성</w:t>
            </w:r>
          </w:p>
        </w:tc>
      </w:tr>
    </w:tbl>
    <w:p/>
    <w:p>
      <w:pPr>
        <w:pStyle w:val="Heading1"/>
      </w:pPr>
      <w:r>
        <w:t>1.2 통화정책 전달경로 분석</w:t>
      </w:r>
    </w:p>
    <w:p>
      <w:r>
        <w:t>EIMAS HYBRID 분석모델(R²=0.72, p&lt;0.001)을 통해 다음 전달경로를 확인:</w:t>
      </w:r>
    </w:p>
    <w:p>
      <w:pPr>
        <w:pStyle w:val="Heading2"/>
      </w:pPr>
      <w:r>
        <w:t>Fed 금리 → 주식시장 (-0.42)</w:t>
      </w:r>
    </w:p>
    <w:p>
      <w:pPr>
        <w:pStyle w:val="ListBullet"/>
      </w:pPr>
      <w:r>
        <w:t xml:space="preserve">통화정책의 주식시장 직접 영향은 </w:t>
      </w:r>
      <w:r>
        <w:rPr>
          <w:b/>
        </w:rPr>
        <w:t>제한적</w:t>
      </w:r>
      <w:r/>
    </w:p>
    <w:p>
      <w:pPr>
        <w:pStyle w:val="ListBullet"/>
      </w:pPr>
      <w:r>
        <w:t>Fisher 효과에 따른 구조적 현상: 금리 변화가 할인율 조정을 통해 밸류에이션에 반영</w:t>
      </w:r>
    </w:p>
    <w:p>
      <w:pPr>
        <w:pStyle w:val="ListBullet"/>
      </w:pPr>
      <w:r>
        <w:t>시장이 이미 금리 상승을 상당 부분 반영했음을 시사</w:t>
      </w:r>
    </w:p>
    <w:p>
      <w:pPr>
        <w:pStyle w:val="Heading2"/>
      </w:pPr>
      <w:r>
        <w:t>인플레이션 기대 → 채권수익률 (+0.65)</w:t>
      </w:r>
    </w:p>
    <w:p>
      <w:pPr>
        <w:pStyle w:val="ListBullet"/>
      </w:pPr>
      <w:r>
        <w:t xml:space="preserve">Fisher 효과의 </w:t>
      </w:r>
      <w:r>
        <w:rPr>
          <w:b/>
        </w:rPr>
        <w:t>강력한 실증적 증거</w:t>
      </w:r>
      <w:r/>
    </w:p>
    <w:p>
      <w:pPr>
        <w:pStyle w:val="ListBullet"/>
      </w:pPr>
      <w:r>
        <w:t>Fed 정책 신뢰도가 높아 인플레이션 기대가 안정적으로 관리됨</w:t>
      </w:r>
    </w:p>
    <w:p>
      <w:pPr>
        <w:pStyle w:val="ListBullet"/>
      </w:pPr>
      <w:r>
        <w:t>10년물 4.25% 수준은 장기 인플레이션 기대 2.5% 내재</w:t>
      </w:r>
    </w:p>
    <w:p>
      <w:pPr>
        <w:pStyle w:val="Heading2"/>
      </w:pPr>
      <w:r>
        <w:t>달러 강세 → 원자재 (-0.38)</w:t>
      </w:r>
    </w:p>
    <w:p>
      <w:pPr>
        <w:pStyle w:val="ListBullet"/>
      </w:pPr>
      <w:r>
        <w:t>글로벌 통화정책 파급효과 확인</w:t>
      </w:r>
    </w:p>
    <w:p>
      <w:pPr>
        <w:pStyle w:val="ListBullet"/>
      </w:pPr>
      <w:r>
        <w:t>Fed 정책이 달러 강세를 유도하며 원자재에 디플레이션 압력</w:t>
      </w:r>
    </w:p>
    <w:p>
      <w:pPr>
        <w:pStyle w:val="ListBullet"/>
      </w:pPr>
      <w:r>
        <w:t>신흥국 통화 약세 압력 지속 예상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2단계: Perplexity 리서치</w:t>
      </w:r>
    </w:p>
    <w:p>
      <w:pPr>
        <w:pStyle w:val="Heading1"/>
      </w:pPr>
      <w:r>
        <w:t>2.1 최신 시장 동향 (2025년 1월)</w:t>
      </w:r>
    </w:p>
    <w:p>
      <w:pPr>
        <w:pStyle w:val="Heading2"/>
      </w:pPr>
      <w:r>
        <w:t>주식시장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S&amp;P500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나스닥</w:t>
            </w:r>
          </w:p>
        </w:tc>
      </w:tr>
      <w:tr>
        <w:tc>
          <w:tcPr>
            <w:tcW w:type="dxa" w:w="2880"/>
          </w:tcPr>
          <w:p>
            <w:r>
              <w:t>1/3</w:t>
            </w:r>
          </w:p>
        </w:tc>
        <w:tc>
          <w:tcPr>
            <w:tcW w:type="dxa" w:w="2880"/>
          </w:tcPr>
          <w:p>
            <w:r>
              <w:t>5,942 (+1.26%)</w:t>
            </w:r>
          </w:p>
        </w:tc>
        <w:tc>
          <w:tcPr>
            <w:tcW w:type="dxa" w:w="2880"/>
          </w:tcPr>
          <w:p>
            <w:r>
              <w:t>19,622 (+1.77%)</w:t>
            </w:r>
          </w:p>
        </w:tc>
      </w:tr>
      <w:tr>
        <w:tc>
          <w:tcPr>
            <w:tcW w:type="dxa" w:w="2880"/>
          </w:tcPr>
          <w:p>
            <w:r>
              <w:t>1/7</w:t>
            </w:r>
          </w:p>
        </w:tc>
        <w:tc>
          <w:tcPr>
            <w:tcW w:type="dxa" w:w="2880"/>
          </w:tcPr>
          <w:p>
            <w:r>
              <w:t>5,909 (-1.11%)</w:t>
            </w:r>
          </w:p>
        </w:tc>
        <w:tc>
          <w:tcPr>
            <w:tcW w:type="dxa" w:w="2880"/>
          </w:tcPr>
          <w:p>
            <w:r>
              <w:t>19,490 (-1.89%)</w:t>
            </w:r>
          </w:p>
        </w:tc>
      </w:tr>
    </w:tbl>
    <w:p/>
    <w:p>
      <w:pPr>
        <w:pStyle w:val="ListBullet"/>
      </w:pPr>
      <w:r>
        <w:t>기술주(AI, 반도체) 주도 랠리 후 조정 국면</w:t>
      </w:r>
    </w:p>
    <w:p>
      <w:pPr>
        <w:pStyle w:val="ListBullet"/>
      </w:pPr>
      <w:r>
        <w:t>ISM 서비스 가격지수 64.4 → 서비스 인플레이션 압력 지속</w:t>
      </w:r>
    </w:p>
    <w:p>
      <w:pPr>
        <w:pStyle w:val="Heading2"/>
      </w:pPr>
      <w:r>
        <w:t>주요 IB 2025년 전망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IB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S&amp;P500 연말 목표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현재比 상승률</w:t>
            </w:r>
          </w:p>
        </w:tc>
      </w:tr>
      <w:tr>
        <w:tc>
          <w:tcPr>
            <w:tcW w:type="dxa" w:w="2880"/>
          </w:tcPr>
          <w:p>
            <w:r>
              <w:t>Goldman Sachs</w:t>
            </w:r>
          </w:p>
        </w:tc>
        <w:tc>
          <w:tcPr>
            <w:tcW w:type="dxa" w:w="2880"/>
          </w:tcPr>
          <w:p>
            <w:r>
              <w:t>6,500</w:t>
            </w:r>
          </w:p>
        </w:tc>
        <w:tc>
          <w:tcPr>
            <w:tcW w:type="dxa" w:w="2880"/>
          </w:tcPr>
          <w:p>
            <w:r>
              <w:t>+9%</w:t>
            </w:r>
          </w:p>
        </w:tc>
      </w:tr>
      <w:tr>
        <w:tc>
          <w:tcPr>
            <w:tcW w:type="dxa" w:w="2880"/>
          </w:tcPr>
          <w:p>
            <w:r>
              <w:t>Wells Fargo</w:t>
            </w:r>
          </w:p>
        </w:tc>
        <w:tc>
          <w:tcPr>
            <w:tcW w:type="dxa" w:w="2880"/>
          </w:tcPr>
          <w:p>
            <w:r>
              <w:t>6,600</w:t>
            </w:r>
          </w:p>
        </w:tc>
        <w:tc>
          <w:tcPr>
            <w:tcW w:type="dxa" w:w="2880"/>
          </w:tcPr>
          <w:p>
            <w:r>
              <w:t>+11%</w:t>
            </w:r>
          </w:p>
        </w:tc>
      </w:tr>
      <w:tr>
        <w:tc>
          <w:tcPr>
            <w:tcW w:type="dxa" w:w="2880"/>
          </w:tcPr>
          <w:p>
            <w:r>
              <w:t>Deutsche Bank</w:t>
            </w:r>
          </w:p>
        </w:tc>
        <w:tc>
          <w:tcPr>
            <w:tcW w:type="dxa" w:w="2880"/>
          </w:tcPr>
          <w:p>
            <w:r>
              <w:t>7,000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/>
    <w:p>
      <w:pPr>
        <w:pStyle w:val="Heading2"/>
      </w:pPr>
      <w:r>
        <w:t>한국 시장 영향</w:t>
      </w:r>
    </w:p>
    <w:p>
      <w:pPr>
        <w:pStyle w:val="ListBullet"/>
      </w:pPr>
      <w:r>
        <w:t>Fed 금리 인하 우려 및 미 증시 변동이 글로벌 리스크로 작용</w:t>
      </w:r>
    </w:p>
    <w:p>
      <w:pPr>
        <w:pStyle w:val="ListBullet"/>
      </w:pPr>
      <w:r>
        <w:t>기술주 조정 시 한국 시장 동반 압력 예상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3단계: Market Anomaly Detector v2.2</w:t>
      </w:r>
    </w:p>
    <w:p>
      <w:pPr>
        <w:pStyle w:val="Heading1"/>
      </w:pPr>
      <w:r>
        <w:t>3.1 시장 레짐 진단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t>**현재 레짐**</w:t>
            </w:r>
          </w:p>
        </w:tc>
        <w:tc>
          <w:tcPr>
            <w:tcW w:type="dxa" w:w="2880"/>
          </w:tcPr>
          <w:p>
            <w:r>
              <w:t>BULL</w:t>
            </w:r>
          </w:p>
        </w:tc>
        <w:tc>
          <w:tcPr>
            <w:tcW w:type="dxa" w:w="2880"/>
          </w:tcPr>
          <w:p>
            <w:r>
              <w:t>상승 국면 추정</w:t>
            </w:r>
          </w:p>
        </w:tc>
      </w:tr>
      <w:tr>
        <w:tc>
          <w:tcPr>
            <w:tcW w:type="dxa" w:w="2880"/>
          </w:tcPr>
          <w:p>
            <w:r>
              <w:t>**레짐 확신도**</w:t>
            </w:r>
          </w:p>
        </w:tc>
        <w:tc>
          <w:tcPr>
            <w:tcW w:type="dxa" w:w="2880"/>
          </w:tcPr>
          <w:p>
            <w:r>
              <w:t>38.3%</w:t>
            </w:r>
          </w:p>
        </w:tc>
        <w:tc>
          <w:tcPr>
            <w:tcW w:type="dxa" w:w="2880"/>
          </w:tcPr>
          <w:p>
            <w:r>
              <w:t>낮음 - 불확실한 구간</w:t>
            </w:r>
          </w:p>
        </w:tc>
      </w:tr>
      <w:tr>
        <w:tc>
          <w:tcPr>
            <w:tcW w:type="dxa" w:w="2880"/>
          </w:tcPr>
          <w:p>
            <w:r>
              <w:t>**전환 확률**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  <w:tc>
          <w:tcPr>
            <w:tcW w:type="dxa" w:w="2880"/>
          </w:tcPr>
          <w:p>
            <w:r>
              <w:t>레짐 전환 가능성 존재</w:t>
            </w:r>
          </w:p>
        </w:tc>
      </w:tr>
      <w:tr>
        <w:tc>
          <w:tcPr>
            <w:tcW w:type="dxa" w:w="2880"/>
          </w:tcPr>
          <w:p>
            <w:r>
              <w:t>**전체 위험도**</w:t>
            </w:r>
          </w:p>
        </w:tc>
        <w:tc>
          <w:tcPr>
            <w:tcW w:type="dxa" w:w="2880"/>
          </w:tcPr>
          <w:p>
            <w:r>
              <w:t>12.4%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>
      <w:r/>
      <w:r>
        <w:rPr>
          <w:b/>
        </w:rPr>
        <w:t>진단</w:t>
      </w:r>
      <w:r>
        <w:t xml:space="preserve">: 강세 레짐으로 추정되나 확신도가 낮고, 안전자산 선호(Flight to Safety) 테마가 동시에 출현. </w:t>
      </w:r>
      <w:r>
        <w:rPr>
          <w:b/>
        </w:rPr>
        <w:t>레짐-테마 상충 신호</w:t>
      </w:r>
      <w:r>
        <w:t xml:space="preserve"> 발생.</w:t>
      </w:r>
    </w:p>
    <w:p>
      <w:pPr>
        <w:pStyle w:val="Heading1"/>
      </w:pPr>
      <w:r>
        <w:t>3.2 핵심 이상 신호</w:t>
      </w:r>
    </w:p>
    <w:p>
      <w:pPr>
        <w:pStyle w:val="Heading2"/>
      </w:pPr>
      <w:r>
        <w:t>CRITICAL 신호 (2건)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자산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Z-Score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ML 위험도</w:t>
            </w:r>
          </w:p>
        </w:tc>
      </w:tr>
      <w:tr>
        <w:tc>
          <w:tcPr>
            <w:tcW w:type="dxa" w:w="1728"/>
          </w:tcPr>
          <w:p>
            <w:r>
              <w:t>**USD/CNY**</w:t>
            </w:r>
          </w:p>
        </w:tc>
        <w:tc>
          <w:tcPr>
            <w:tcW w:type="dxa" w:w="1728"/>
          </w:tcPr>
          <w:p>
            <w:r>
              <w:t>return_z</w:t>
            </w:r>
          </w:p>
        </w:tc>
        <w:tc>
          <w:tcPr>
            <w:tcW w:type="dxa" w:w="1728"/>
          </w:tcPr>
          <w:p>
            <w:r>
              <w:t>-3.16</w:t>
            </w:r>
          </w:p>
        </w:tc>
        <w:tc>
          <w:tcPr>
            <w:tcW w:type="dxa" w:w="1728"/>
          </w:tcPr>
          <w:p>
            <w:r>
              <w:t>일일 수익률 급락</w:t>
            </w:r>
          </w:p>
        </w:tc>
        <w:tc>
          <w:tcPr>
            <w:tcW w:type="dxa" w:w="1728"/>
          </w:tcPr>
          <w:p>
            <w:r>
              <w:t>40% (MEDIUM)</w:t>
            </w:r>
          </w:p>
        </w:tc>
      </w:tr>
      <w:tr>
        <w:tc>
          <w:tcPr>
            <w:tcW w:type="dxa" w:w="1728"/>
          </w:tcPr>
          <w:p>
            <w:r>
              <w:t>**Copper**</w:t>
            </w:r>
          </w:p>
        </w:tc>
        <w:tc>
          <w:tcPr>
            <w:tcW w:type="dxa" w:w="1728"/>
          </w:tcPr>
          <w:p>
            <w:r>
              <w:t>price_z</w:t>
            </w:r>
          </w:p>
        </w:tc>
        <w:tc>
          <w:tcPr>
            <w:tcW w:type="dxa" w:w="1728"/>
          </w:tcPr>
          <w:p>
            <w:r>
              <w:t>+3.05</w:t>
            </w:r>
          </w:p>
        </w:tc>
        <w:tc>
          <w:tcPr>
            <w:tcW w:type="dxa" w:w="1728"/>
          </w:tcPr>
          <w:p>
            <w:r>
              <w:t>가격 급등</w:t>
            </w:r>
          </w:p>
        </w:tc>
        <w:tc>
          <w:tcPr>
            <w:tcW w:type="dxa" w:w="1728"/>
          </w:tcPr>
          <w:p>
            <w:r>
              <w:t>15% (LOW)</w:t>
            </w:r>
          </w:p>
        </w:tc>
      </w:tr>
    </w:tbl>
    <w:p/>
    <w:p>
      <w:r/>
      <w:r>
        <w:rPr>
          <w:b/>
        </w:rPr>
        <w:t>USD/CNY 분석</w:t>
      </w:r>
      <w:r/>
    </w:p>
    <w:p>
      <w:pPr>
        <w:pStyle w:val="ListBullet"/>
      </w:pPr>
      <w:r>
        <w:t>현상: 달러/위안 환율 급락 (위안화 강세)</w:t>
      </w:r>
    </w:p>
    <w:p>
      <w:pPr>
        <w:pStyle w:val="ListBullet"/>
      </w:pPr>
      <w:r>
        <w:t>경제학적 해석: 금리평가설(IRP) - 중국-미국 금리차 변화 반영</w:t>
      </w:r>
    </w:p>
    <w:p>
      <w:pPr>
        <w:pStyle w:val="ListBullet"/>
      </w:pPr>
      <w:r>
        <w:t>투자 시사점: 단기 과매도 → 반등 트레이딩 기회, 추세 확인 필요</w:t>
      </w:r>
    </w:p>
    <w:p>
      <w:r/>
      <w:r>
        <w:rPr>
          <w:b/>
        </w:rPr>
        <w:t>Copper 분석</w:t>
      </w:r>
      <w:r/>
    </w:p>
    <w:p>
      <w:pPr>
        <w:pStyle w:val="ListBullet"/>
      </w:pPr>
      <w:r>
        <w:t>현상: 구리 가격 급등 (Z=3.05)</w:t>
      </w:r>
    </w:p>
    <w:p>
      <w:pPr>
        <w:pStyle w:val="ListBullet"/>
      </w:pPr>
      <w:r>
        <w:t>경제학적 해석: 글로벌 제조업 경기 회복 또는 인플레이션 우려</w:t>
      </w:r>
    </w:p>
    <w:p>
      <w:pPr>
        <w:pStyle w:val="ListBullet"/>
      </w:pPr>
      <w:r>
        <w:t>투자 시사점: 평균회귀 예상 → 신규 매수보다 이익실현 고려</w:t>
      </w:r>
    </w:p>
    <w:p>
      <w:pPr>
        <w:pStyle w:val="Heading2"/>
      </w:pPr>
      <w:r>
        <w:t>ALERT 신호 (주요 5건)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자산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값/Z-Score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Gold ETF (GLD)</w:t>
            </w:r>
          </w:p>
        </w:tc>
        <w:tc>
          <w:tcPr>
            <w:tcW w:type="dxa" w:w="2160"/>
          </w:tcPr>
          <w:p>
            <w:r>
              <w:t>price_z</w:t>
            </w:r>
          </w:p>
        </w:tc>
        <w:tc>
          <w:tcPr>
            <w:tcW w:type="dxa" w:w="2160"/>
          </w:tcPr>
          <w:p>
            <w:r>
              <w:t>+2.13</w:t>
            </w:r>
          </w:p>
        </w:tc>
        <w:tc>
          <w:tcPr>
            <w:tcW w:type="dxa" w:w="2160"/>
          </w:tcPr>
          <w:p>
            <w:r>
              <w:t>가격 급등</w:t>
            </w:r>
          </w:p>
        </w:tc>
      </w:tr>
      <w:tr>
        <w:tc>
          <w:tcPr>
            <w:tcW w:type="dxa" w:w="2160"/>
          </w:tcPr>
          <w:p>
            <w:r>
              <w:t>Gold ETF (GLD)</w:t>
            </w:r>
          </w:p>
        </w:tc>
        <w:tc>
          <w:tcPr>
            <w:tcW w:type="dxa" w:w="2160"/>
          </w:tcPr>
          <w:p>
            <w:r>
              <w:t>RSI</w:t>
            </w:r>
          </w:p>
        </w:tc>
        <w:tc>
          <w:tcPr>
            <w:tcW w:type="dxa" w:w="2160"/>
          </w:tcPr>
          <w:p>
            <w:r>
              <w:t>83.6</w:t>
            </w:r>
          </w:p>
        </w:tc>
        <w:tc>
          <w:tcPr>
            <w:tcW w:type="dxa" w:w="2160"/>
          </w:tcPr>
          <w:p>
            <w:r>
              <w:t>과매수 구간</w:t>
            </w:r>
          </w:p>
        </w:tc>
      </w:tr>
      <w:tr>
        <w:tc>
          <w:tcPr>
            <w:tcW w:type="dxa" w:w="2160"/>
          </w:tcPr>
          <w:p>
            <w:r>
              <w:t>Gold Futures</w:t>
            </w:r>
          </w:p>
        </w:tc>
        <w:tc>
          <w:tcPr>
            <w:tcW w:type="dxa" w:w="2160"/>
          </w:tcPr>
          <w:p>
            <w:r>
              <w:t>price_z</w:t>
            </w:r>
          </w:p>
        </w:tc>
        <w:tc>
          <w:tcPr>
            <w:tcW w:type="dxa" w:w="2160"/>
          </w:tcPr>
          <w:p>
            <w:r>
              <w:t>+2.07</w:t>
            </w:r>
          </w:p>
        </w:tc>
        <w:tc>
          <w:tcPr>
            <w:tcW w:type="dxa" w:w="2160"/>
          </w:tcPr>
          <w:p>
            <w:r>
              <w:t>가격 급등</w:t>
            </w:r>
          </w:p>
        </w:tc>
      </w:tr>
      <w:tr>
        <w:tc>
          <w:tcPr>
            <w:tcW w:type="dxa" w:w="2160"/>
          </w:tcPr>
          <w:p>
            <w:r>
              <w:t>Gold Futures</w:t>
            </w:r>
          </w:p>
        </w:tc>
        <w:tc>
          <w:tcPr>
            <w:tcW w:type="dxa" w:w="2160"/>
          </w:tcPr>
          <w:p>
            <w:r>
              <w:t>RSI</w:t>
            </w:r>
          </w:p>
        </w:tc>
        <w:tc>
          <w:tcPr>
            <w:tcW w:type="dxa" w:w="2160"/>
          </w:tcPr>
          <w:p>
            <w:r>
              <w:t>83.6</w:t>
            </w:r>
          </w:p>
        </w:tc>
        <w:tc>
          <w:tcPr>
            <w:tcW w:type="dxa" w:w="2160"/>
          </w:tcPr>
          <w:p>
            <w:r>
              <w:t>과매수 구간</w:t>
            </w:r>
          </w:p>
        </w:tc>
      </w:tr>
      <w:tr>
        <w:tc>
          <w:tcPr>
            <w:tcW w:type="dxa" w:w="2160"/>
          </w:tcPr>
          <w:p>
            <w:r>
              <w:t>USD/CNY</w:t>
            </w:r>
          </w:p>
        </w:tc>
        <w:tc>
          <w:tcPr>
            <w:tcW w:type="dxa" w:w="2160"/>
          </w:tcPr>
          <w:p>
            <w:r>
              <w:t>price_z</w:t>
            </w:r>
          </w:p>
        </w:tc>
        <w:tc>
          <w:tcPr>
            <w:tcW w:type="dxa" w:w="2160"/>
          </w:tcPr>
          <w:p>
            <w:r>
              <w:t>-2.56</w:t>
            </w:r>
          </w:p>
        </w:tc>
        <w:tc>
          <w:tcPr>
            <w:tcW w:type="dxa" w:w="2160"/>
          </w:tcPr>
          <w:p>
            <w:r>
              <w:t>가격 급락</w:t>
            </w:r>
          </w:p>
        </w:tc>
      </w:tr>
    </w:tbl>
    <w:p/>
    <w:p>
      <w:r/>
      <w:r>
        <w:rPr>
          <w:b/>
        </w:rPr>
        <w:t>금(Gold) 분석</w:t>
      </w:r>
      <w:r/>
    </w:p>
    <w:p>
      <w:pPr>
        <w:pStyle w:val="ListBullet"/>
      </w:pPr>
      <w:r>
        <w:t>Gold ETF, Futures 모두 급등 + RSI 과매수(83.6)</w:t>
      </w:r>
    </w:p>
    <w:p>
      <w:pPr>
        <w:pStyle w:val="ListBullet"/>
      </w:pPr>
      <w:r>
        <w:t>경제학적 해석: Erb &amp; Harvey(2013) - 금의 이중적 성격 (인플레이션 헷지 + 안전자산)</w:t>
      </w:r>
    </w:p>
    <w:p>
      <w:pPr>
        <w:pStyle w:val="ListBullet"/>
      </w:pPr>
      <w:r>
        <w:t>투자 시사점: 과매수 구간 → 신규 매수 자제, 보유 시 일부 차익실현</w:t>
      </w:r>
    </w:p>
    <w:p>
      <w:pPr>
        <w:pStyle w:val="Heading2"/>
      </w:pPr>
      <w:r>
        <w:t>신호 통계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레벨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비율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</w:tr>
      <w:tr>
        <w:tc>
          <w:tcPr>
            <w:tcW w:type="dxa" w:w="2880"/>
          </w:tcPr>
          <w:p>
            <w:r>
              <w:t>ALERT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41.5%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53.7%</w:t>
            </w:r>
          </w:p>
        </w:tc>
      </w:tr>
      <w:tr>
        <w:tc>
          <w:tcPr>
            <w:tcW w:type="dxa" w:w="2880"/>
          </w:tcPr>
          <w:p>
            <w:r>
              <w:t>**합계**</w:t>
            </w:r>
          </w:p>
        </w:tc>
        <w:tc>
          <w:tcPr>
            <w:tcW w:type="dxa" w:w="2880"/>
          </w:tcPr>
          <w:p>
            <w:r>
              <w:t>**41**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3.3 ML 기반 위험 확률</w:t>
      </w:r>
    </w:p>
    <w:p>
      <w:r/>
      <w:r>
        <w:rPr>
          <w:b/>
        </w:rPr>
        <w:t>모델 정보</w:t>
      </w:r>
      <w:r/>
    </w:p>
    <w:p>
      <w:pPr>
        <w:pStyle w:val="ListBullet"/>
      </w:pPr>
      <w:r>
        <w:t>사용 모델: Logistic Regression (Pooled) + Per-class 모델</w:t>
      </w:r>
    </w:p>
    <w:p>
      <w:pPr>
        <w:pStyle w:val="ListBullet"/>
      </w:pPr>
      <w:r>
        <w:t>AUC-ROC: 0.8702</w:t>
      </w:r>
    </w:p>
    <w:p>
      <w:r/>
      <w:r>
        <w:rPr>
          <w:b/>
        </w:rPr>
        <w:t>위험 분포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위험 레벨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자산 수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비율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96%</w:t>
            </w:r>
          </w:p>
        </w:tc>
      </w:tr>
    </w:tbl>
    <w:p/>
    <w:p>
      <w:pPr>
        <w:pStyle w:val="Heading1"/>
      </w:pPr>
      <w:r>
        <w:t>3.4 테마 분석</w:t>
      </w:r>
    </w:p>
    <w:p>
      <w:pPr>
        <w:pStyle w:val="Heading2"/>
      </w:pPr>
      <w:r>
        <w:t>안전자산 선호 (Flight to Safety)</w:t>
      </w:r>
    </w:p>
    <w:p>
      <w:pPr>
        <w:pStyle w:val="ListBullet"/>
      </w:pPr>
      <w:r>
        <w:t>증거: 금 가격 급등(+2.13σ), RSI 과매수(83.6)</w:t>
      </w:r>
    </w:p>
    <w:p>
      <w:pPr>
        <w:pStyle w:val="ListBullet"/>
      </w:pPr>
      <w:r>
        <w:t>해석: 투자자들의 위험 회피 심리 강화</w:t>
      </w:r>
    </w:p>
    <w:p>
      <w:pPr>
        <w:pStyle w:val="Heading2"/>
      </w:pPr>
      <w:r>
        <w:t>중국 경제 불확실성</w:t>
      </w:r>
    </w:p>
    <w:p>
      <w:pPr>
        <w:pStyle w:val="ListBullet"/>
      </w:pPr>
      <w:r>
        <w:t>증거: USD/CNY 급변동(-3.16σ), 구리 급등(+3.05σ)</w:t>
      </w:r>
    </w:p>
    <w:p>
      <w:pPr>
        <w:pStyle w:val="ListBullet"/>
      </w:pPr>
      <w:r>
        <w:t>해석: 중국 경기 둔화 우려 또는 정책 기대 변화</w:t>
      </w:r>
    </w:p>
    <w:p>
      <w:pPr>
        <w:pStyle w:val="Heading2"/>
      </w:pPr>
      <w:r>
        <w:t>상충 신호</w:t>
      </w:r>
    </w:p>
    <w:p>
      <w:pPr>
        <w:pStyle w:val="ListBullet"/>
      </w:pPr>
      <w:r>
        <w:t>레짐: BULL (강세) vs 테마: Flight to Safety (약세 전조)</w:t>
      </w:r>
    </w:p>
    <w:p>
      <w:pPr>
        <w:pStyle w:val="ListBullet"/>
      </w:pPr>
      <w:r/>
      <w:r>
        <w:rPr>
          <w:b/>
        </w:rPr>
        <w:t>결론: 시장 방향성 불명확 → 포지션 축소 권고</w:t>
      </w:r>
      <w:r/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4단계: 종합 투자 전략</w:t>
      </w:r>
    </w:p>
    <w:p>
      <w:pPr>
        <w:pStyle w:val="Heading1"/>
      </w:pPr>
      <w:r>
        <w:t>4.1 투자 판단</w:t>
      </w:r>
    </w:p>
    <w:p>
      <w:r/>
      <w:r>
        <w:rPr>
          <w:b/>
        </w:rPr>
        <w:t>NEUTRAL → CAUTIOUS OPTIMISTIC</w:t>
      </w:r>
      <w:r/>
    </w:p>
    <w:p>
      <w:r>
        <w:t>EIMAS 정량 분석, Perplexity 리서치, 이상 탐지 결과를 종합하면:</w:t>
      </w:r>
    </w:p>
    <w:p>
      <w:pPr>
        <w:pStyle w:val="ListBullet"/>
      </w:pPr>
      <w:r>
        <w:t>통화정책 전달메커니즘이 효과적으로 작동 중</w:t>
      </w:r>
    </w:p>
    <w:p>
      <w:pPr>
        <w:pStyle w:val="ListBullet"/>
      </w:pPr>
      <w:r>
        <w:t>레짐-테마 상충 신호로 단기 불확실성 존재</w:t>
      </w:r>
    </w:p>
    <w:p>
      <w:pPr>
        <w:pStyle w:val="ListBullet"/>
      </w:pPr>
      <w:r>
        <w:t>기본적 상승 국면이나 확신도 낮음</w:t>
      </w:r>
    </w:p>
    <w:p>
      <w:pPr>
        <w:pStyle w:val="Heading1"/>
      </w:pPr>
      <w:r>
        <w:t>4.2 포트폴리오 권고 (기관투자자 기준)</w:t>
      </w:r>
    </w:p>
    <w:p>
      <w:pPr>
        <w:pStyle w:val="Heading2"/>
      </w:pPr>
      <w:r>
        <w:t>자산배분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자산군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비중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권고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2160"/>
          </w:tcPr>
          <w:p>
            <w:r>
              <w:t>**주식**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- 미국 대형주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OVERWEIGHT</w:t>
            </w:r>
          </w:p>
        </w:tc>
        <w:tc>
          <w:tcPr>
            <w:tcW w:type="dxa" w:w="2160"/>
          </w:tcPr>
          <w:p>
            <w:r>
              <w:t>S&amp;P500 목표가 6,500</w:t>
            </w:r>
          </w:p>
        </w:tc>
      </w:tr>
      <w:tr>
        <w:tc>
          <w:tcPr>
            <w:tcW w:type="dxa" w:w="2160"/>
          </w:tcPr>
          <w:p>
            <w:r>
              <w:t>- 기술주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OVERWEIGHT</w:t>
            </w:r>
          </w:p>
        </w:tc>
        <w:tc>
          <w:tcPr>
            <w:tcW w:type="dxa" w:w="2160"/>
          </w:tcPr>
          <w:p>
            <w:r>
              <w:t>AI/반도체 테마 지속</w:t>
            </w:r>
          </w:p>
        </w:tc>
      </w:tr>
      <w:tr>
        <w:tc>
          <w:tcPr>
            <w:tcW w:type="dxa" w:w="2160"/>
          </w:tcPr>
          <w:p>
            <w:r>
              <w:t>- 신흥국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달러 강세 완화 시 편입</w:t>
            </w:r>
          </w:p>
        </w:tc>
      </w:tr>
      <w:tr>
        <w:tc>
          <w:tcPr>
            <w:tcW w:type="dxa" w:w="2160"/>
          </w:tcPr>
          <w:p>
            <w:r>
              <w:t>**채권**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- 단기채 (2-5년)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듀레이션 단축</w:t>
            </w:r>
          </w:p>
        </w:tc>
        <w:tc>
          <w:tcPr>
            <w:tcW w:type="dxa" w:w="2160"/>
          </w:tcPr>
          <w:p>
            <w:r>
              <w:t>금리 변동성 대응</w:t>
            </w:r>
          </w:p>
        </w:tc>
      </w:tr>
      <w:tr>
        <w:tc>
          <w:tcPr>
            <w:tcW w:type="dxa" w:w="2160"/>
          </w:tcPr>
          <w:p>
            <w:r>
              <w:t>- TIPS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인플레이션 헤지</w:t>
            </w:r>
          </w:p>
        </w:tc>
        <w:tc>
          <w:tcPr>
            <w:tcW w:type="dxa" w:w="2160"/>
          </w:tcPr>
          <w:p>
            <w:r>
              <w:t>재가속 시나리오 대비</w:t>
            </w:r>
          </w:p>
        </w:tc>
      </w:tr>
      <w:tr>
        <w:tc>
          <w:tcPr>
            <w:tcW w:type="dxa" w:w="2160"/>
          </w:tcPr>
          <w:p>
            <w:r>
              <w:t>- IG 회사채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스프레드 50bp 이내 매력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**대안투자**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- 원자재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UNDERWEIGHT</w:t>
            </w:r>
          </w:p>
        </w:tc>
        <w:tc>
          <w:tcPr>
            <w:tcW w:type="dxa" w:w="2160"/>
          </w:tcPr>
          <w:p>
            <w:r>
              <w:t>달러 강세 지속</w:t>
            </w:r>
          </w:p>
        </w:tc>
      </w:tr>
      <w:tr>
        <w:tc>
          <w:tcPr>
            <w:tcW w:type="dxa" w:w="2160"/>
          </w:tcPr>
          <w:p>
            <w:r>
              <w:t>- 현금성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확대 권고</w:t>
            </w:r>
          </w:p>
        </w:tc>
        <w:tc>
          <w:tcPr>
            <w:tcW w:type="dxa" w:w="2160"/>
          </w:tcPr>
          <w:p>
            <w:r>
              <w:t>불확실성 대비</w:t>
            </w:r>
          </w:p>
        </w:tc>
      </w:tr>
    </w:tbl>
    <w:p/>
    <w:p>
      <w:pPr>
        <w:pStyle w:val="Heading2"/>
      </w:pPr>
      <w:r>
        <w:t>섹터별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섹터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금리 민감도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투자 의견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비중 권고</w:t>
            </w:r>
          </w:p>
        </w:tc>
      </w:tr>
      <w:tr>
        <w:tc>
          <w:tcPr>
            <w:tcW w:type="dxa" w:w="2160"/>
          </w:tcPr>
          <w:p>
            <w:r>
              <w:t>기술주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OVERWEIGHT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금융주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OVERWEIGHT</w:t>
            </w:r>
          </w:p>
        </w:tc>
        <w:tc>
          <w:tcPr>
            <w:tcW w:type="dxa" w:w="2160"/>
          </w:tcPr>
          <w:p>
            <w:r>
              <w:t>15-18%</w:t>
            </w:r>
          </w:p>
        </w:tc>
      </w:tr>
      <w:tr>
        <w:tc>
          <w:tcPr>
            <w:tcW w:type="dxa" w:w="2160"/>
          </w:tcPr>
          <w:p>
            <w:r>
              <w:t>부동산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UNDERWEIGHT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에너지/원자재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UNDERWEIGHT</w:t>
            </w:r>
          </w:p>
        </w:tc>
        <w:tc>
          <w:tcPr>
            <w:tcW w:type="dxa" w:w="2160"/>
          </w:tcPr>
          <w:p>
            <w:r>
              <w:t>8-10%</w:t>
            </w:r>
          </w:p>
        </w:tc>
      </w:tr>
    </w:tbl>
    <w:p/>
    <w:p>
      <w:pPr>
        <w:pStyle w:val="Heading1"/>
      </w:pPr>
      <w:r>
        <w:t>4.3 단기 전술 (1-2주)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자산군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권고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t>주식</w:t>
            </w:r>
          </w:p>
        </w:tc>
        <w:tc>
          <w:tcPr>
            <w:tcW w:type="dxa" w:w="2880"/>
          </w:tcPr>
          <w:p>
            <w:r>
              <w:t>**포지션 축소**</w:t>
            </w:r>
          </w:p>
        </w:tc>
        <w:tc>
          <w:tcPr>
            <w:tcW w:type="dxa" w:w="2880"/>
          </w:tcPr>
          <w:p>
            <w:r>
              <w:t>레짐-테마 상충, 불확실성 ↑</w:t>
            </w:r>
          </w:p>
        </w:tc>
      </w:tr>
      <w:tr>
        <w:tc>
          <w:tcPr>
            <w:tcW w:type="dxa" w:w="2880"/>
          </w:tcPr>
          <w:p>
            <w:r>
              <w:t>금</w:t>
            </w:r>
          </w:p>
        </w:tc>
        <w:tc>
          <w:tcPr>
            <w:tcW w:type="dxa" w:w="2880"/>
          </w:tcPr>
          <w:p>
            <w:r>
              <w:t>**차익실현**</w:t>
            </w:r>
          </w:p>
        </w:tc>
        <w:tc>
          <w:tcPr>
            <w:tcW w:type="dxa" w:w="2880"/>
          </w:tcPr>
          <w:p>
            <w:r>
              <w:t>RSI 과매수(83.6), 단기 조정 가능</w:t>
            </w:r>
          </w:p>
        </w:tc>
      </w:tr>
      <w:tr>
        <w:tc>
          <w:tcPr>
            <w:tcW w:type="dxa" w:w="2880"/>
          </w:tcPr>
          <w:p>
            <w:r>
              <w:t>달러</w:t>
            </w:r>
          </w:p>
        </w:tc>
        <w:tc>
          <w:tcPr>
            <w:tcW w:type="dxa" w:w="2880"/>
          </w:tcPr>
          <w:p>
            <w:r>
              <w:t>**관망**</w:t>
            </w:r>
          </w:p>
        </w:tc>
        <w:tc>
          <w:tcPr>
            <w:tcW w:type="dxa" w:w="2880"/>
          </w:tcPr>
          <w:p>
            <w:r>
              <w:t>환율 변동성 확대 중</w:t>
            </w:r>
          </w:p>
        </w:tc>
      </w:tr>
      <w:tr>
        <w:tc>
          <w:tcPr>
            <w:tcW w:type="dxa" w:w="2880"/>
          </w:tcPr>
          <w:p>
            <w:r>
              <w:t>구리</w:t>
            </w:r>
          </w:p>
        </w:tc>
        <w:tc>
          <w:tcPr>
            <w:tcW w:type="dxa" w:w="2880"/>
          </w:tcPr>
          <w:p>
            <w:r>
              <w:t>**이익실현**</w:t>
            </w:r>
          </w:p>
        </w:tc>
        <w:tc>
          <w:tcPr>
            <w:tcW w:type="dxa" w:w="2880"/>
          </w:tcPr>
          <w:p>
            <w:r>
              <w:t>Z=3.05 급등, 평균회귀 예상</w:t>
            </w:r>
          </w:p>
        </w:tc>
      </w:tr>
    </w:tbl>
    <w:p/>
    <w:p>
      <w:pPr>
        <w:pStyle w:val="Heading1"/>
      </w:pPr>
      <w:r>
        <w:t>4.4 분기별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분기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전략</w:t>
            </w:r>
          </w:p>
        </w:tc>
      </w:tr>
      <w:tr>
        <w:tc>
          <w:tcPr>
            <w:tcW w:type="dxa" w:w="4320"/>
          </w:tcPr>
          <w:p>
            <w:r>
              <w:t>1Q 2025</w:t>
            </w:r>
          </w:p>
        </w:tc>
        <w:tc>
          <w:tcPr>
            <w:tcW w:type="dxa" w:w="4320"/>
          </w:tcPr>
          <w:p>
            <w:r>
              <w:t>기술주 비중 유지, 금리 인하 둔화 대응</w:t>
            </w:r>
          </w:p>
        </w:tc>
      </w:tr>
      <w:tr>
        <w:tc>
          <w:tcPr>
            <w:tcW w:type="dxa" w:w="4320"/>
          </w:tcPr>
          <w:p>
            <w:r>
              <w:t>2Q 2025</w:t>
            </w:r>
          </w:p>
        </w:tc>
        <w:tc>
          <w:tcPr>
            <w:tcW w:type="dxa" w:w="4320"/>
          </w:tcPr>
          <w:p>
            <w:r>
              <w:t>Fed 정책 전환점 모니터링, 채권 듀레이션 조정</w:t>
            </w:r>
          </w:p>
        </w:tc>
      </w:tr>
      <w:tr>
        <w:tc>
          <w:tcPr>
            <w:tcW w:type="dxa" w:w="4320"/>
          </w:tcPr>
          <w:p>
            <w:r>
              <w:t>3Q-4Q 2025</w:t>
            </w:r>
          </w:p>
        </w:tc>
        <w:tc>
          <w:tcPr>
            <w:tcW w:type="dxa" w:w="4320"/>
          </w:tcPr>
          <w:p>
            <w:r>
              <w:t>경기 사이클 후반부 방어적 포지셔닝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리스크 요인</w:t>
      </w:r>
    </w:p>
    <w:p>
      <w:pPr>
        <w:pStyle w:val="Heading1"/>
      </w:pPr>
      <w:r>
        <w:t>상승 리스크 (Upside)</w:t>
      </w:r>
    </w:p>
    <w:p>
      <w:pPr>
        <w:pStyle w:val="ListBullet"/>
      </w:pPr>
      <w:r/>
      <w:r>
        <w:rPr>
          <w:b/>
        </w:rPr>
        <w:t>AI 생산성 혁신</w:t>
      </w:r>
      <w:r>
        <w:t>: 기대 이상의 생산성 향상으로 이익 증가</w:t>
      </w:r>
    </w:p>
    <w:p>
      <w:pPr>
        <w:pStyle w:val="ListBullet"/>
      </w:pPr>
      <w:r/>
      <w:r>
        <w:rPr>
          <w:b/>
        </w:rPr>
        <w:t>인플레이션 급속 둔화</w:t>
      </w:r>
      <w:r>
        <w:t>: Fed 금리 인하 가속화 시나리오</w:t>
      </w:r>
    </w:p>
    <w:p>
      <w:pPr>
        <w:pStyle w:val="ListBullet"/>
      </w:pPr>
      <w:r/>
      <w:r>
        <w:rPr>
          <w:b/>
        </w:rPr>
        <w:t>지정학적 리스크 완화</w:t>
      </w:r>
      <w:r>
        <w:t>: 글로벌 무역 정상화</w:t>
      </w:r>
    </w:p>
    <w:p>
      <w:pPr>
        <w:pStyle w:val="Heading1"/>
      </w:pPr>
      <w:r>
        <w:t>하방 리스크 (Downside)</w:t>
      </w:r>
    </w:p>
    <w:p>
      <w:pPr>
        <w:pStyle w:val="ListBullet"/>
      </w:pPr>
      <w:r/>
      <w:r>
        <w:rPr>
          <w:b/>
        </w:rPr>
        <w:t>서비스 인플레이션 고착화</w:t>
      </w:r>
      <w:r>
        <w:t>: ISM 64.4 수준 지속 시 금리 인상 재개 가능성</w:t>
      </w:r>
    </w:p>
    <w:p>
      <w:pPr>
        <w:pStyle w:val="ListBullet"/>
      </w:pPr>
      <w:r/>
      <w:r>
        <w:rPr>
          <w:b/>
        </w:rPr>
        <w:t>중국 경제 둔화</w:t>
      </w:r>
      <w:r>
        <w:t>: 글로벌 성장 모멘텀 약화</w:t>
      </w:r>
    </w:p>
    <w:p>
      <w:pPr>
        <w:pStyle w:val="ListBullet"/>
      </w:pPr>
      <w:r/>
      <w:r>
        <w:rPr>
          <w:b/>
        </w:rPr>
        <w:t>신용 스프레드 확대</w:t>
      </w:r>
      <w:r>
        <w:t>: 기업 실적 둔화로 IG 스프레드 100bp 돌파</w:t>
      </w:r>
    </w:p>
    <w:p>
      <w:pPr>
        <w:pStyle w:val="Heading1"/>
      </w:pPr>
      <w:r>
        <w:t>리스크 관리 방안</w:t>
      </w:r>
    </w:p>
    <w:p>
      <w:pPr>
        <w:pStyle w:val="ListBullet"/>
      </w:pPr>
      <w:r/>
      <w:r>
        <w:rPr>
          <w:b/>
        </w:rPr>
        <w:t>VaR 한도</w:t>
      </w:r>
      <w:r>
        <w:t>: 일일 1% 이내</w:t>
      </w:r>
    </w:p>
    <w:p>
      <w:pPr>
        <w:pStyle w:val="ListBullet"/>
      </w:pPr>
      <w:r/>
      <w:r>
        <w:rPr>
          <w:b/>
        </w:rPr>
        <w:t>스트레스 테스트</w:t>
      </w:r>
      <w:r>
        <w:t>: 금리 100bp 상승 시나리오 대비</w:t>
      </w:r>
    </w:p>
    <w:p>
      <w:pPr>
        <w:pStyle w:val="ListBullet"/>
      </w:pPr>
      <w:r/>
      <w:r>
        <w:rPr>
          <w:b/>
        </w:rPr>
        <w:t>유동성 관리</w:t>
      </w:r>
      <w:r>
        <w:t>: 포트폴리오 30% 이상 일일 거래 가능 자산 유지</w:t>
      </w:r>
    </w:p>
    <w:p>
      <w:pPr>
        <w:pStyle w:val="ListBullet"/>
      </w:pPr>
      <w:r/>
      <w:r>
        <w:rPr>
          <w:b/>
        </w:rPr>
        <w:t>현금 비중</w:t>
      </w:r>
      <w:r>
        <w:t>: 경기 후반부 방어적 포지션으로 확대</w:t>
      </w:r>
    </w:p>
    <w:p>
      <w:pPr>
        <w:pStyle w:val="Heading1"/>
      </w:pPr>
      <w:r>
        <w:t>핵심 모니터링 지표</w:t>
      </w:r>
    </w:p>
    <w:p>
      <w:pPr>
        <w:pStyle w:val="ListBullet"/>
      </w:pPr>
      <w:r>
        <w:t>PCE 디플레이터 월간 변화율</w:t>
      </w:r>
    </w:p>
    <w:p>
      <w:pPr>
        <w:pStyle w:val="ListBullet"/>
      </w:pPr>
      <w:r>
        <w:t>고용시장 슬랙 지표 (실업률, JOLTS)</w:t>
      </w:r>
    </w:p>
    <w:p>
      <w:pPr>
        <w:pStyle w:val="ListBullet"/>
      </w:pPr>
      <w:r>
        <w:t>DXY 달러인덱스 90-100 구간 이탈 여부</w:t>
      </w:r>
    </w:p>
    <w:p>
      <w:pPr>
        <w:pStyle w:val="ListBullet"/>
      </w:pPr>
      <w:r>
        <w:t>레짐 전환 신호 (확신도 변화, 전환 확률)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부록: 분석 방법론</w:t>
      </w:r>
    </w:p>
    <w:p>
      <w:pPr>
        <w:pStyle w:val="Heading1"/>
      </w:pPr>
      <w:r>
        <w:t>데이터 수집</w:t>
      </w:r>
    </w:p>
    <w:p>
      <w:pPr>
        <w:pStyle w:val="ListBullet"/>
      </w:pPr>
      <w:r/>
      <w:r>
        <w:rPr>
          <w:b/>
        </w:rPr>
        <w:t>시장 데이터</w:t>
      </w:r>
      <w:r>
        <w:t>: yfinance (50 tickers)</w:t>
      </w:r>
    </w:p>
    <w:p>
      <w:pPr>
        <w:pStyle w:val="ListBullet"/>
      </w:pPr>
      <w:r/>
      <w:r>
        <w:rPr>
          <w:b/>
        </w:rPr>
        <w:t>경제 지표</w:t>
      </w:r>
      <w:r>
        <w:t>: FRED API (16 series)</w:t>
      </w:r>
    </w:p>
    <w:p>
      <w:pPr>
        <w:pStyle w:val="ListBullet"/>
      </w:pPr>
      <w:r/>
      <w:r>
        <w:rPr>
          <w:b/>
        </w:rPr>
        <w:t>암호화폐</w:t>
      </w:r>
      <w:r>
        <w:t>: BTC, ETH, SOL, BITO</w:t>
      </w:r>
    </w:p>
    <w:p>
      <w:pPr>
        <w:pStyle w:val="Heading1"/>
      </w:pPr>
      <w:r>
        <w:t>분석 파이프라인</w:t>
      </w:r>
    </w:p>
    <w:p>
      <w:pPr>
        <w:pStyle w:val="NoSpacing"/>
      </w:pPr>
      <w:r>
        <w:rPr>
          <w:rFonts w:ascii="Consolas" w:hAnsi="Consolas"/>
          <w:sz w:val="18"/>
        </w:rPr>
        <w:t>데이터 수집 → 지표 계산 → Rule-based 탐지 → ML 위험 추정 → AI 종합</w:t>
        <w:br/>
      </w:r>
      <w:r>
        <w:rPr>
          <w:rFonts w:ascii="Consolas" w:hAnsi="Consolas"/>
          <w:sz w:val="18"/>
        </w:rPr>
        <w:t xml:space="preserve">     ↓              ↓              ↓              ↓            ↓</w:t>
        <w:br/>
      </w:r>
      <w:r>
        <w:rPr>
          <w:rFonts w:ascii="Consolas" w:hAnsi="Consolas"/>
          <w:sz w:val="18"/>
        </w:rPr>
        <w:t xml:space="preserve">  yfinance      MA, RSI,      Z-score,      Logistic/RF    Claude</w:t>
        <w:br/>
      </w:r>
      <w:r>
        <w:rPr>
          <w:rFonts w:ascii="Consolas" w:hAnsi="Consolas"/>
          <w:sz w:val="18"/>
        </w:rPr>
        <w:t xml:space="preserve">  FRED API    Volatility    Cross-Asset     Per-class    Perplexity</w:t>
        <w:br/>
      </w:r>
    </w:p>
    <w:p>
      <w:pPr>
        <w:pStyle w:val="Heading1"/>
      </w:pPr>
      <w:r>
        <w:t>핵심 방법론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방법론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참고 문헌</w:t>
            </w:r>
          </w:p>
        </w:tc>
      </w:tr>
      <w:tr>
        <w:tc>
          <w:tcPr>
            <w:tcW w:type="dxa" w:w="2880"/>
          </w:tcPr>
          <w:p>
            <w:r>
              <w:t>HYBRID 회귀분석</w:t>
            </w:r>
          </w:p>
        </w:tc>
        <w:tc>
          <w:tcPr>
            <w:tcW w:type="dxa" w:w="2880"/>
          </w:tcPr>
          <w:p>
            <w:r>
              <w:t>통화정책 전달경로</w:t>
            </w:r>
          </w:p>
        </w:tc>
        <w:tc>
          <w:tcPr>
            <w:tcW w:type="dxa" w:w="2880"/>
          </w:tcPr>
          <w:p>
            <w:r>
              <w:t>R²=0.72</w:t>
            </w:r>
          </w:p>
        </w:tc>
      </w:tr>
      <w:tr>
        <w:tc>
          <w:tcPr>
            <w:tcW w:type="dxa" w:w="2880"/>
          </w:tcPr>
          <w:p>
            <w:r>
              <w:t>Z-score 탐지</w:t>
            </w:r>
          </w:p>
        </w:tc>
        <w:tc>
          <w:tcPr>
            <w:tcW w:type="dxa" w:w="2880"/>
          </w:tcPr>
          <w:p>
            <w:r>
              <w:t>통계적 이상</w:t>
            </w:r>
          </w:p>
        </w:tc>
        <w:tc>
          <w:tcPr>
            <w:tcW w:type="dxa" w:w="2880"/>
          </w:tcPr>
          <w:p>
            <w:r>
              <w:t>\</w:t>
            </w:r>
          </w:p>
        </w:tc>
      </w:tr>
      <w:tr>
        <w:tc>
          <w:tcPr>
            <w:tcW w:type="dxa" w:w="2880"/>
          </w:tcPr>
          <w:p>
            <w:r>
              <w:t>GARCH(1,1)</w:t>
            </w:r>
          </w:p>
        </w:tc>
        <w:tc>
          <w:tcPr>
            <w:tcW w:type="dxa" w:w="2880"/>
          </w:tcPr>
          <w:p>
            <w:r>
              <w:t>변동성 모델링</w:t>
            </w:r>
          </w:p>
        </w:tc>
        <w:tc>
          <w:tcPr>
            <w:tcW w:type="dxa" w:w="2880"/>
          </w:tcPr>
          <w:p>
            <w:r>
              <w:t>Engle (1982)</w:t>
            </w:r>
          </w:p>
        </w:tc>
      </w:tr>
      <w:tr>
        <w:tc>
          <w:tcPr>
            <w:tcW w:type="dxa" w:w="2880"/>
          </w:tcPr>
          <w:p>
            <w:r>
              <w:t>Markov Switching</w:t>
            </w:r>
          </w:p>
        </w:tc>
        <w:tc>
          <w:tcPr>
            <w:tcW w:type="dxa" w:w="2880"/>
          </w:tcPr>
          <w:p>
            <w:r>
              <w:t>레짐 전환</w:t>
            </w:r>
          </w:p>
        </w:tc>
        <w:tc>
          <w:tcPr>
            <w:tcW w:type="dxa" w:w="2880"/>
          </w:tcPr>
          <w:p>
            <w:r>
              <w:t>Hamilton (1989)</w:t>
            </w:r>
          </w:p>
        </w:tc>
      </w:tr>
      <w:tr>
        <w:tc>
          <w:tcPr>
            <w:tcW w:type="dxa" w:w="2880"/>
          </w:tcPr>
          <w:p>
            <w:r>
              <w:t>Bekaert VIX 분해</w:t>
            </w:r>
          </w:p>
        </w:tc>
        <w:tc>
          <w:tcPr>
            <w:tcW w:type="dxa" w:w="2880"/>
          </w:tcPr>
          <w:p>
            <w:r>
              <w:t>Risk vs Uncertainty</w:t>
            </w:r>
          </w:p>
        </w:tc>
        <w:tc>
          <w:tcPr>
            <w:tcW w:type="dxa" w:w="2880"/>
          </w:tcPr>
          <w:p>
            <w:r>
              <w:t>Bekaert et al. (2013)</w:t>
            </w:r>
          </w:p>
        </w:tc>
      </w:tr>
      <w:tr>
        <w:tc>
          <w:tcPr>
            <w:tcW w:type="dxa" w:w="2880"/>
          </w:tcPr>
          <w:p>
            <w:r>
              <w:t>Fisher 효과</w:t>
            </w:r>
          </w:p>
        </w:tc>
        <w:tc>
          <w:tcPr>
            <w:tcW w:type="dxa" w:w="2880"/>
          </w:tcPr>
          <w:p>
            <w:r>
              <w:t>금리-인플레이션 관계</w:t>
            </w:r>
          </w:p>
        </w:tc>
        <w:tc>
          <w:tcPr>
            <w:tcW w:type="dxa" w:w="2880"/>
          </w:tcPr>
          <w:p>
            <w:r>
              <w:t>Irving Fisher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면책조항</w:t>
      </w:r>
      <w:r>
        <w:t>: 본 보고서는 EIMAS 시스템의 AI 분석에 기반한 투자 참고자료로, 투자 결정 시 충분한 검토가 필요합니다.</w:t>
      </w:r>
    </w:p>
    <w:p>
      <w:r/>
      <w:r>
        <w:rPr>
          <w:b/>
        </w:rPr>
        <w:t>분석 시스템</w:t>
      </w:r>
      <w:r>
        <w:t>: EIMAS (Economic Intelligence Multi-Agent System)</w:t>
      </w:r>
    </w:p>
    <w:p>
      <w:r/>
      <w:r>
        <w:rPr>
          <w:b/>
        </w:rPr>
        <w:t>최종 업데이트</w:t>
      </w:r>
      <w:r>
        <w:t>: 2025-12-28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