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9A69" w14:textId="77777777" w:rsidR="00CA23D7" w:rsidRDefault="00000000">
      <w:pPr>
        <w:pStyle w:val="a3"/>
      </w:pPr>
      <w:r>
        <w:t>Robustness 분석 결과 해석</w:t>
      </w:r>
    </w:p>
    <w:p w14:paraId="100A4FCA" w14:textId="77777777" w:rsidR="00CA23D7" w:rsidRDefault="00000000">
      <w:pPr>
        <w:spacing w:after="480"/>
        <w:jc w:val="center"/>
      </w:pPr>
      <w:r>
        <w:t>시장 기대와 연준 정책 분석 부록</w:t>
      </w:r>
    </w:p>
    <w:p w14:paraId="76A3C136" w14:textId="77777777" w:rsidR="00CA23D7" w:rsidRDefault="00000000">
      <w:pPr>
        <w:pStyle w:val="1"/>
      </w:pPr>
      <w:r>
        <w:t>1. 분석 목적</w:t>
      </w:r>
    </w:p>
    <w:p w14:paraId="033823BD" w14:textId="164F8740" w:rsidR="00CA23D7" w:rsidRDefault="00000000">
      <w:pPr>
        <w:spacing w:after="160" w:line="360" w:lineRule="auto"/>
      </w:pPr>
      <w:r>
        <w:t xml:space="preserve">본 문서는 기존 LASSO 기반 분석 결과의 강건성(robustness)을 평가하고 </w:t>
      </w:r>
      <w:r w:rsidR="00CB18C6">
        <w:rPr>
          <w:rFonts w:hint="eastAsia"/>
        </w:rPr>
        <w:t xml:space="preserve">예측이 아닌 </w:t>
      </w:r>
      <w:r>
        <w:t>경제학적 해석의 신뢰도를 점검한다. 주요 검토 사항은 변수 선택의 표본 의존성, 개별 계수 추정의 방법론적 민감도, 그리고 Dot Plot 전후 구조적 변화의 통계적 강건성이다.</w:t>
      </w:r>
    </w:p>
    <w:p w14:paraId="1BBFCB86" w14:textId="77777777" w:rsidR="00CA23D7" w:rsidRDefault="00000000">
      <w:pPr>
        <w:pStyle w:val="1"/>
      </w:pPr>
      <w:r>
        <w:t>2. 기존 분석 결과 요약</w:t>
      </w:r>
    </w:p>
    <w:p w14:paraId="27EFA08F" w14:textId="77777777" w:rsidR="00CA23D7" w:rsidRDefault="00000000">
      <w:pPr>
        <w:spacing w:after="120" w:line="360" w:lineRule="auto"/>
      </w:pPr>
      <w:r>
        <w:t xml:space="preserve">Horizon별 정보 처리 분석에서 </w:t>
      </w:r>
      <w:proofErr w:type="spellStart"/>
      <w:r>
        <w:t>초단기</w:t>
      </w:r>
      <w:proofErr w:type="spellEnd"/>
      <w:r>
        <w:t xml:space="preserve">(30일 이하)의 R²는 0에 근접하여 정보가 이미 가격에 반영되어 있음을 보여주었고, 장기(180일 이상)에서는 R² = 0.64로 신용, 달러, 인플레이션 변수가 핵심 설명력을 가졌다. Long Horizon LASSO에서 선택된 상위 변수는 </w:t>
      </w:r>
      <w:proofErr w:type="spellStart"/>
      <w:r>
        <w:t>d_Baa_Yield</w:t>
      </w:r>
      <w:proofErr w:type="spellEnd"/>
      <w:r>
        <w:t xml:space="preserve">(+2.09), </w:t>
      </w:r>
      <w:proofErr w:type="spellStart"/>
      <w:r>
        <w:t>d_Spread_Baa</w:t>
      </w:r>
      <w:proofErr w:type="spellEnd"/>
      <w:r>
        <w:t xml:space="preserve">(-1.66), </w:t>
      </w:r>
      <w:proofErr w:type="spellStart"/>
      <w:r>
        <w:t>d_HighYield_Rate</w:t>
      </w:r>
      <w:proofErr w:type="spellEnd"/>
      <w:r>
        <w:t xml:space="preserve">(-1.15), </w:t>
      </w:r>
      <w:proofErr w:type="spellStart"/>
      <w:r>
        <w:t>Ret_Dollar_Idx</w:t>
      </w:r>
      <w:proofErr w:type="spellEnd"/>
      <w:r>
        <w:t xml:space="preserve">(+1.04), </w:t>
      </w:r>
      <w:proofErr w:type="spellStart"/>
      <w:r>
        <w:t>Ret_HighYield_ETF</w:t>
      </w:r>
      <w:proofErr w:type="spellEnd"/>
      <w:r>
        <w:t>(-0.72)였다.</w:t>
      </w:r>
    </w:p>
    <w:p w14:paraId="2EEF665E" w14:textId="77777777" w:rsidR="00CA23D7" w:rsidRDefault="00000000">
      <w:pPr>
        <w:spacing w:after="160" w:line="360" w:lineRule="auto"/>
      </w:pPr>
      <w:r>
        <w:t>구조적 변화 분석(Chow Test)에서 Dot Plot 이후 R²가 0.67에서 0.76으로 상승하여 설명력이 개선되었다. Mincer-</w:t>
      </w:r>
      <w:proofErr w:type="spellStart"/>
      <w:r>
        <w:t>Zarnowitz</w:t>
      </w:r>
      <w:proofErr w:type="spellEnd"/>
      <w:r>
        <w:t xml:space="preserve"> 검정에서 β = 0.37로 시장이 금리 인하를 체계적으로 과대평가했음이 확인되었다.</w:t>
      </w:r>
    </w:p>
    <w:p w14:paraId="3136E483" w14:textId="77777777" w:rsidR="00CA23D7" w:rsidRDefault="00000000">
      <w:pPr>
        <w:pStyle w:val="1"/>
      </w:pPr>
      <w:r>
        <w:t>3. Robustness 분석 결과</w:t>
      </w:r>
    </w:p>
    <w:p w14:paraId="21E9508E" w14:textId="77777777" w:rsidR="00CA23D7" w:rsidRDefault="00000000">
      <w:pPr>
        <w:pStyle w:val="2"/>
      </w:pPr>
      <w:r>
        <w:t>3.1 변수 선택 빈도 분석</w:t>
      </w:r>
    </w:p>
    <w:p w14:paraId="0EC41EB2" w14:textId="77777777" w:rsidR="00CA23D7" w:rsidRDefault="00000000">
      <w:pPr>
        <w:spacing w:after="120" w:line="360" w:lineRule="auto"/>
      </w:pPr>
      <w:r>
        <w:t xml:space="preserve">100일 rolling window를 20일 간격으로 이동하며 총 68회의 LASSO를 반복 수행하였다. 전체 50개 변수의 평균 선택 빈도는 24.32%, 중앙값은 21.32%였다. 선택 빈도 70% 이상인 변수는 </w:t>
      </w:r>
      <w:proofErr w:type="spellStart"/>
      <w:r>
        <w:t>Ret_Corp_InvGrade</w:t>
      </w:r>
      <w:proofErr w:type="spellEnd"/>
      <w:r>
        <w:t>(73.1%) 1개뿐이었고, 50% 이상인 변수는 4개에 불과했다.</w:t>
      </w:r>
    </w:p>
    <w:p w14:paraId="14DA549B" w14:textId="77777777" w:rsidR="00CA23D7" w:rsidRDefault="00000000">
      <w:pPr>
        <w:spacing w:after="120" w:line="360" w:lineRule="auto"/>
      </w:pPr>
      <w:proofErr w:type="spellStart"/>
      <w:r>
        <w:t>Ret_Corp_InvGrade</w:t>
      </w:r>
      <w:proofErr w:type="spellEnd"/>
      <w:r>
        <w:t>는 73.1%의 선택 빈도와 100.0%의 음의 부호 일관성을 보여 가장 안정</w:t>
      </w:r>
      <w:r>
        <w:lastRenderedPageBreak/>
        <w:t xml:space="preserve">적인 채널로 확인되었다. 반면 기존 분석에서 핵심으로 제시된 </w:t>
      </w:r>
      <w:proofErr w:type="spellStart"/>
      <w:r>
        <w:t>d_Spread_Baa</w:t>
      </w:r>
      <w:proofErr w:type="spellEnd"/>
      <w:r>
        <w:t xml:space="preserve">(54%), </w:t>
      </w:r>
      <w:proofErr w:type="spellStart"/>
      <w:r>
        <w:t>NonFarmPay_Released</w:t>
      </w:r>
      <w:proofErr w:type="spellEnd"/>
      <w:r>
        <w:t xml:space="preserve">(51%), </w:t>
      </w:r>
      <w:proofErr w:type="spellStart"/>
      <w:r>
        <w:t>d_Baa_Yield</w:t>
      </w:r>
      <w:proofErr w:type="spellEnd"/>
      <w:r>
        <w:t xml:space="preserve">(35%), </w:t>
      </w:r>
      <w:proofErr w:type="spellStart"/>
      <w:r>
        <w:t>Ret_Dollar_Idx</w:t>
      </w:r>
      <w:proofErr w:type="spellEnd"/>
      <w:r>
        <w:t>(28%)는 70% 기준을 충족하지 못해 표본 의존성이 존재함을 시사한다.</w:t>
      </w:r>
    </w:p>
    <w:p w14:paraId="16EC6BCB" w14:textId="77777777" w:rsidR="00CA23D7" w:rsidRDefault="00000000">
      <w:pPr>
        <w:spacing w:after="160" w:line="360" w:lineRule="auto"/>
      </w:pPr>
      <w:r>
        <w:t xml:space="preserve">주의할 점은 Selection Frequency(rolling LASSO) 분석에서 </w:t>
      </w:r>
      <w:proofErr w:type="spellStart"/>
      <w:r>
        <w:t>Ret_Corp_InvGrade</w:t>
      </w:r>
      <w:proofErr w:type="spellEnd"/>
      <w:r>
        <w:t>가 음의 부호 100.0%로 보고된 반면, HAC(Newey-West) 기반 OLS 표에서는 계수 부호가 달리 나타날 수 있다는 것이다. 이는 (</w:t>
      </w:r>
      <w:proofErr w:type="spellStart"/>
      <w:r>
        <w:t>i</w:t>
      </w:r>
      <w:proofErr w:type="spellEnd"/>
      <w:r>
        <w:t xml:space="preserve">) 표본기간, (ii) 표준화 기준(윈도우별 표준화 vs 전체 표본 1회 표준화), (iii) 추정 방식(LASSO vs OLS), 그리고 (iv) 종속변수 정의가 서로 다를 때 발생할 수 있는 비교 불가능성에서 기인한다. 따라서 본 보고서에서는 </w:t>
      </w:r>
      <w:proofErr w:type="spellStart"/>
      <w:r>
        <w:t>Ret_Corp_InvGrade</w:t>
      </w:r>
      <w:proofErr w:type="spellEnd"/>
      <w:r>
        <w:t>의 ‘방향성(+, -)’ 해석은 Selection Frequency에서 사용한 LASSO 표준화 계수 기준(음의 부호)으로 통일하고, HAC 결과는 부호 자체가 아니라 ‘lag 선택에 관계없이 유의성이 유지되는가’</w:t>
      </w:r>
      <w:proofErr w:type="spellStart"/>
      <w:r>
        <w:t>를</w:t>
      </w:r>
      <w:proofErr w:type="spellEnd"/>
      <w:r>
        <w:t xml:space="preserve"> 확인하는 강건성 체크로만 활용한다.</w:t>
      </w:r>
    </w:p>
    <w:p w14:paraId="06F0080B" w14:textId="77777777" w:rsidR="00CA23D7" w:rsidRDefault="00000000">
      <w:pPr>
        <w:jc w:val="center"/>
      </w:pPr>
      <w:r>
        <w:rPr>
          <w:b/>
        </w:rPr>
        <w:t>그림 1. Long Horizon LASSO 변수 선택 빈도 상위 20개(Selection Frequency, %)</w:t>
      </w:r>
    </w:p>
    <w:p w14:paraId="41713170" w14:textId="77777777" w:rsidR="00CA23D7" w:rsidRDefault="00000000">
      <w:pPr>
        <w:jc w:val="center"/>
      </w:pPr>
      <w:r>
        <w:rPr>
          <w:noProof/>
        </w:rPr>
        <w:drawing>
          <wp:inline distT="0" distB="0" distL="0" distR="0" wp14:anchorId="7B4287B8" wp14:editId="425DA3AA">
            <wp:extent cx="576072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_frequency_top20_202512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6C4E" w14:textId="77777777" w:rsidR="00CA23D7" w:rsidRDefault="00000000">
      <w:pPr>
        <w:jc w:val="center"/>
      </w:pPr>
      <w:r>
        <w:t>주: 빈도는 100일 rolling window(20일 간격)에서의 선택 비율.</w:t>
      </w:r>
    </w:p>
    <w:p w14:paraId="5C81C546" w14:textId="77777777" w:rsidR="00CA23D7" w:rsidRDefault="00000000">
      <w:pPr>
        <w:pStyle w:val="2"/>
      </w:pPr>
      <w:r>
        <w:lastRenderedPageBreak/>
        <w:t>3.2 지연 변수 분석</w:t>
      </w:r>
    </w:p>
    <w:p w14:paraId="7979FF91" w14:textId="77777777" w:rsidR="00CA23D7" w:rsidRDefault="00000000">
      <w:pPr>
        <w:spacing w:after="120" w:line="360" w:lineRule="auto"/>
      </w:pPr>
      <w:r>
        <w:t>동시성(simultaneity) 우려를 검토하기 위해 동시적 변수와 1일 지연 변수를 비교하였다. 발표일 더미(</w:t>
      </w:r>
      <w:proofErr w:type="spellStart"/>
      <w:r>
        <w:t>CPI_Released</w:t>
      </w:r>
      <w:proofErr w:type="spellEnd"/>
      <w:r>
        <w:t xml:space="preserve">, </w:t>
      </w:r>
      <w:proofErr w:type="spellStart"/>
      <w:r>
        <w:t>NonFarmPay_Released</w:t>
      </w:r>
      <w:proofErr w:type="spellEnd"/>
      <w:r>
        <w:t xml:space="preserve"> 등)는 lag 적용 시 의미가 왜곡되므로 동시적으로 유지하고, 연속형 수익률 및 변화 변수에 대해서만 t-1 지연 버전을 생성하여 비교하였다.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971"/>
        <w:gridCol w:w="1018"/>
        <w:gridCol w:w="5468"/>
      </w:tblGrid>
      <w:tr w:rsidR="00CA23D7" w14:paraId="35384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E6884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모형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C801F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BFBE2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 변수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ABFAD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상위 5개 변수</w:t>
            </w:r>
          </w:p>
        </w:tc>
      </w:tr>
      <w:tr w:rsidR="00CA23D7" w14:paraId="6814C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20E8A" w14:textId="77777777" w:rsidR="00CA23D7" w:rsidRDefault="00000000">
            <w:r>
              <w:rPr>
                <w:sz w:val="20"/>
                <w:szCs w:val="20"/>
              </w:rPr>
              <w:t>A (동시적)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49BCD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0.642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9CEE1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26B8C" w14:textId="77777777" w:rsidR="00CA23D7" w:rsidRDefault="00000000">
            <w:proofErr w:type="spellStart"/>
            <w:r>
              <w:rPr>
                <w:sz w:val="18"/>
                <w:szCs w:val="18"/>
              </w:rPr>
              <w:t>d_Baa_Yield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d_Spread_Baa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d_HighYield_Rate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Ret_Dollar_Idx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Ret_HighYield_ETF</w:t>
            </w:r>
            <w:proofErr w:type="spellEnd"/>
          </w:p>
        </w:tc>
      </w:tr>
      <w:tr w:rsidR="00CA23D7" w14:paraId="661D9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01047" w14:textId="77777777" w:rsidR="00CA23D7" w:rsidRDefault="00000000">
            <w:r>
              <w:rPr>
                <w:sz w:val="20"/>
                <w:szCs w:val="20"/>
              </w:rPr>
              <w:t>B (지연)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D7C3D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0.065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40128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D42F0" w14:textId="77777777" w:rsidR="00CA23D7" w:rsidRDefault="00000000">
            <w:r>
              <w:rPr>
                <w:sz w:val="18"/>
                <w:szCs w:val="18"/>
              </w:rPr>
              <w:t>d_HighYield_Rate_L1, d_Breakeven5Y_L1, Ret_USDKRW_L1, Ret_Corn_L1, Ret_Ethereum_L1</w:t>
            </w:r>
          </w:p>
        </w:tc>
      </w:tr>
      <w:tr w:rsidR="00CA23D7" w14:paraId="11185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475AE" w14:textId="77777777" w:rsidR="00CA23D7" w:rsidRDefault="00000000">
            <w:r>
              <w:rPr>
                <w:sz w:val="20"/>
                <w:szCs w:val="20"/>
              </w:rPr>
              <w:t>C (둘 다)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34A28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0.662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0D857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86C88" w14:textId="77777777" w:rsidR="00CA23D7" w:rsidRDefault="00000000">
            <w:proofErr w:type="spellStart"/>
            <w:r>
              <w:rPr>
                <w:sz w:val="18"/>
                <w:szCs w:val="18"/>
              </w:rPr>
              <w:t>d_Baa_Yield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d_Spread_Baa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d_HighYield_Rate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Ret_Dollar_Idx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Ret_HighYield_ETF</w:t>
            </w:r>
            <w:proofErr w:type="spellEnd"/>
          </w:p>
        </w:tc>
      </w:tr>
    </w:tbl>
    <w:p w14:paraId="6E0EB252" w14:textId="77777777" w:rsidR="00CA23D7" w:rsidRDefault="00000000">
      <w:pPr>
        <w:spacing w:before="160" w:after="160" w:line="360" w:lineRule="auto"/>
      </w:pPr>
      <w:r>
        <w:t>동시적 변수 모형(Model A)의 R² = 0.642가 지연 변수 모형(Model B)의 R² = 0.065보다 현저히 높았다. Model C에서 두 변수 유형을 모두 포함했을 때 R² = 0.662로 소폭 상승했으나, 상위 선택 변수는 모두 동시적 변수였다. 이는 시장이 정보를 즉각적으로 반영한다는 효율적 정보 처리 가설과 정합적이다. 다만 이 결과가 역인과 가능성을 완전히 배제하는 것은 아니다.</w:t>
      </w:r>
    </w:p>
    <w:p w14:paraId="44DBECF3" w14:textId="77777777" w:rsidR="00CA23D7" w:rsidRDefault="00000000">
      <w:pPr>
        <w:pStyle w:val="2"/>
      </w:pPr>
      <w:r>
        <w:t>3.3 Chow Test FDR 조정</w:t>
      </w:r>
    </w:p>
    <w:p w14:paraId="441DF52D" w14:textId="77777777" w:rsidR="00CA23D7" w:rsidRDefault="00000000">
      <w:pPr>
        <w:spacing w:after="120" w:line="360" w:lineRule="auto"/>
      </w:pPr>
      <w:r>
        <w:t>다수의 상호작용항을 동시에 검정할 때 발생하는 다중 비교 문제를 통제하기 위해 Benjamini-Hochberg FDR 조정을 적용하였다. 검정 대상 10개 변수 중 FDR 조정 후에도 유의한 변수는 8개였다.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200"/>
        <w:gridCol w:w="1083"/>
        <w:gridCol w:w="1306"/>
      </w:tblGrid>
      <w:tr w:rsidR="00CA23D7" w14:paraId="5D49F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3A374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26664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Raw p-value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EEE95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BH p-value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3A550" w14:textId="77777777" w:rsidR="00CA23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Core Variable</w:t>
            </w:r>
          </w:p>
        </w:tc>
      </w:tr>
      <w:tr w:rsidR="00CA23D7" w14:paraId="4C21E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9D49F" w14:textId="77777777" w:rsidR="00CA23D7" w:rsidRDefault="00000000">
            <w:proofErr w:type="spellStart"/>
            <w:r>
              <w:rPr>
                <w:sz w:val="20"/>
                <w:szCs w:val="20"/>
              </w:rPr>
              <w:t>Ret_NatGas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ED318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518F5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B55A9" w14:textId="77777777" w:rsidR="00CA23D7" w:rsidRDefault="00CA23D7">
            <w:pPr>
              <w:jc w:val="center"/>
            </w:pPr>
          </w:p>
        </w:tc>
      </w:tr>
      <w:tr w:rsidR="00CA23D7" w14:paraId="6870F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8F1C5" w14:textId="77777777" w:rsidR="00CA23D7" w:rsidRDefault="00000000">
            <w:proofErr w:type="spellStart"/>
            <w:r>
              <w:rPr>
                <w:sz w:val="20"/>
                <w:szCs w:val="20"/>
              </w:rPr>
              <w:t>Ret_Silver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FFA7D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98B23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BB5FA" w14:textId="77777777" w:rsidR="00CA23D7" w:rsidRDefault="00CA23D7">
            <w:pPr>
              <w:jc w:val="center"/>
            </w:pPr>
          </w:p>
        </w:tc>
      </w:tr>
      <w:tr w:rsidR="00CA23D7" w14:paraId="6966F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050F9" w14:textId="77777777" w:rsidR="00CA23D7" w:rsidRDefault="00000000">
            <w:proofErr w:type="spellStart"/>
            <w:r>
              <w:rPr>
                <w:sz w:val="20"/>
                <w:szCs w:val="20"/>
              </w:rPr>
              <w:t>Ret_Bitcoin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F53B2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ABB71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5A77C" w14:textId="77777777" w:rsidR="00CA23D7" w:rsidRDefault="00CA23D7">
            <w:pPr>
              <w:jc w:val="center"/>
            </w:pPr>
          </w:p>
        </w:tc>
      </w:tr>
      <w:tr w:rsidR="00CA23D7" w14:paraId="392ED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4ACD6" w14:textId="77777777" w:rsidR="00CA23D7" w:rsidRDefault="00000000">
            <w:proofErr w:type="spellStart"/>
            <w:r>
              <w:rPr>
                <w:sz w:val="20"/>
                <w:szCs w:val="20"/>
              </w:rPr>
              <w:t>Ret_HighYield_ETF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756A6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3EE07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F6692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CA23D7" w14:paraId="5CA47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EB119" w14:textId="77777777" w:rsidR="00CA23D7" w:rsidRDefault="00000000">
            <w:proofErr w:type="spellStart"/>
            <w:r>
              <w:rPr>
                <w:sz w:val="20"/>
                <w:szCs w:val="20"/>
              </w:rPr>
              <w:t>Ret_Dollar_Idx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CF4D5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966AC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49F6A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CA23D7" w14:paraId="0D293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562CD" w14:textId="77777777" w:rsidR="00CA23D7" w:rsidRDefault="00000000">
            <w:proofErr w:type="spellStart"/>
            <w:r>
              <w:rPr>
                <w:sz w:val="20"/>
                <w:szCs w:val="20"/>
              </w:rPr>
              <w:t>Ret_EURUSD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C22E0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29B07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24978" w14:textId="77777777" w:rsidR="00CA23D7" w:rsidRDefault="00CA23D7">
            <w:pPr>
              <w:jc w:val="center"/>
            </w:pPr>
          </w:p>
        </w:tc>
      </w:tr>
      <w:tr w:rsidR="00CA23D7" w14:paraId="6449F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123D1" w14:textId="77777777" w:rsidR="00CA23D7" w:rsidRDefault="00000000">
            <w:proofErr w:type="spellStart"/>
            <w:r>
              <w:rPr>
                <w:sz w:val="20"/>
                <w:szCs w:val="20"/>
              </w:rPr>
              <w:t>Ret_Corp_InvGrade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7C949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0.0104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1F6D8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0.0130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7B57B" w14:textId="77777777" w:rsidR="00CA23D7" w:rsidRDefault="00CA23D7">
            <w:pPr>
              <w:jc w:val="center"/>
            </w:pPr>
          </w:p>
        </w:tc>
      </w:tr>
      <w:tr w:rsidR="00CA23D7" w14:paraId="2F5A69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1D64B" w14:textId="77777777" w:rsidR="00CA23D7" w:rsidRDefault="00000000">
            <w:proofErr w:type="spellStart"/>
            <w:r>
              <w:rPr>
                <w:sz w:val="20"/>
                <w:szCs w:val="20"/>
              </w:rPr>
              <w:lastRenderedPageBreak/>
              <w:t>Ret_Solana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6A162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0.0101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A17E5" w14:textId="77777777" w:rsidR="00CA23D7" w:rsidRDefault="00000000">
            <w:pPr>
              <w:jc w:val="center"/>
            </w:pPr>
            <w:r>
              <w:rPr>
                <w:sz w:val="20"/>
                <w:szCs w:val="20"/>
              </w:rPr>
              <w:t>0.0130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3B097" w14:textId="77777777" w:rsidR="00CA23D7" w:rsidRDefault="00CA23D7">
            <w:pPr>
              <w:jc w:val="center"/>
            </w:pPr>
          </w:p>
        </w:tc>
      </w:tr>
    </w:tbl>
    <w:p w14:paraId="3A8282EC" w14:textId="77777777" w:rsidR="00CA23D7" w:rsidRDefault="00000000">
      <w:pPr>
        <w:spacing w:before="160" w:after="160" w:line="360" w:lineRule="auto"/>
      </w:pPr>
      <w:r>
        <w:t xml:space="preserve">사전 지정된 Core Variables 중에서는 </w:t>
      </w:r>
      <w:proofErr w:type="spellStart"/>
      <w:r>
        <w:t>Ret_HighYield_ETF</w:t>
      </w:r>
      <w:proofErr w:type="spellEnd"/>
      <w:r>
        <w:t xml:space="preserve">와 </w:t>
      </w:r>
      <w:proofErr w:type="spellStart"/>
      <w:r>
        <w:t>Ret_Dollar_Idx</w:t>
      </w:r>
      <w:proofErr w:type="spellEnd"/>
      <w:r>
        <w:t xml:space="preserve">가 FDR 조정 후에도 유의하였다. False Discovery Risk 변수(Raw p </w:t>
      </w:r>
      <w:proofErr w:type="gramStart"/>
      <w:r>
        <w:t>&lt; 0</w:t>
      </w:r>
      <w:proofErr w:type="gramEnd"/>
      <w:r>
        <w:t>.05이나 BH p ≥ 0.05)는 없었다. FDR 조정 후 구조적 변화가 강건하게 확인되는 채널은 원자재(Silver), 암호화폐(Bitcoin, Solana), 달러(</w:t>
      </w:r>
      <w:proofErr w:type="spellStart"/>
      <w:r>
        <w:t>Dollar_Idx</w:t>
      </w:r>
      <w:proofErr w:type="spellEnd"/>
      <w:r>
        <w:t xml:space="preserve">, EURUSD), </w:t>
      </w:r>
      <w:proofErr w:type="spellStart"/>
      <w:r>
        <w:t>하이일드</w:t>
      </w:r>
      <w:proofErr w:type="spellEnd"/>
      <w:r>
        <w:t>(</w:t>
      </w:r>
      <w:proofErr w:type="spellStart"/>
      <w:r>
        <w:t>HighYield_ETF</w:t>
      </w:r>
      <w:proofErr w:type="spellEnd"/>
      <w:r>
        <w:t>), 천연가스(</w:t>
      </w:r>
      <w:proofErr w:type="spellStart"/>
      <w:r>
        <w:t>NatGas</w:t>
      </w:r>
      <w:proofErr w:type="spellEnd"/>
      <w:r>
        <w:t>), 투자등급(</w:t>
      </w:r>
      <w:proofErr w:type="spellStart"/>
      <w:r>
        <w:t>Corp_InvGrade</w:t>
      </w:r>
      <w:proofErr w:type="spellEnd"/>
      <w:r>
        <w:t>)이다.</w:t>
      </w:r>
    </w:p>
    <w:p w14:paraId="3BE576D2" w14:textId="77777777" w:rsidR="00CA23D7" w:rsidRDefault="00000000">
      <w:pPr>
        <w:pStyle w:val="2"/>
      </w:pPr>
      <w:r>
        <w:t>3.4 HAC Lag 민감도 분석</w:t>
      </w:r>
    </w:p>
    <w:p w14:paraId="6D0C1D05" w14:textId="77777777" w:rsidR="00CA23D7" w:rsidRDefault="00000000">
      <w:pPr>
        <w:spacing w:after="120" w:line="360" w:lineRule="auto"/>
      </w:pPr>
      <w:r>
        <w:t>Newey-West HAC 표준오차의 lag 선택(3, 5, 10, auto)에 따른 민감도를 검토하였다. 모든 lag 설정에서 유의성을 유지하는 강건한 변수는 24개, 일부 lag에서만 유의한 민감한 변수는 21개였다.</w:t>
      </w:r>
    </w:p>
    <w:p w14:paraId="04C234A4" w14:textId="77777777" w:rsidR="00CA23D7" w:rsidRDefault="00000000">
      <w:pPr>
        <w:spacing w:after="120" w:line="360" w:lineRule="auto"/>
      </w:pPr>
      <w:r>
        <w:t xml:space="preserve">주요 강건 변수로는 </w:t>
      </w:r>
      <w:proofErr w:type="spellStart"/>
      <w:r>
        <w:t>Ret_Corp_InvGrade</w:t>
      </w:r>
      <w:proofErr w:type="spellEnd"/>
      <w:r>
        <w:t xml:space="preserve">(강건), </w:t>
      </w:r>
      <w:proofErr w:type="spellStart"/>
      <w:r>
        <w:t>Ret_Dollar_Idx</w:t>
      </w:r>
      <w:proofErr w:type="spellEnd"/>
      <w:r>
        <w:t xml:space="preserve">(+20.01), </w:t>
      </w:r>
      <w:proofErr w:type="spellStart"/>
      <w:r>
        <w:t>d_Dollar_Idx</w:t>
      </w:r>
      <w:proofErr w:type="spellEnd"/>
      <w:r>
        <w:t xml:space="preserve">(-18.88), </w:t>
      </w:r>
      <w:proofErr w:type="spellStart"/>
      <w:r>
        <w:t>Ret_HighYield_ETF</w:t>
      </w:r>
      <w:proofErr w:type="spellEnd"/>
      <w:r>
        <w:t xml:space="preserve">(-1.79), </w:t>
      </w:r>
      <w:proofErr w:type="spellStart"/>
      <w:r>
        <w:t>d_Baa_Yield</w:t>
      </w:r>
      <w:proofErr w:type="spellEnd"/>
      <w:r>
        <w:t xml:space="preserve">(+3.29), </w:t>
      </w:r>
      <w:proofErr w:type="spellStart"/>
      <w:r>
        <w:t>d_Spread_Baa</w:t>
      </w:r>
      <w:proofErr w:type="spellEnd"/>
      <w:r>
        <w:t xml:space="preserve">(-2.20), Ret_SP500(-5.90), </w:t>
      </w:r>
      <w:proofErr w:type="spellStart"/>
      <w:r>
        <w:t>Ret_Nasdaq</w:t>
      </w:r>
      <w:proofErr w:type="spellEnd"/>
      <w:r>
        <w:t xml:space="preserve">(+4.84), </w:t>
      </w:r>
      <w:proofErr w:type="spellStart"/>
      <w:r>
        <w:t>Ret_VIX</w:t>
      </w:r>
      <w:proofErr w:type="spellEnd"/>
      <w:r>
        <w:t xml:space="preserve">(+3.17), </w:t>
      </w:r>
      <w:proofErr w:type="spellStart"/>
      <w:r>
        <w:t>d_VIX</w:t>
      </w:r>
      <w:proofErr w:type="spellEnd"/>
      <w:r>
        <w:t xml:space="preserve">(-2.74), </w:t>
      </w:r>
      <w:proofErr w:type="spellStart"/>
      <w:r>
        <w:t>NonFarmPay_Released</w:t>
      </w:r>
      <w:proofErr w:type="spellEnd"/>
      <w:r>
        <w:t xml:space="preserve">(+0.30), </w:t>
      </w:r>
      <w:proofErr w:type="spellStart"/>
      <w:r>
        <w:t>Unemployment_Released</w:t>
      </w:r>
      <w:proofErr w:type="spellEnd"/>
      <w:r>
        <w:t>(+0.30) 등이 있다.</w:t>
      </w:r>
    </w:p>
    <w:p w14:paraId="296A39BE" w14:textId="77777777" w:rsidR="00CA23D7" w:rsidRDefault="00000000">
      <w:pPr>
        <w:spacing w:after="160" w:line="360" w:lineRule="auto"/>
      </w:pPr>
      <w:r>
        <w:t xml:space="preserve">t-stat 변동이 큰 변수로는 </w:t>
      </w:r>
      <w:proofErr w:type="spellStart"/>
      <w:r>
        <w:t>Ret_VIX</w:t>
      </w:r>
      <w:proofErr w:type="spellEnd"/>
      <w:r>
        <w:t xml:space="preserve">(범위 1.05), </w:t>
      </w:r>
      <w:proofErr w:type="spellStart"/>
      <w:r>
        <w:t>d_Spread_Baa</w:t>
      </w:r>
      <w:proofErr w:type="spellEnd"/>
      <w:r>
        <w:t xml:space="preserve">(범위 0.91), </w:t>
      </w:r>
      <w:proofErr w:type="spellStart"/>
      <w:r>
        <w:t>Ret_HighYield_ETF</w:t>
      </w:r>
      <w:proofErr w:type="spellEnd"/>
      <w:r>
        <w:t>(범위 0.65)가 있어 이들 변수의 해석에는 주의가 필요하다.</w:t>
      </w:r>
    </w:p>
    <w:p w14:paraId="6B35F068" w14:textId="77777777" w:rsidR="00CA23D7" w:rsidRDefault="00000000">
      <w:pPr>
        <w:pStyle w:val="2"/>
      </w:pPr>
      <w:r>
        <w:t>3.5 VIF 비교 및 PCA Factor 분석</w:t>
      </w:r>
    </w:p>
    <w:p w14:paraId="0F54C370" w14:textId="77777777" w:rsidR="00CA23D7" w:rsidRDefault="00000000">
      <w:pPr>
        <w:spacing w:after="120" w:line="360" w:lineRule="auto"/>
      </w:pPr>
      <w:r>
        <w:t xml:space="preserve">개별 변수(Model A)와 상관 블록의 PCA factor(Model B)를 비교하였다. Model A에서는 </w:t>
      </w:r>
      <w:proofErr w:type="gramStart"/>
      <w:r>
        <w:t>VIF &gt;</w:t>
      </w:r>
      <w:proofErr w:type="gramEnd"/>
      <w:r>
        <w:t xml:space="preserve"> 10인 변수가 13개, </w:t>
      </w:r>
      <w:proofErr w:type="gramStart"/>
      <w:r>
        <w:t>VIF &gt;</w:t>
      </w:r>
      <w:proofErr w:type="gramEnd"/>
      <w:r>
        <w:t xml:space="preserve"> 100인 변수가 6개였으나, Model B에서는 </w:t>
      </w:r>
      <w:proofErr w:type="gramStart"/>
      <w:r>
        <w:t>VIF &gt;</w:t>
      </w:r>
      <w:proofErr w:type="gramEnd"/>
      <w:r>
        <w:t xml:space="preserve"> 10인 변수가 0개로 </w:t>
      </w:r>
      <w:proofErr w:type="spellStart"/>
      <w:r>
        <w:t>다중공선성이</w:t>
      </w:r>
      <w:proofErr w:type="spellEnd"/>
      <w:r>
        <w:t xml:space="preserve"> 완전히 해소되었다.</w:t>
      </w:r>
    </w:p>
    <w:p w14:paraId="41DA6AB1" w14:textId="77777777" w:rsidR="00CA23D7" w:rsidRDefault="00000000">
      <w:pPr>
        <w:spacing w:after="120" w:line="360" w:lineRule="auto"/>
      </w:pPr>
      <w:r>
        <w:t xml:space="preserve">심각한 </w:t>
      </w:r>
      <w:proofErr w:type="spellStart"/>
      <w:r>
        <w:t>다중공선성</w:t>
      </w:r>
      <w:proofErr w:type="spellEnd"/>
      <w:r>
        <w:t>(</w:t>
      </w:r>
      <w:proofErr w:type="gramStart"/>
      <w:r>
        <w:t>VIF &gt;</w:t>
      </w:r>
      <w:proofErr w:type="gramEnd"/>
      <w:r>
        <w:t xml:space="preserve"> 100)을 보인 변수는 </w:t>
      </w:r>
      <w:proofErr w:type="spellStart"/>
      <w:r>
        <w:t>Ret_Dollar_Idx</w:t>
      </w:r>
      <w:proofErr w:type="spellEnd"/>
      <w:r>
        <w:t xml:space="preserve">(885.8), </w:t>
      </w:r>
      <w:proofErr w:type="spellStart"/>
      <w:r>
        <w:t>d_Dollar_Idx</w:t>
      </w:r>
      <w:proofErr w:type="spellEnd"/>
      <w:r>
        <w:t xml:space="preserve">(886.6), Ret_SP500(316.1), </w:t>
      </w:r>
      <w:proofErr w:type="spellStart"/>
      <w:r>
        <w:t>Ret_Nasdaq</w:t>
      </w:r>
      <w:proofErr w:type="spellEnd"/>
      <w:r>
        <w:t xml:space="preserve">(174.2)이며, </w:t>
      </w:r>
      <w:proofErr w:type="spellStart"/>
      <w:r>
        <w:t>NonFarmPay_Released</w:t>
      </w:r>
      <w:proofErr w:type="spellEnd"/>
      <w:r>
        <w:t xml:space="preserve">와 </w:t>
      </w:r>
      <w:proofErr w:type="spellStart"/>
      <w:r>
        <w:lastRenderedPageBreak/>
        <w:t>Unemployment_Released</w:t>
      </w:r>
      <w:proofErr w:type="spellEnd"/>
      <w:r>
        <w:t>는 VIF가 무한대로 나타났다.</w:t>
      </w:r>
    </w:p>
    <w:p w14:paraId="733BDB52" w14:textId="77777777" w:rsidR="00CA23D7" w:rsidRDefault="00000000">
      <w:pPr>
        <w:spacing w:after="160" w:line="360" w:lineRule="auto"/>
      </w:pPr>
      <w:r>
        <w:t xml:space="preserve">PCA Factor Loadings 분석에서 </w:t>
      </w:r>
      <w:proofErr w:type="spellStart"/>
      <w:r>
        <w:t>F_Dollar</w:t>
      </w:r>
      <w:proofErr w:type="spellEnd"/>
      <w:r>
        <w:t xml:space="preserve">는 </w:t>
      </w:r>
      <w:proofErr w:type="spellStart"/>
      <w:r>
        <w:t>Ret_Dollar_Idx</w:t>
      </w:r>
      <w:proofErr w:type="spellEnd"/>
      <w:r>
        <w:t xml:space="preserve">(loading 0.707)가, </w:t>
      </w:r>
      <w:proofErr w:type="spellStart"/>
      <w:r>
        <w:t>F_Equity</w:t>
      </w:r>
      <w:proofErr w:type="spellEnd"/>
      <w:r>
        <w:t xml:space="preserve">는 Ret_SP500(loading 0.597)이, </w:t>
      </w:r>
      <w:proofErr w:type="spellStart"/>
      <w:r>
        <w:t>F_HighYield</w:t>
      </w:r>
      <w:proofErr w:type="spellEnd"/>
      <w:r>
        <w:t xml:space="preserve">는 </w:t>
      </w:r>
      <w:proofErr w:type="spellStart"/>
      <w:r>
        <w:t>Ret_HighYield_ETF</w:t>
      </w:r>
      <w:proofErr w:type="spellEnd"/>
      <w:r>
        <w:t xml:space="preserve">(loading 0.707)가 주도하는 것으로 나타났다. 달러 변수 간 극심한 </w:t>
      </w:r>
      <w:proofErr w:type="spellStart"/>
      <w:r>
        <w:t>다중공선성으로</w:t>
      </w:r>
      <w:proofErr w:type="spellEnd"/>
      <w:r>
        <w:t xml:space="preserve"> 인해 개별 계수 크기 해석은 불안정하며, 달러 정보 블록이 기대 조정과 양의 연관성을 보인다는 정성적 결론이 적절하다.</w:t>
      </w:r>
    </w:p>
    <w:p w14:paraId="5A59BC84" w14:textId="77777777" w:rsidR="00CA23D7" w:rsidRDefault="00000000">
      <w:pPr>
        <w:jc w:val="center"/>
      </w:pPr>
      <w:r>
        <w:rPr>
          <w:b/>
        </w:rPr>
        <w:t>그림 2. Robustness 분석 요약(변수 선택 민감도, VIF 비교, HAC 강건 변수, FDR 조정 결과)</w:t>
      </w:r>
    </w:p>
    <w:p w14:paraId="3FA20B2A" w14:textId="77777777" w:rsidR="00CA23D7" w:rsidRDefault="00000000">
      <w:pPr>
        <w:jc w:val="center"/>
      </w:pPr>
      <w:r>
        <w:rPr>
          <w:noProof/>
        </w:rPr>
        <w:drawing>
          <wp:inline distT="0" distB="0" distL="0" distR="0" wp14:anchorId="1D5C9A7C" wp14:editId="049F45D7">
            <wp:extent cx="5760720" cy="4348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ust_variables_summary_202512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3B9" w14:textId="77777777" w:rsidR="00CA23D7" w:rsidRDefault="00000000">
      <w:pPr>
        <w:jc w:val="center"/>
      </w:pPr>
      <w:r>
        <w:t xml:space="preserve">주: </w:t>
      </w:r>
      <w:proofErr w:type="spellStart"/>
      <w:r>
        <w:t>좌상단</w:t>
      </w:r>
      <w:proofErr w:type="spellEnd"/>
      <w:r>
        <w:t xml:space="preserve">-강건/민감 변수 분류, </w:t>
      </w:r>
      <w:proofErr w:type="spellStart"/>
      <w:r>
        <w:t>우상단</w:t>
      </w:r>
      <w:proofErr w:type="spellEnd"/>
      <w:r>
        <w:t xml:space="preserve">-VIF(개별 변수 vs PCA 요인), </w:t>
      </w:r>
      <w:proofErr w:type="spellStart"/>
      <w:r>
        <w:t>좌하단</w:t>
      </w:r>
      <w:proofErr w:type="spellEnd"/>
      <w:r>
        <w:t xml:space="preserve">-HAC 강건 계수, </w:t>
      </w:r>
      <w:proofErr w:type="spellStart"/>
      <w:r>
        <w:t>우하단</w:t>
      </w:r>
      <w:proofErr w:type="spellEnd"/>
      <w:r>
        <w:t>-FDR(BH) 조정 전후 p-value 변화.</w:t>
      </w:r>
    </w:p>
    <w:p w14:paraId="15CE4567" w14:textId="77777777" w:rsidR="00CA23D7" w:rsidRDefault="00000000">
      <w:pPr>
        <w:pStyle w:val="1"/>
      </w:pPr>
      <w:r>
        <w:t>4. 수정된 경제학적 해석</w:t>
      </w:r>
    </w:p>
    <w:p w14:paraId="2549480D" w14:textId="77777777" w:rsidR="00CA23D7" w:rsidRDefault="00000000">
      <w:pPr>
        <w:pStyle w:val="2"/>
      </w:pPr>
      <w:r>
        <w:t>4.1 강건하게 유지되는 발견</w:t>
      </w:r>
    </w:p>
    <w:p w14:paraId="075DE714" w14:textId="77777777" w:rsidR="00CA23D7" w:rsidRDefault="00000000">
      <w:pPr>
        <w:spacing w:after="120" w:line="360" w:lineRule="auto"/>
      </w:pPr>
      <w:r>
        <w:t>첫째, Horizon별 정보 처리 이질성(</w:t>
      </w:r>
      <w:proofErr w:type="spellStart"/>
      <w:r>
        <w:t>초단기</w:t>
      </w:r>
      <w:proofErr w:type="spellEnd"/>
      <w:r>
        <w:t xml:space="preserve"> R² ≈ 0, 장기 R² ≈ 0.64)은 모든 robustness check</w:t>
      </w:r>
      <w:r>
        <w:lastRenderedPageBreak/>
        <w:t>에서 유지된다. 둘째, 체계적 과대평가(Mincer-</w:t>
      </w:r>
      <w:proofErr w:type="spellStart"/>
      <w:r>
        <w:t>Zarnowitz</w:t>
      </w:r>
      <w:proofErr w:type="spellEnd"/>
      <w:r>
        <w:t xml:space="preserve"> β = 0.37)는 방법론 변경에 </w:t>
      </w:r>
      <w:proofErr w:type="spellStart"/>
      <w:r>
        <w:t>영향받지</w:t>
      </w:r>
      <w:proofErr w:type="spellEnd"/>
      <w:r>
        <w:t xml:space="preserve"> 않는다. 셋째, 동시적 변수의 압도적 설명력(R² 0.64 vs 0.07)은 효율적 정보 처리 가설과 정합적이다. 넷째, Dot Plot 후 R² 상승(0.67 → 0.76)은 불확실성 해소 효과를 시사한다.</w:t>
      </w:r>
    </w:p>
    <w:p w14:paraId="3876A144" w14:textId="77777777" w:rsidR="00CA23D7" w:rsidRDefault="00000000">
      <w:pPr>
        <w:pStyle w:val="2"/>
      </w:pPr>
      <w:r>
        <w:t>4.2 수정이 필요한 해석</w:t>
      </w:r>
    </w:p>
    <w:p w14:paraId="3A156D9E" w14:textId="77777777" w:rsidR="00CA23D7" w:rsidRDefault="00000000">
      <w:pPr>
        <w:spacing w:after="120" w:line="360" w:lineRule="auto"/>
      </w:pPr>
      <w:r>
        <w:t xml:space="preserve">핵심 채널의 재정의가 필요하다. 기존에는 </w:t>
      </w:r>
      <w:proofErr w:type="spellStart"/>
      <w:r>
        <w:t>d_Baa_Yield</w:t>
      </w:r>
      <w:proofErr w:type="spellEnd"/>
      <w:r>
        <w:t xml:space="preserve">, </w:t>
      </w:r>
      <w:proofErr w:type="spellStart"/>
      <w:r>
        <w:t>d_Spread_Baa</w:t>
      </w:r>
      <w:proofErr w:type="spellEnd"/>
      <w:r>
        <w:t xml:space="preserve">, </w:t>
      </w:r>
      <w:proofErr w:type="spellStart"/>
      <w:r>
        <w:t>Ret_Dollar_Idx</w:t>
      </w:r>
      <w:proofErr w:type="spellEnd"/>
      <w:r>
        <w:t xml:space="preserve">를 핵심 채널로 제시했으나, </w:t>
      </w:r>
      <w:proofErr w:type="spellStart"/>
      <w:r>
        <w:t>Ret_Corp_InvGrade</w:t>
      </w:r>
      <w:proofErr w:type="spellEnd"/>
      <w:r>
        <w:t>가 가장 강건한 채널로 확인되었다. 신용 스프레드와 달러 변수도 유의한 연관성을 보이나 선택 빈도 50-70%로 표본 의존성이 존재한다.</w:t>
      </w:r>
    </w:p>
    <w:p w14:paraId="631B1DEA" w14:textId="77777777" w:rsidR="00CA23D7" w:rsidRDefault="00000000">
      <w:pPr>
        <w:spacing w:after="120" w:line="360" w:lineRule="auto"/>
      </w:pPr>
      <w:r>
        <w:t xml:space="preserve">Dot Plot 구조적 변화에 대해서도 수정이 필요하다. 기존에는 달러 변수의 부상을 강조했으나, FDR 조정 후 가장 강건한 구조적 변화는 </w:t>
      </w:r>
      <w:proofErr w:type="spellStart"/>
      <w:r>
        <w:t>하이일드</w:t>
      </w:r>
      <w:proofErr w:type="spellEnd"/>
      <w:r>
        <w:t xml:space="preserve"> 채널(</w:t>
      </w:r>
      <w:proofErr w:type="spellStart"/>
      <w:r>
        <w:t>Ret_HighYield_ETF</w:t>
      </w:r>
      <w:proofErr w:type="spellEnd"/>
      <w:r>
        <w:t>), 달러 채널(</w:t>
      </w:r>
      <w:proofErr w:type="spellStart"/>
      <w:r>
        <w:t>Ret_Dollar_Idx</w:t>
      </w:r>
      <w:proofErr w:type="spellEnd"/>
      <w:r>
        <w:t>), 원자재(</w:t>
      </w:r>
      <w:proofErr w:type="spellStart"/>
      <w:r>
        <w:t>Ret_Silver</w:t>
      </w:r>
      <w:proofErr w:type="spellEnd"/>
      <w:r>
        <w:t>), 암호화폐(</w:t>
      </w:r>
      <w:proofErr w:type="spellStart"/>
      <w:r>
        <w:t>Ret_Bitcoin</w:t>
      </w:r>
      <w:proofErr w:type="spellEnd"/>
      <w:r>
        <w:t>) 등 다양한 채널에서 확인된다.</w:t>
      </w:r>
    </w:p>
    <w:p w14:paraId="225779D8" w14:textId="77777777" w:rsidR="00CA23D7" w:rsidRDefault="00000000">
      <w:pPr>
        <w:spacing w:after="160" w:line="360" w:lineRule="auto"/>
      </w:pPr>
      <w:r>
        <w:t xml:space="preserve">개별 계수 해석에서도 주의가 필요하다. </w:t>
      </w:r>
      <w:proofErr w:type="spellStart"/>
      <w:r>
        <w:t>Ret_Dollar_Idx</w:t>
      </w:r>
      <w:proofErr w:type="spellEnd"/>
      <w:r>
        <w:t xml:space="preserve"> 계수 +15.66 또는 +20.01은 </w:t>
      </w:r>
      <w:proofErr w:type="spellStart"/>
      <w:r>
        <w:t>다중공선성</w:t>
      </w:r>
      <w:proofErr w:type="spellEnd"/>
      <w:r>
        <w:t>(</w:t>
      </w:r>
      <w:proofErr w:type="gramStart"/>
      <w:r>
        <w:t>VIF &gt;</w:t>
      </w:r>
      <w:proofErr w:type="gramEnd"/>
      <w:r>
        <w:t xml:space="preserve"> 800)으로 인해 불안정한 추정치이므로, 달러 정보 블록이 기대 조정과 양의 연관성을 보인다는 정성적 결론이 적절하다.</w:t>
      </w:r>
    </w:p>
    <w:p w14:paraId="10EA1329" w14:textId="77777777" w:rsidR="00CA23D7" w:rsidRDefault="00000000">
      <w:pPr>
        <w:pStyle w:val="2"/>
      </w:pPr>
      <w:r>
        <w:t>4.3 새롭게 강조할 발견</w:t>
      </w:r>
    </w:p>
    <w:p w14:paraId="7EEDCE81" w14:textId="77777777" w:rsidR="00CA23D7" w:rsidRDefault="00000000">
      <w:pPr>
        <w:spacing w:after="120" w:line="360" w:lineRule="auto"/>
      </w:pPr>
      <w:r>
        <w:t xml:space="preserve">투자등급 회사채 채널의 중요성이 부각된다. 73.1% 선택 빈도와 100% 부호 일관성을 보인 </w:t>
      </w:r>
      <w:proofErr w:type="spellStart"/>
      <w:r>
        <w:t>Ret_Corp_InvGrade</w:t>
      </w:r>
      <w:proofErr w:type="spellEnd"/>
      <w:r>
        <w:t xml:space="preserve">는 표본 특성에 가장 덜 의존하는 강건한 정보 채널이다. 또한 FDR 조정 후에도 유의한 </w:t>
      </w:r>
      <w:proofErr w:type="spellStart"/>
      <w:r>
        <w:t>하이일드</w:t>
      </w:r>
      <w:proofErr w:type="spellEnd"/>
      <w:r>
        <w:t>, 원자재, 암호화폐 채널의 구조적 변화는 Dot Plot이 다양한 위험자산에 대한 시장의 정보 처리 방식을 재편했음을 시사한다.</w:t>
      </w:r>
    </w:p>
    <w:p w14:paraId="04181710" w14:textId="77777777" w:rsidR="00CA23D7" w:rsidRDefault="00000000">
      <w:pPr>
        <w:pStyle w:val="1"/>
      </w:pPr>
      <w:r>
        <w:t>5. 한계 및 주의사항</w:t>
      </w:r>
    </w:p>
    <w:p w14:paraId="2B397F61" w14:textId="77777777" w:rsidR="00CA23D7" w:rsidRDefault="00000000">
      <w:pPr>
        <w:spacing w:after="120" w:line="360" w:lineRule="auto"/>
      </w:pPr>
      <w:r>
        <w:t xml:space="preserve">첫째, 본 분석은 조건부 연관성을 보고하며 인과관계를 주장하지 않는다. 둘째, Post-LASSO 추론은 변수 선택 불확실성을 반영하지 않아 표준오차가 </w:t>
      </w:r>
      <w:proofErr w:type="spellStart"/>
      <w:r>
        <w:t>과소추정될</w:t>
      </w:r>
      <w:proofErr w:type="spellEnd"/>
      <w:r>
        <w:t xml:space="preserve"> 수 있다. 셋째, </w:t>
      </w:r>
      <w:proofErr w:type="spellStart"/>
      <w:r>
        <w:t>Ret_Corp_InvGrade</w:t>
      </w:r>
      <w:proofErr w:type="spellEnd"/>
      <w:r>
        <w:t xml:space="preserve">의 계수 부호는 표본기간·표준화 기준·추정 방식(LASSO vs OLS)·종속변수 </w:t>
      </w:r>
      <w:r>
        <w:lastRenderedPageBreak/>
        <w:t xml:space="preserve">정의에 따라 달라질 수 있으므로, 본문의 방향성 해석은 Selection Frequency에서 사용한 LASSO 표준화 계수 기준(음의 부호)으로 통일하고, HAC 표는 유의성 강건성 확인 용도로만 사용한다. 넷째, 2024-2025년 통화정책 전환기는 특수한 </w:t>
      </w:r>
      <w:proofErr w:type="spellStart"/>
      <w:r>
        <w:t>레짐이며</w:t>
      </w:r>
      <w:proofErr w:type="spellEnd"/>
      <w:r>
        <w:t xml:space="preserve"> 결과의 일반화에는 별도 연구가 필요하다.</w:t>
      </w:r>
    </w:p>
    <w:p w14:paraId="57D8796A" w14:textId="77777777" w:rsidR="00CA23D7" w:rsidRDefault="00000000">
      <w:pPr>
        <w:pStyle w:val="1"/>
      </w:pPr>
      <w:r>
        <w:t>6. 결론</w:t>
      </w:r>
    </w:p>
    <w:p w14:paraId="26B6B4CC" w14:textId="77777777" w:rsidR="00CA23D7" w:rsidRDefault="00000000">
      <w:pPr>
        <w:spacing w:after="120" w:line="360" w:lineRule="auto"/>
      </w:pPr>
      <w:r>
        <w:t>Robustness 분석 결과, 본 연구의 핵심 발견인 horizon 이질성, 체계적 과대평가, Dot Plot 효과는 대체로 강건하다. 그러나 개별 변수 수준에서는 가장 강건한 채널이 투자등급 회사채(</w:t>
      </w:r>
      <w:proofErr w:type="spellStart"/>
      <w:r>
        <w:t>Ret_Corp_InvGrade</w:t>
      </w:r>
      <w:proofErr w:type="spellEnd"/>
      <w:r>
        <w:t xml:space="preserve">)이고, 가장 강건한 구조적 변화는 </w:t>
      </w:r>
      <w:proofErr w:type="spellStart"/>
      <w:r>
        <w:t>하이일드</w:t>
      </w:r>
      <w:proofErr w:type="spellEnd"/>
      <w:r>
        <w:t xml:space="preserve">, 달러, 원자재, 암호화폐 채널에서 확인된다. 달러 변수는 </w:t>
      </w:r>
      <w:proofErr w:type="spellStart"/>
      <w:r>
        <w:t>다중공선성</w:t>
      </w:r>
      <w:proofErr w:type="spellEnd"/>
      <w:r>
        <w:t>(</w:t>
      </w:r>
      <w:proofErr w:type="gramStart"/>
      <w:r>
        <w:t>VIF &gt;</w:t>
      </w:r>
      <w:proofErr w:type="gramEnd"/>
      <w:r>
        <w:t xml:space="preserve"> 800)으로, 신용 스프레드는 선택 빈도 70% 미만으로 해석에 주의가 필요하다.</w:t>
      </w:r>
    </w:p>
    <w:p w14:paraId="4A42AF0E" w14:textId="77777777" w:rsidR="00CA23D7" w:rsidRDefault="00000000">
      <w:pPr>
        <w:spacing w:after="160" w:line="360" w:lineRule="auto"/>
      </w:pPr>
      <w:r>
        <w:t xml:space="preserve">이러한 결과는 시장의 정책 기대 형성에서 신용 채널이 핵심적 역할을 하며, 특히 투자등급과 </w:t>
      </w:r>
      <w:proofErr w:type="spellStart"/>
      <w:r>
        <w:t>하이일드</w:t>
      </w:r>
      <w:proofErr w:type="spellEnd"/>
      <w:r>
        <w:t xml:space="preserve"> 세그먼트가 서로 다른 정보 내용을 전달함을 시사한다. Dot Plot의 효과는 전통적 신용시장뿐 아니라 원자재 및 암호화폐 채널에도 확산되어, 연준의 명시적 forward guidance가 다양한 자산군과 정책 기대 사이의 관계를 재구성했을 가능성을 제기한다.</w:t>
      </w:r>
    </w:p>
    <w:sectPr w:rsidR="00CA23D7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C4C8" w14:textId="77777777" w:rsidR="00C05EBC" w:rsidRDefault="00C05EBC">
      <w:r>
        <w:separator/>
      </w:r>
    </w:p>
  </w:endnote>
  <w:endnote w:type="continuationSeparator" w:id="0">
    <w:p w14:paraId="583CEEEC" w14:textId="77777777" w:rsidR="00C05EBC" w:rsidRDefault="00C0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FDBA" w14:textId="77777777" w:rsidR="00CA23D7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18C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16A3" w14:textId="77777777" w:rsidR="00C05EBC" w:rsidRDefault="00C05EBC">
      <w:r>
        <w:separator/>
      </w:r>
    </w:p>
  </w:footnote>
  <w:footnote w:type="continuationSeparator" w:id="0">
    <w:p w14:paraId="5A268ED7" w14:textId="77777777" w:rsidR="00C05EBC" w:rsidRDefault="00C05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0DC"/>
    <w:multiLevelType w:val="hybridMultilevel"/>
    <w:tmpl w:val="FBD4ACCE"/>
    <w:lvl w:ilvl="0" w:tplc="F55A45E8">
      <w:start w:val="1"/>
      <w:numFmt w:val="bullet"/>
      <w:lvlText w:val="●"/>
      <w:lvlJc w:val="left"/>
      <w:pPr>
        <w:ind w:left="720" w:hanging="360"/>
      </w:pPr>
    </w:lvl>
    <w:lvl w:ilvl="1" w:tplc="3A0A1DFE">
      <w:start w:val="1"/>
      <w:numFmt w:val="bullet"/>
      <w:lvlText w:val="○"/>
      <w:lvlJc w:val="left"/>
      <w:pPr>
        <w:ind w:left="1440" w:hanging="360"/>
      </w:pPr>
    </w:lvl>
    <w:lvl w:ilvl="2" w:tplc="1E448640">
      <w:start w:val="1"/>
      <w:numFmt w:val="bullet"/>
      <w:lvlText w:val="■"/>
      <w:lvlJc w:val="left"/>
      <w:pPr>
        <w:ind w:left="2160" w:hanging="360"/>
      </w:pPr>
    </w:lvl>
    <w:lvl w:ilvl="3" w:tplc="C5C0DEFA">
      <w:start w:val="1"/>
      <w:numFmt w:val="bullet"/>
      <w:lvlText w:val="●"/>
      <w:lvlJc w:val="left"/>
      <w:pPr>
        <w:ind w:left="2880" w:hanging="360"/>
      </w:pPr>
    </w:lvl>
    <w:lvl w:ilvl="4" w:tplc="CE949D14">
      <w:start w:val="1"/>
      <w:numFmt w:val="bullet"/>
      <w:lvlText w:val="○"/>
      <w:lvlJc w:val="left"/>
      <w:pPr>
        <w:ind w:left="3600" w:hanging="360"/>
      </w:pPr>
    </w:lvl>
    <w:lvl w:ilvl="5" w:tplc="B760720A">
      <w:start w:val="1"/>
      <w:numFmt w:val="bullet"/>
      <w:lvlText w:val="■"/>
      <w:lvlJc w:val="left"/>
      <w:pPr>
        <w:ind w:left="4320" w:hanging="360"/>
      </w:pPr>
    </w:lvl>
    <w:lvl w:ilvl="6" w:tplc="671CFB70">
      <w:start w:val="1"/>
      <w:numFmt w:val="bullet"/>
      <w:lvlText w:val="●"/>
      <w:lvlJc w:val="left"/>
      <w:pPr>
        <w:ind w:left="5040" w:hanging="360"/>
      </w:pPr>
    </w:lvl>
    <w:lvl w:ilvl="7" w:tplc="855447F0">
      <w:start w:val="1"/>
      <w:numFmt w:val="bullet"/>
      <w:lvlText w:val="●"/>
      <w:lvlJc w:val="left"/>
      <w:pPr>
        <w:ind w:left="5760" w:hanging="360"/>
      </w:pPr>
    </w:lvl>
    <w:lvl w:ilvl="8" w:tplc="32763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F3868"/>
    <w:multiLevelType w:val="hybridMultilevel"/>
    <w:tmpl w:val="783400C4"/>
    <w:lvl w:ilvl="0" w:tplc="AF60791E">
      <w:start w:val="1"/>
      <w:numFmt w:val="bullet"/>
      <w:lvlText w:val="•"/>
      <w:lvlJc w:val="left"/>
      <w:pPr>
        <w:ind w:left="720" w:hanging="360"/>
      </w:pPr>
    </w:lvl>
    <w:lvl w:ilvl="1" w:tplc="E216ECFE">
      <w:numFmt w:val="decimal"/>
      <w:lvlText w:val=""/>
      <w:lvlJc w:val="left"/>
    </w:lvl>
    <w:lvl w:ilvl="2" w:tplc="587E528C">
      <w:numFmt w:val="decimal"/>
      <w:lvlText w:val=""/>
      <w:lvlJc w:val="left"/>
    </w:lvl>
    <w:lvl w:ilvl="3" w:tplc="1EC8479E">
      <w:numFmt w:val="decimal"/>
      <w:lvlText w:val=""/>
      <w:lvlJc w:val="left"/>
    </w:lvl>
    <w:lvl w:ilvl="4" w:tplc="F3F0C678">
      <w:numFmt w:val="decimal"/>
      <w:lvlText w:val=""/>
      <w:lvlJc w:val="left"/>
    </w:lvl>
    <w:lvl w:ilvl="5" w:tplc="6BDA18EC">
      <w:numFmt w:val="decimal"/>
      <w:lvlText w:val=""/>
      <w:lvlJc w:val="left"/>
    </w:lvl>
    <w:lvl w:ilvl="6" w:tplc="54CC8D10">
      <w:numFmt w:val="decimal"/>
      <w:lvlText w:val=""/>
      <w:lvlJc w:val="left"/>
    </w:lvl>
    <w:lvl w:ilvl="7" w:tplc="09A44D2C">
      <w:numFmt w:val="decimal"/>
      <w:lvlText w:val=""/>
      <w:lvlJc w:val="left"/>
    </w:lvl>
    <w:lvl w:ilvl="8" w:tplc="EABA73B0">
      <w:numFmt w:val="decimal"/>
      <w:lvlText w:val=""/>
      <w:lvlJc w:val="left"/>
    </w:lvl>
  </w:abstractNum>
  <w:num w:numId="1" w16cid:durableId="131946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3D7"/>
    <w:rsid w:val="004134A8"/>
    <w:rsid w:val="00C05EBC"/>
    <w:rsid w:val="00CA23D7"/>
    <w:rsid w:val="00CB18C6"/>
    <w:rsid w:val="00CB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423A"/>
  <w15:docId w15:val="{B3BC2BA7-ED20-4878-B6EE-55E8E4F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000000"/>
      <w:sz w:val="36"/>
      <w:szCs w:val="3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TaeJun Eom</cp:lastModifiedBy>
  <cp:revision>2</cp:revision>
  <dcterms:created xsi:type="dcterms:W3CDTF">2025-12-18T05:56:00Z</dcterms:created>
  <dcterms:modified xsi:type="dcterms:W3CDTF">2025-12-18T05:56:00Z</dcterms:modified>
</cp:coreProperties>
</file>