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971A" w14:textId="77777777" w:rsidR="00BD3AC5" w:rsidRPr="00BD3AC5" w:rsidRDefault="00BD3AC5" w:rsidP="00BD3AC5">
      <w:r w:rsidRPr="00BD3AC5">
        <w:t>제공된 골드만삭스의 원자재 전망 보고서는 단순히 수요와 공급의 수치를 대입하는 일차원적인 분석을 넘어 지정학적 역학 관계와 물리적 인프라의 제약 그리고 시장 참여자의 행동 심리를 결합한 다층적인 분석 프레임워크를 적용했습니다. 이 보고서가 결론을 도출하기 위해 사용한 경제학적 모델과 데이터 소스 및 논리적 추론 과정은 크게 원자재 통제 주기 이론, 확신 매수자 가격 결정 모형, 에너지 공급 파동 및 한계 비용 분석, 물리적 전력망 제약 분석으로 구분할 수 있습니다.</w:t>
      </w:r>
    </w:p>
    <w:p w14:paraId="3B35872E" w14:textId="77777777" w:rsidR="00BD3AC5" w:rsidRPr="00BD3AC5" w:rsidRDefault="00BD3AC5" w:rsidP="00BD3AC5">
      <w:r w:rsidRPr="00BD3AC5">
        <w:t>첫째로 지정학적 분석을 위해 원자재 통제 주기라는 독자적인 프레임워크를 도입했습니다. 연구진은 희토류와 같은 전략 자원이 국가 안보의 무기로 변모하는 과정을 절연과 확장 그리고 집중 및 레버리지라는 4단계 순환 주기로 모델링했습니다. 이를 위해 중국의 광물 정제 시장 점유율 데이터와 해외 광산 투자 데이터를 정량적으로 분석했습니다. 구리는 전력망과 데이터센터 구축에 필수적이며 공급이 제한적이라 전략적 비축 대상이 될 것으로 보아 가격 하방 경직성이 있다고 판단했습니다. 반면 리튬이나 알루미늄은 중국이 인도네시아와 아프리카 등지에서 공격적인 설비 투자를 진행하여 공급 과잉 단계인 확장 국면에 진입했다고 진단했습니다. 이러한 공급망 데이터를 기반으로 동일한 원자재 섹터 내에서도 지정학적 위상에 따라 가격 방향성이 달라질 수 있음을 논리적으로 입증했습니다.</w:t>
      </w:r>
    </w:p>
    <w:p w14:paraId="0F8FB52C" w14:textId="77777777" w:rsidR="00BD3AC5" w:rsidRPr="00BD3AC5" w:rsidRDefault="00BD3AC5" w:rsidP="00BD3AC5">
      <w:r w:rsidRPr="00BD3AC5">
        <w:t>둘째로 금 가격 예측을 위해 기존의 실질 금리 역상관 관계 모델 대신 확신 매수자 모형을 적용했습니다. 분석가는 금 시장 참여자를 가격에 민감하게 반응하는 기회주의적 매수자와 가격과 무관하게 구조적으로 매입하는 확신 매수자로 분류했습니다. 이를 위해 러시아 자산 동결 이후 신흥국 중앙은행들의 금 보유 비중 변화 데이터와 설문조사 결과를 핵심 변수로 투입했습니다. 또한 미국 가계의 금융 포트폴리오 내 금 ETF 비중 데이터를 활용하여 포트폴리오 비중이 1bp 상승할 때 금 가격이 얼마나 상승하는지를 측정하는 민감도 분석을 수행했습니다. 이 과정에서 중앙은행과 ETF라는 비탄력적 수요 주체가 가격 결정의 주도권을 쥐고 있다는 구조적 변화를 수치화했습니다.</w:t>
      </w:r>
    </w:p>
    <w:p w14:paraId="17261B13" w14:textId="77777777" w:rsidR="00BD3AC5" w:rsidRPr="00BD3AC5" w:rsidRDefault="00BD3AC5" w:rsidP="00BD3AC5">
      <w:r w:rsidRPr="00BD3AC5">
        <w:t>셋째로 에너지 시장 분석에는 시차를 고려한 공급 파동 이론과 한계 비용 가격 결정 메커니즘을 사용했습니다. 과거 7년 전부터 이루어진 대규모 에너지 프로젝트들의 최종투자결정 데이터를 집계하여 2025년과 2030년 사이의 공급 증가분을 타임라인별로 매핑했습니다. 원유 시장에서는 장기 사이클 프로젝트들의 공급이 시장에 유입되는 시점과 글로벌 가시적 원유 재고 데이터를 비교하여 초과 공급 규모를 200만 배럴로 산출했습니다. 천연가스 시장 분석에서는 지역별 가격 차이를 설명하기 위해 저장소 혼잡 모델을 적용했습니다. 유럽의 가스 저장 용량이 한계에 도달할 경우 미국산 LNG의 수출 마진이 사라져 수출이 취소되는 가격대를 산출하기 위해 헨리 허브 가격에 변동비와 운송비를 더한 한계 비용을 유럽 가스 가격인 TTF와 비교하는 차익거래 분석법을 사용했습니다.</w:t>
      </w:r>
    </w:p>
    <w:p w14:paraId="2BE96352" w14:textId="77777777" w:rsidR="00BD3AC5" w:rsidRPr="00BD3AC5" w:rsidRDefault="00BD3AC5" w:rsidP="00BD3AC5">
      <w:r w:rsidRPr="00BD3AC5">
        <w:t>넷째로 AI 산업의 성장을 물리적 제약 관점에서 분석하기 위해 유효 예비 전력 용량이라</w:t>
      </w:r>
      <w:r w:rsidRPr="00BD3AC5">
        <w:lastRenderedPageBreak/>
        <w:t>는 지표를 고안했습니다. 미국의 버지니아주와 같이 데이터센터가 밀집된 지역의 전력 수요 증가율 데이터와 해당 지역 전력망의 공급 능력 데이터를 중첩하여 분석했습니다. 단순히 총 발전 용량을 보는 것이 아니라 여름철 피크 수요 시 실제로 가동 가능한 유효 용량을 산출하여 전력망의 여유분을 측정했습니다. 이를 중국의 전력 설비 데이터와 비교함으로써 AI 기술 경쟁이 기술력 자체가 아닌 전력 공급이라는 물리적 병목 현상에 의해 좌우될 수 있다는 결론을 도출하는 근거로 삼았습니다.</w:t>
      </w:r>
    </w:p>
    <w:p w14:paraId="33941C34" w14:textId="77777777" w:rsidR="00BD3AC5" w:rsidRPr="00BD3AC5" w:rsidRDefault="00BD3AC5" w:rsidP="00BD3AC5">
      <w:r w:rsidRPr="00BD3AC5">
        <w:t>마지막으로 구리 시장의 미시적 분석을 위해 재고의 위치와 관세 효과를 결합한 회귀 분석을 수행했습니다. 전 세계 총 재고량 대신 미국을 제외한 지역의 재고량 데이터를 런던금속거래소 가격과 매칭하여 상관관계를 분석했습니다. 이는 관세 도입 우려로 인해 미국 내로 유입된 재고가 갇혀버리는 현상을 반영한 것으로 글로벌 재고가 증가함에도 불구하고 가격이 지지되는 시장의 왜곡을 설명하기 위한 방법론입니다.</w:t>
      </w:r>
    </w:p>
    <w:p w14:paraId="540AC172" w14:textId="77777777" w:rsidR="00BD3AC5" w:rsidRPr="00BD3AC5" w:rsidRDefault="00BD3AC5" w:rsidP="00BD3AC5">
      <w:r w:rsidRPr="00BD3AC5">
        <w:t>이처럼 해당 기관은 거시경제 지표뿐만 아니라 프로젝트 단위의 미시 데이터와 지정학적 정책 변수 그리고 물리적 인프라 데이터 등을 종합적으로 활용하여 시장의 구조적 변화를 입체적으로 모델링했습니다.</w:t>
      </w:r>
    </w:p>
    <w:p w14:paraId="46718E0F" w14:textId="77777777" w:rsidR="00FA3B1B" w:rsidRPr="00BD3AC5" w:rsidRDefault="00FA3B1B"/>
    <w:sectPr w:rsidR="00FA3B1B" w:rsidRPr="00BD3AC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C5"/>
    <w:rsid w:val="00176CC1"/>
    <w:rsid w:val="00292EDA"/>
    <w:rsid w:val="00363A1C"/>
    <w:rsid w:val="00704B8F"/>
    <w:rsid w:val="008D429D"/>
    <w:rsid w:val="009E0A59"/>
    <w:rsid w:val="00BD3AC5"/>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C6A9"/>
  <w15:chartTrackingRefBased/>
  <w15:docId w15:val="{A60377E9-F67E-478E-91C1-7F685B34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3A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D3A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D3AC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D3A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3A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3A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3A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3A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3A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3AC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D3AC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D3AC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D3AC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3AC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3AC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3AC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3AC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3AC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3AC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3A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3A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3AC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3AC5"/>
    <w:pPr>
      <w:spacing w:before="160"/>
      <w:jc w:val="center"/>
    </w:pPr>
    <w:rPr>
      <w:i/>
      <w:iCs/>
      <w:color w:val="404040" w:themeColor="text1" w:themeTint="BF"/>
    </w:rPr>
  </w:style>
  <w:style w:type="character" w:customStyle="1" w:styleId="Char1">
    <w:name w:val="인용 Char"/>
    <w:basedOn w:val="a0"/>
    <w:link w:val="a5"/>
    <w:uiPriority w:val="29"/>
    <w:rsid w:val="00BD3AC5"/>
    <w:rPr>
      <w:i/>
      <w:iCs/>
      <w:color w:val="404040" w:themeColor="text1" w:themeTint="BF"/>
    </w:rPr>
  </w:style>
  <w:style w:type="paragraph" w:styleId="a6">
    <w:name w:val="List Paragraph"/>
    <w:basedOn w:val="a"/>
    <w:uiPriority w:val="34"/>
    <w:qFormat/>
    <w:rsid w:val="00BD3AC5"/>
    <w:pPr>
      <w:ind w:left="720"/>
      <w:contextualSpacing/>
    </w:pPr>
  </w:style>
  <w:style w:type="character" w:styleId="a7">
    <w:name w:val="Intense Emphasis"/>
    <w:basedOn w:val="a0"/>
    <w:uiPriority w:val="21"/>
    <w:qFormat/>
    <w:rsid w:val="00BD3AC5"/>
    <w:rPr>
      <w:i/>
      <w:iCs/>
      <w:color w:val="0F4761" w:themeColor="accent1" w:themeShade="BF"/>
    </w:rPr>
  </w:style>
  <w:style w:type="paragraph" w:styleId="a8">
    <w:name w:val="Intense Quote"/>
    <w:basedOn w:val="a"/>
    <w:next w:val="a"/>
    <w:link w:val="Char2"/>
    <w:uiPriority w:val="30"/>
    <w:qFormat/>
    <w:rsid w:val="00BD3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3AC5"/>
    <w:rPr>
      <w:i/>
      <w:iCs/>
      <w:color w:val="0F4761" w:themeColor="accent1" w:themeShade="BF"/>
    </w:rPr>
  </w:style>
  <w:style w:type="character" w:styleId="a9">
    <w:name w:val="Intense Reference"/>
    <w:basedOn w:val="a0"/>
    <w:uiPriority w:val="32"/>
    <w:qFormat/>
    <w:rsid w:val="00BD3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1</cp:revision>
  <dcterms:created xsi:type="dcterms:W3CDTF">2026-01-30T19:25:00Z</dcterms:created>
  <dcterms:modified xsi:type="dcterms:W3CDTF">2026-01-30T19:25:00Z</dcterms:modified>
</cp:coreProperties>
</file>