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B937" w14:textId="77777777" w:rsidR="00D11B79" w:rsidRPr="00D11B79" w:rsidRDefault="00D11B79" w:rsidP="00D11B79">
      <w:r w:rsidRPr="00D11B79">
        <w:t>제공된 J.P. Morgan Asset Management의 2026년 투자 전망 리포트는 거시경제의 순환적 요인과 기술 산업의 구조적 변화를 동시에 분석하기 위해 다양한 경제학적 모델과 금융 공학적 방법론을 적용했습니다. 이 보고서가 결론을 도출하기 위해 사용한 데이터 소스와 논리적 추론 과정은 크게 재정 승수와 소비 계층화 모델링, 기술 생태계의 현금 흐름 및 밸류에이션 분석, 자산 간 상관관계와 이익 수정 주기 분석, 구조적 자본 조달 변화와 시나리오별 리스크 평가로 구분할 수 있습니다.</w:t>
      </w:r>
    </w:p>
    <w:p w14:paraId="5C044241" w14:textId="77777777" w:rsidR="00D11B79" w:rsidRPr="00D11B79" w:rsidRDefault="00D11B79" w:rsidP="00D11B79">
      <w:r w:rsidRPr="00D11B79">
        <w:t>첫째로 거시경제 분석을 위해 재정 정책의 규모와 실업률 간의 역학 관계를 분석하는 역사적 비교 방법론을 사용했습니다. 분석가는 미국의 재정 적자 데이터와 실업률 데이터를 시계열로 매핑하여 경기 침체가 아닌 시기에 단행되는 현재의 대규모 재정 부양책이 과거와 다른 이례적인 현상임을 입증했습니다. 또한 소비의 양극화를 설명하기 위해 소득 구간별 주간 지출 데이터를 활용한 K자형 경제 모델을 적용했습니다. 고소득층과 저소득층의 소비 패턴을 분리하고 이를 자산 가격 상승에 따른 부의 효과와 연계하여 거시 지표 호조 속에 가려진 계층별 불균형을 구조적으로 식별했습니다. 독일과 유럽의 경우 국방비 지출 계획과 GDP 대비 비중 데이터를 활용하여 정부 지출이 민간 부문의 생산성 향상과 성장으로 이어지는 파급 경로를 추정했습니다.</w:t>
      </w:r>
    </w:p>
    <w:p w14:paraId="2A6E9833" w14:textId="77777777" w:rsidR="00D11B79" w:rsidRPr="00D11B79" w:rsidRDefault="00D11B79" w:rsidP="00D11B79">
      <w:r w:rsidRPr="00D11B79">
        <w:t>둘째로 AI 산업의 지속 가능성을 평가하기 위해 기술 생태계의 순환적 현금 흐름 모델과 과거 버블기와의 비교 분석을 수행했습니다. 연구진은 AI 산업을 하드웨어 제조사와 인프라를 담당하는 하이퍼스케일러 및 모델을 개발하는 아키텍트와 최종 사용자로 세분화한 공급망 맵핑을 통해 자금의 흐름을 추적했습니다. 하이퍼스케일러 기업들의 설비 투자 규모와 영업 현금 흐름 데이터를 대조하여 투자가 외부 차입이 아닌 자체 자금으로 조달되고 있음을 확인함으로써 닷컴 버블 당시와의 재무적 차이점을 도출했습니다. 동시에 인구조사국과 민간 업체의 AI 도입률 설문 데이터를 분석하여 기업들의 실제 비용 지출 의향과 구독 전환율을 측정했습니다. 이를 통해 막대한 인프라 투자가 실제 최종 수요로 연결되어 수익을 창출할 수 있는지를 검증하는 손익분기점 분석을 병행했습니다.</w:t>
      </w:r>
    </w:p>
    <w:p w14:paraId="6FD1952C" w14:textId="77777777" w:rsidR="00D11B79" w:rsidRPr="00D11B79" w:rsidRDefault="00D11B79" w:rsidP="00D11B79">
      <w:r w:rsidRPr="00D11B79">
        <w:t>셋째로 글로벌 자산 배분 전략을 수립하기 위해 이익 수정 비율과 밸류에이션 갭 분석 그리고 자산 간 상관관계 분석을 활용했습니다. 유럽과 미국 간의 주가수익비율 격차와 이익 성장률 격차의 축소 추이를 시계열로 분석하여 밸류에이션 매력도를 산출했습니다. 특히 유럽 시장 내에서 특정 주도주 그룹인 GRANOLAS와 미국 매그니피센트 7 간의 상관계수를 측정하여 기술주 쏠림 현상을 완화할 수 있는 분산 투자 효과를 정량화했습니다. 일본 시장 분석에서는 엔화 환율 변동과 토픽스 지수 간의 역사적 상관관계를 회귀 분석하여 환율 리스크가 주식 수익률에 미치는 민감도를 측정했습니다. 중국 시장의 경우 수출 데이터와 공급망 점유율 데이터를 기반으로 무역 제재에도 불구하고 우회 수출 경로를 통해 이익을 방어하는 기업들의 적응력을 평가했습니다.</w:t>
      </w:r>
    </w:p>
    <w:p w14:paraId="56549F1C" w14:textId="77777777" w:rsidR="00D11B79" w:rsidRPr="00D11B79" w:rsidRDefault="00D11B79" w:rsidP="00D11B79">
      <w:r w:rsidRPr="00D11B79">
        <w:t>넷째로 사모 시장의 성장 배경을 규명하기 위해 자본 조달 구조의 구조적 변화를 설명하</w:t>
      </w:r>
      <w:r w:rsidRPr="00D11B79">
        <w:lastRenderedPageBreak/>
        <w:t>는 생애 주기 분석법을 도입했습니다. 기업이 설립 후 상장하기까지 걸리는 기간 데이터와 유니콘 기업의 수 그리고 상장 기업 수의 감소 추이를 종합적으로 분석했습니다. 이를 통해 가치 창출의 주요 단계가 공모 시장에서 사모 시장으로 구조적으로 이전되었음을 논증했습니다. 또한 사모펀드의 밸류에이션 지표인 EV/EBITDA 배수를 공모 시장의 지표와 벤치마킹하여 고평가 여부를 진단하고 세컨더리 펀드 거래 가격의 순자산가치 대비 할인율 데이터를 통해 유동성 위험을 평가했습니다.</w:t>
      </w:r>
    </w:p>
    <w:p w14:paraId="0768E532" w14:textId="77777777" w:rsidR="00D11B79" w:rsidRPr="00D11B79" w:rsidRDefault="00D11B79" w:rsidP="00D11B79">
      <w:r w:rsidRPr="00D11B79">
        <w:t>마지막으로 잠재적 리스크에 대비하기 위해 인플레이션 유형을 급성 충격과 만성적 침투로 구분하는 시나리오 분석과 자산별 백테스팅을 수행했습니다. 과거 인플레이션 상승 구간에서의 주식과 채권 및 원자재와 금의 수익률 데이터를 분석하여 각 시나리오에 최적화된 헤지 자산을 도출했습니다. 기술주 급락 시나리오에서는 과거 닷컴 버블 붕괴와 글로벌 금융 위기 당시의 국채 및 방어주의 성과 데이터를 시뮬레이션하여 포트폴리오의 하방 경직성을 확보할 수 있는 듀레이션 전략과 섹터 배분 전략을 수립했습니다.</w:t>
      </w:r>
    </w:p>
    <w:p w14:paraId="5E2D517B" w14:textId="77777777" w:rsidR="00D11B79" w:rsidRPr="00D11B79" w:rsidRDefault="00D11B79" w:rsidP="00D11B79">
      <w:r w:rsidRPr="00D11B79">
        <w:t>이처럼 해당 보고서는 거시경제의 총량 데이터뿐만 아니라 기업의 미시적 재무 데이터와 설문 조사 결과 그리고 역사적 자산 가격 데이터를 입체적으로 활용하여 시장의 낙관론 속에 내재된 구조적 위험과 기회를 검증하는 과정을 거쳤습니다.</w:t>
      </w:r>
    </w:p>
    <w:p w14:paraId="1B6D8CBA" w14:textId="77777777" w:rsidR="00FA3B1B" w:rsidRDefault="00FA3B1B"/>
    <w:sectPr w:rsidR="00FA3B1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79"/>
    <w:rsid w:val="00176CC1"/>
    <w:rsid w:val="00292EDA"/>
    <w:rsid w:val="00363A1C"/>
    <w:rsid w:val="00704B8F"/>
    <w:rsid w:val="008D429D"/>
    <w:rsid w:val="009E0A59"/>
    <w:rsid w:val="00D11B79"/>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CD66"/>
  <w15:chartTrackingRefBased/>
  <w15:docId w15:val="{25E540CF-8581-4781-AE28-BBF83811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11B7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11B7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11B7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11B7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11B7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11B7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11B7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11B7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11B7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1B7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1B7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1B7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1B7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1B7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1B7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1B7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1B7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1B7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1B7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11B7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1B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11B7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1B79"/>
    <w:pPr>
      <w:spacing w:before="160"/>
      <w:jc w:val="center"/>
    </w:pPr>
    <w:rPr>
      <w:i/>
      <w:iCs/>
      <w:color w:val="404040" w:themeColor="text1" w:themeTint="BF"/>
    </w:rPr>
  </w:style>
  <w:style w:type="character" w:customStyle="1" w:styleId="Char1">
    <w:name w:val="인용 Char"/>
    <w:basedOn w:val="a0"/>
    <w:link w:val="a5"/>
    <w:uiPriority w:val="29"/>
    <w:rsid w:val="00D11B79"/>
    <w:rPr>
      <w:i/>
      <w:iCs/>
      <w:color w:val="404040" w:themeColor="text1" w:themeTint="BF"/>
    </w:rPr>
  </w:style>
  <w:style w:type="paragraph" w:styleId="a6">
    <w:name w:val="List Paragraph"/>
    <w:basedOn w:val="a"/>
    <w:uiPriority w:val="34"/>
    <w:qFormat/>
    <w:rsid w:val="00D11B79"/>
    <w:pPr>
      <w:ind w:left="720"/>
      <w:contextualSpacing/>
    </w:pPr>
  </w:style>
  <w:style w:type="character" w:styleId="a7">
    <w:name w:val="Intense Emphasis"/>
    <w:basedOn w:val="a0"/>
    <w:uiPriority w:val="21"/>
    <w:qFormat/>
    <w:rsid w:val="00D11B79"/>
    <w:rPr>
      <w:i/>
      <w:iCs/>
      <w:color w:val="0F4761" w:themeColor="accent1" w:themeShade="BF"/>
    </w:rPr>
  </w:style>
  <w:style w:type="paragraph" w:styleId="a8">
    <w:name w:val="Intense Quote"/>
    <w:basedOn w:val="a"/>
    <w:next w:val="a"/>
    <w:link w:val="Char2"/>
    <w:uiPriority w:val="30"/>
    <w:qFormat/>
    <w:rsid w:val="00D11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11B79"/>
    <w:rPr>
      <w:i/>
      <w:iCs/>
      <w:color w:val="0F4761" w:themeColor="accent1" w:themeShade="BF"/>
    </w:rPr>
  </w:style>
  <w:style w:type="character" w:styleId="a9">
    <w:name w:val="Intense Reference"/>
    <w:basedOn w:val="a0"/>
    <w:uiPriority w:val="32"/>
    <w:qFormat/>
    <w:rsid w:val="00D11B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1</cp:revision>
  <dcterms:created xsi:type="dcterms:W3CDTF">2026-01-30T19:28:00Z</dcterms:created>
  <dcterms:modified xsi:type="dcterms:W3CDTF">2026-01-30T19:28:00Z</dcterms:modified>
</cp:coreProperties>
</file>