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9"/>
        <w:keepNext w:val="0"/>
        <w:spacing w:before="1440" w:after="200"/>
        <w:jc w:val="center"/>
      </w:pPr>
      <w:r>
        <w:rPr>
          <w:rFonts w:ascii="Microsoft YaHei" w:hAnsi="Microsoft YaHei" w:eastAsia="微软雅黑"/>
          <w:b/>
          <w:i w:val="0"/>
          <w:color w:val="000000"/>
          <w:sz w:val="44"/>
        </w:rPr>
        <w:t>蓝血企业协同智能系统（BMS-AI）技术需求与实现方案</w:t>
      </w:r>
    </w:p>
    <w:p>
      <w:pPr>
        <w:pStyle w:val="22"/>
        <w:keepNext w:val="0"/>
        <w:spacing w:after="120"/>
        <w:jc w:val="center"/>
      </w:pPr>
      <w:r>
        <w:rPr>
          <w:rFonts w:ascii="Microsoft YaHei" w:hAnsi="Microsoft YaHei" w:eastAsia="微软雅黑"/>
          <w:b/>
          <w:i w:val="0"/>
          <w:color w:val="000000"/>
        </w:rPr>
        <w:t>全栈自研版｜自研智能体平台 + 自研企业知识库 + 模型 API 接入</w:t>
      </w:r>
    </w:p>
    <w:p>
      <w:pPr>
        <w:pStyle w:val="22"/>
        <w:keepNext w:val="0"/>
        <w:spacing w:after="520"/>
        <w:jc w:val="center"/>
      </w:pPr>
      <w:r>
        <w:rPr>
          <w:rFonts w:ascii="Microsoft YaHei" w:hAnsi="Microsoft YaHei" w:eastAsia="微软雅黑"/>
          <w:b w:val="0"/>
          <w:i w:val="0"/>
          <w:color w:val="000000"/>
        </w:rPr>
        <w:t>技术需求规格、总体架构、详细设计、治理体系与实施路线</w:t>
      </w:r>
    </w:p>
    <w:p>
      <w:pPr>
        <w:pStyle w:val="TechnicalNote"/>
        <w:spacing w:before="80" w:after="120"/>
        <w:ind w:left="173" w:right="173"/>
        <w:shd w:fill="FCE8E6"/>
        <w:pBdr>
          <w:top w:val="single" w:sz="5" w:space="4" w:color="E6A09A"/>
          <w:left w:val="single" w:sz="5" w:space="4" w:color="E6A09A"/>
          <w:bottom w:val="single" w:sz="5" w:space="4" w:color="E6A09A"/>
          <w:right w:val="single" w:sz="5" w:space="4" w:color="E6A09A"/>
        </w:pBdr>
      </w:pPr>
      <w:r>
        <w:rPr>
          <w:rFonts w:ascii="Microsoft YaHei" w:hAnsi="Microsoft YaHei" w:eastAsia="微软雅黑"/>
          <w:b/>
          <w:color w:val="000000"/>
          <w:sz w:val="20"/>
        </w:rPr>
        <w:t>方案定位：智能体运行、知识库、RAG、工具网关、权限治理、评测与运营平台全部自主研发；基础大模型不自研，通过统一模型 API 网关按需接入，避免依赖任何厂商的智能体或知识库平台。</w:t>
      </w:r>
      <w:r>
        <w:rPr>
          <w:rFonts w:ascii="Microsoft YaHei" w:hAnsi="Microsoft YaHei" w:eastAsia="微软雅黑"/>
          <w:color w:val="000000"/>
          <w:sz w:val="20"/>
        </w:rPr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900"/>
        <w:gridCol w:w="7124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1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V3.0 全栈自研版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文档状态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技术需求与总体实现方案（自研建设基线）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建设原则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价值牵引、战略对齐、流程权威、人机共责、证据可追溯、最小权限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适用对象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企业管理者、业务负责人、产品、架构、研发、数据、安全、实施与供应商团队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修订日期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2026-07-28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目录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系统概述、建设目标与范围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核心概念、角色模型与企业语义模型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总体架构与关键设计原则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显性层：角色智能体详细技术需求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隐性层：价值底座与六大管理系统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目标对齐、流程协同与主动纠偏机制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数据、知识、记忆与经验蒸馏体系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智能体平台、模型、工具与集成实现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权限、安全、隐私、审计与AI治理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非功能需求、SLO与运维体系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需求编号、验收标准与测试方案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MVP范围、实施路线、交付物与组织保障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风险清单与应对策略</w:t>
      </w:r>
    </w:p>
    <w:p>
      <w:pPr>
        <w:pStyle w:val="22"/>
        <w:numPr>
          <w:ilvl w:val="0"/>
          <w:numId w:val="3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附录：角色配置、事件、API与评测样例</w:t>
      </w: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一、系统概述与设计理念</w:t>
      </w: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 w:val="0"/>
          <w:color w:val="000000"/>
        </w:rPr>
        <w:t>本系统旨在将"蓝血经营管理系统（BMS）"的"三心驱动、一脑统筹、八臂协同"理念，通过AI技术转化为可落地的企业级协同智能系统。</w:t>
      </w: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 w:val="0"/>
          <w:color w:val="000000"/>
        </w:rPr>
        <w:t>系统的核心设计理念为"显性智能体与隐性管理底座的融合"：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显性部分（前端）：以"角色智能体（Role-Agent）"为核心交互界面。每个员工配备一个专属的角色智能体（如：AI研发工程师），智能体作为员工的"数字导师与协同伙伴"，指导工作、对齐目标、纠偏行为。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隐性部分（后端）：构建强大的IT管理底座，将战略、营销、流程、组织、人力、财经等六大系统模块化、数据化，作为角色智能体的"知识库与规则引擎"，实现从战略到执行的自动贯通。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1.1 建设目标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将企业价值要求、战略目标、流程规则、组织关系、岗位能力和经营约束转化为机器可理解、可执行、可审计的结构化管理对象。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为每一项员工角色任命实例化角色智能体，使其能够以岗位职责为边界，承接目标、指导工作、发起协同、识别偏离并形成证据闭环。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形成“价值定义—战略解码—目标承接—流程执行—结果评价—能力发展—经验沉淀—经营复盘”的企业级闭环。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在不替代管理责任主体的前提下，提高目标透明度、流程贯通率、跨角色协同效率、知识复用率和单位业务产出的AI投入效率。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1.2 建设范围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500"/>
        <w:gridCol w:w="4200"/>
        <w:gridCol w:w="3324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包含内容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边界说明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显性角色智能体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角色任命、目标工作台、任务指导、协同、纠偏、知识与工具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不把通用聊天机器人等同于角色智能体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价值与战略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三类价值、BLM/BEM、BSC、目标树、关键任务、指标与预算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战略结论由管理层批准，AI只辅助分析与解码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营销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五看、市场/客户洞察、产品×区域/客户目标、行动方案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不替代CRM交易主数据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流程定义、角色节点、任务、事件、异常、补偿与审计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流程引擎是正式状态权威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人力与组织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角色能力、证据评价、发展建议、铁三角协同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不允许AI单独作出调薪、晋升或淘汰决定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财经与AI FinOps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工时、Token、API、平台成本、成果与价值归因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不以Token多少直接评价员工绩效</w:t>
            </w:r>
          </w:p>
        </w:tc>
      </w:tr>
    </w:tbl>
    <w:p>
      <w:pPr>
        <w:pStyle w:val="22"/>
        <w:keepNext w:val="0"/>
        <w:spacing w:after="60"/>
      </w:pPr>
      <w:r>
        <w:rPr>
          <w:color w:val="000000"/>
        </w:rPr>
        <w:t>系统覆盖范围如下。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1.3 不在首期范围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一次性替换ERP、CRM、HRIS、OA、财务和现有BPM系统。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未经人工审批的重大经营决策、预算调整、合同承诺、人员任免或客户权益变更。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以全量员工监控为目的的行为采集；仅采集履职必需、已授权、可解释的数据。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首期覆盖所有岗位和所有管理流程；首期以单一业务闭环验证价值。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1.4 核心设计原则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900"/>
        <w:gridCol w:w="7124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71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技术含义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价值牵引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每个目标、任务、流程和评价必须关联客户价值、企业价值或岗位价值。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角色显性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员工看到并能够管理自己当前承担的角色、目标、权限、协同关系和智能体行为。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管理底座隐性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战略、流程、组织、能力、预算和规则以服务/API/事件方式持续注入角色智能体。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流程权威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正式流程状态由流程引擎维护；智能体只能在授权节点参与、建议或执行。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证据优先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回答、提醒、评价和执行必须保留来源、版本、输入、判断依据和结果。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人机共责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AI生成建议，人承担管理责任；高风险动作必须人工确认。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最小权限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按员工身份、角色任命、组织范围、数据标签和任务上下文动态授权。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持续评测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模型、Prompt、知识、工具和规则每次版本变更必须经过离线与在线评测。</w:t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二、核心概念、角色模型与企业语义模型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2.1 关键概念定义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800"/>
        <w:gridCol w:w="3600"/>
        <w:gridCol w:w="3624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概念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定义</w:t>
            </w:r>
          </w:p>
        </w:tc>
        <w:tc>
          <w:tcPr>
            <w:tcW w:type="dxa" w:w="3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系统实现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岗位 Position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组织编制中的工作位置，定义汇报关系、职级、成本中心等。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HRIS/组织主数据中的岗位实体。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 Role Blueprint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可复用的标准履职单元，定义使命、责任、价值、能力、流程和权限。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版本化角色模板，不能只是一段Prompt。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角色智能体实例 Role-Agent Instance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角色模板在具体组织、项目、期间和业务场景中的运行实例。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拥有独立配置、上下文、目标、工具策略和审计ID。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员工角色任命 Assignment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员工在一定时间和范围内承担某个角色智能体实例的正式关系。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包含生效/失效时间、授权范围、任命来源、代理与交接状态。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 Task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角色为实现目标或完成流程节点而承担的可执行工作单元。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关联目标、流程实例、负责人、交付物、截止时间和验收标准。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 Value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客户价值、企业价值和岗位价值的结构化表达。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价值项、权重、指标、约束、正负行为和适用范围。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证据 Evidence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支持目标完成、纠偏、评价或知识结论的可追溯事实。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来源系统、时间、版本、对象、哈希、权限标签和可信等级。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2.2 角色生命周期</w:t>
      </w:r>
    </w:p>
    <w:p>
      <w:pPr>
        <w:pStyle w:val="22"/>
        <w:numPr>
          <w:ilvl w:val="0"/>
          <w:numId w:val="4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设计：角色负责人创建角色模板，定义使命、岗位价值、职责、能力、流程节点、协同关系和权限包。</w:t>
      </w:r>
    </w:p>
    <w:p>
      <w:pPr>
        <w:pStyle w:val="22"/>
        <w:numPr>
          <w:ilvl w:val="0"/>
          <w:numId w:val="4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评审：业务、流程、人力、数据安全和IT共同评审；形成可发布的角色版本。</w:t>
      </w:r>
    </w:p>
    <w:p>
      <w:pPr>
        <w:pStyle w:val="22"/>
        <w:numPr>
          <w:ilvl w:val="0"/>
          <w:numId w:val="4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实例化：按组织、项目或客户场景生成角色智能体实例，并绑定目标、知识域和工具策略。</w:t>
      </w:r>
    </w:p>
    <w:p>
      <w:pPr>
        <w:pStyle w:val="22"/>
        <w:numPr>
          <w:ilvl w:val="0"/>
          <w:numId w:val="4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任命：员工被任命后获得角色工作台和对应智能体，权限按任命范围生效。</w:t>
      </w:r>
    </w:p>
    <w:p>
      <w:pPr>
        <w:pStyle w:val="22"/>
        <w:numPr>
          <w:ilvl w:val="0"/>
          <w:numId w:val="4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运行：智能体读取目标、任务、流程事件和授权数据，指导员工并协同其他角色。</w:t>
      </w:r>
    </w:p>
    <w:p>
      <w:pPr>
        <w:pStyle w:val="22"/>
        <w:numPr>
          <w:ilvl w:val="0"/>
          <w:numId w:val="4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变更：战略、流程或组织变更时创建新版本，评估影响后逐步迁移，不直接覆盖历史配置。</w:t>
      </w:r>
    </w:p>
    <w:p>
      <w:pPr>
        <w:pStyle w:val="22"/>
        <w:numPr>
          <w:ilvl w:val="0"/>
          <w:numId w:val="4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代理/交接：支持请假代理、临时项目角色和离岗交接；记忆与权限按策略迁移或封存。</w:t>
      </w:r>
    </w:p>
    <w:p>
      <w:pPr>
        <w:pStyle w:val="22"/>
        <w:numPr>
          <w:ilvl w:val="0"/>
          <w:numId w:val="4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撤销：任命失效后立即回收权限，保留审计记录，员工私有记忆不得转移给继任者。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2.3 统一企业语义模型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350"/>
        <w:gridCol w:w="4074"/>
        <w:gridCol w:w="3600"/>
      </w:tblGrid>
      <w:tr>
        <w:trPr>
          <w:tblHeader w:val="true"/>
          <w:cantSplit w:val="true"/>
        </w:trP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领域</w:t>
            </w:r>
          </w:p>
        </w:tc>
        <w:tc>
          <w:tcPr>
            <w:tcW w:type="dxa" w:w="40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核心实体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关键关系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</w:t>
            </w:r>
          </w:p>
        </w:tc>
        <w:tc>
          <w:tcPr>
            <w:tcW w:type="dxa" w:w="40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ValueDefinition、ValueMetric、ValueConstraint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价值→战略/目标/角色/成果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</w:t>
            </w:r>
          </w:p>
        </w:tc>
        <w:tc>
          <w:tcPr>
            <w:tcW w:type="dxa" w:w="40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Strategy、Objective、Initiative、Metric、Budget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战略→目标→关键任务→预算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营销</w:t>
            </w:r>
          </w:p>
        </w:tc>
        <w:tc>
          <w:tcPr>
            <w:tcW w:type="dxa" w:w="40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MarketInsight、CustomerSegment、Product、Region、SalesPlan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洞察→策略→产品×客户/区域目标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组织</w:t>
            </w:r>
          </w:p>
        </w:tc>
        <w:tc>
          <w:tcPr>
            <w:tcW w:type="dxa" w:w="40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Organization、Position、Employee、Role、Assignment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组织→岗位→任命→员工/角色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</w:t>
            </w:r>
          </w:p>
        </w:tc>
        <w:tc>
          <w:tcPr>
            <w:tcW w:type="dxa" w:w="40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ProcessDefinition、ProcessVersion、Node、Instance、Task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流程→节点→角色→任务→成果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</w:t>
            </w:r>
          </w:p>
        </w:tc>
        <w:tc>
          <w:tcPr>
            <w:tcW w:type="dxa" w:w="40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Competency、Level、Evidence、Assessment、DevelopmentPlan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角色要求↔员工证据↔能力差距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</w:t>
            </w:r>
          </w:p>
        </w:tc>
        <w:tc>
          <w:tcPr>
            <w:tcW w:type="dxa" w:w="40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KnowledgeItem、ExperienceCandidate、Source、Version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来源→候选→审核→发布→角色适用范围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财经</w:t>
            </w:r>
          </w:p>
        </w:tc>
        <w:tc>
          <w:tcPr>
            <w:tcW w:type="dxa" w:w="40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CostLedger、Output、Attribution、Benefit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员工/智能体投入→成果→价值归因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TechnicalNote"/>
        <w:spacing w:before="80" w:after="120"/>
        <w:ind w:left="173" w:right="173"/>
        <w:shd w:fill="FCE8E6"/>
        <w:pBdr>
          <w:top w:val="single" w:sz="5" w:space="4" w:color="E6A09A"/>
          <w:left w:val="single" w:sz="5" w:space="4" w:color="E6A09A"/>
          <w:bottom w:val="single" w:sz="5" w:space="4" w:color="E6A09A"/>
          <w:right w:val="single" w:sz="5" w:space="4" w:color="E6A09A"/>
        </w:pBdr>
      </w:pPr>
      <w:r>
        <w:rPr>
          <w:rFonts w:ascii="Microsoft YaHei" w:hAnsi="Microsoft YaHei" w:eastAsia="微软雅黑"/>
          <w:b/>
          <w:color w:val="000000"/>
          <w:sz w:val="20"/>
        </w:rPr>
        <w:t>主数据原则：</w:t>
      </w:r>
      <w:r>
        <w:rPr>
          <w:rFonts w:ascii="Microsoft YaHei" w:hAnsi="Microsoft YaHei" w:eastAsia="微软雅黑"/>
          <w:color w:val="000000"/>
          <w:sz w:val="20"/>
        </w:rPr>
        <w:t>每类实体必须明确唯一编码、主数据来源、数据所有者、版本、生效期和权限标签。向量库不是主数据源，不能替代关系数据库中的目标、任命、预算和流程状态。</w:t>
      </w: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三、系统架构设计</w:t>
      </w: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 w:val="0"/>
          <w:color w:val="000000"/>
        </w:rPr>
        <w:t>系统采用多智能体架构（Multi-Agent System, MAS），分为三层：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3.1 交互层（显性层）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员工工作台：集成IM、文档、任务管理等日常办公工具。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角色智能体（Role-Agent）：作为常驻助手，通过自然语言与员工交互，提供指导、预警和协同支持。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3.2 协同层（Agent编排层）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多智能体协同引擎：负责管理多个角色智能体之间的通信、任务分发与冲突解决。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流程编排引擎：将业务流程转化为智能体之间的交互协议，驱动流程自动流转。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3.3 底座层（隐性层）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知识图谱与向量数据库：存储战略文档、流程规范、岗位模型、历史经验等非结构化数据。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业务规则引擎：固化BLM、BEM、五看等管理模型，执行价值评估与能力评判逻辑。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数据湖：汇聚业务数据、财务数据、行为数据，支撑指标计算与分析。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3.4 修订后的七层技术架构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300"/>
        <w:gridCol w:w="3200"/>
        <w:gridCol w:w="4524"/>
      </w:tblGrid>
      <w:tr>
        <w:trPr>
          <w:tblHeader w:val="true"/>
          <w:cantSplit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关键组件</w:t>
            </w:r>
          </w:p>
        </w:tc>
        <w:tc>
          <w:tcPr>
            <w:tcW w:type="dxa" w:w="4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1. 渠道层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Web工作台、桌面端、移动端、协同渠道适配器、开放API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4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身份登录、消息触达、工作台嵌入、第三方调用；渠道能力与核心平台解耦。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2. 角色体验层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角色卡、目标中心、任务中心、协同中心、纠偏中心、知识中心</w:t>
            </w:r>
          </w:p>
        </w:tc>
        <w:tc>
          <w:tcPr>
            <w:tcW w:type="dxa" w:w="4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向员工显性展示角色、目标、权限、工作与证据。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3. 智能体运行层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Agent Runtime、Planner、Memory、RAG、Model Router、Evaluator</w:t>
            </w:r>
          </w:p>
        </w:tc>
        <w:tc>
          <w:tcPr>
            <w:tcW w:type="dxa" w:w="4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理解意图、规划、检索、调用工具、生成建议和自检。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4. 管理控制层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价值、战略、角色、能力、组织、政策与版本中心</w:t>
            </w:r>
          </w:p>
        </w:tc>
        <w:tc>
          <w:tcPr>
            <w:tcW w:type="dxa" w:w="4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把管理思想转换为结构化配置、规则和版本。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5. 执行协同层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BPM、任务引擎、事件总线、协同协议、工具网关</w:t>
            </w:r>
          </w:p>
        </w:tc>
        <w:tc>
          <w:tcPr>
            <w:tcW w:type="dxa" w:w="4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维护正式流程状态、任务、事件、幂等、补偿与执行。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6. 数据知识层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关系库、图数据库、向量库、对象存储、数仓、事件库</w:t>
            </w:r>
          </w:p>
        </w:tc>
        <w:tc>
          <w:tcPr>
            <w:tcW w:type="dxa" w:w="4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分别承载主数据、关系、文档、成果、分析和事件。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7. 治理运营层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IAM、策略引擎、审计、可观测性、AI评测、FinOps、数据治理</w:t>
            </w:r>
          </w:p>
        </w:tc>
        <w:tc>
          <w:tcPr>
            <w:tcW w:type="dxa" w:w="4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保障安全、可控、可解释、可运营和成本透明。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3.5 核心运行链路</w:t>
      </w:r>
    </w:p>
    <w:p>
      <w:pPr>
        <w:pStyle w:val="22"/>
        <w:numPr>
          <w:ilvl w:val="0"/>
          <w:numId w:val="5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员工登录Web、桌面端、移动端或已接入的协同渠道，身份服务解析员工、组织、岗位及当前有效角色任命。</w:t>
      </w:r>
    </w:p>
    <w:p>
      <w:pPr>
        <w:pStyle w:val="22"/>
        <w:numPr>
          <w:ilvl w:val="0"/>
          <w:numId w:val="5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角色路由服务加载对应角色智能体实例、目标上下文、流程待办、权限包和适用知识域。</w:t>
      </w:r>
    </w:p>
    <w:p>
      <w:pPr>
        <w:pStyle w:val="22"/>
        <w:numPr>
          <w:ilvl w:val="0"/>
          <w:numId w:val="5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用户请求或业务事件进入Agent Runtime；策略引擎先判断数据可见范围和允许动作等级。</w:t>
      </w:r>
    </w:p>
    <w:p>
      <w:pPr>
        <w:pStyle w:val="22"/>
        <w:numPr>
          <w:ilvl w:val="0"/>
          <w:numId w:val="5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智能体从目标服务、流程服务、业务系统和知识服务检索结构化事实与非结构化知识。</w:t>
      </w:r>
    </w:p>
    <w:p>
      <w:pPr>
        <w:pStyle w:val="22"/>
        <w:numPr>
          <w:ilvl w:val="0"/>
          <w:numId w:val="5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规划器生成步骤；工具网关对每个调用执行参数校验、权限检查、幂等控制和敏感操作拦截。</w:t>
      </w:r>
    </w:p>
    <w:p>
      <w:pPr>
        <w:pStyle w:val="22"/>
        <w:numPr>
          <w:ilvl w:val="0"/>
          <w:numId w:val="5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流程类动作由流程引擎提交或推进；高风险动作进入人工确认节点。</w:t>
      </w:r>
    </w:p>
    <w:p>
      <w:pPr>
        <w:pStyle w:val="22"/>
        <w:numPr>
          <w:ilvl w:val="0"/>
          <w:numId w:val="5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结果返回员工工作台，同时写入任务、证据、审计、Token与成本台账。</w:t>
      </w:r>
    </w:p>
    <w:p>
      <w:pPr>
        <w:pStyle w:val="22"/>
        <w:numPr>
          <w:ilvl w:val="0"/>
          <w:numId w:val="5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在线评测与反馈系统判断回答质量、纠偏准确性和工具执行结果，形成持续改进数据。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3.6 部署与环境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500"/>
        <w:gridCol w:w="3200"/>
        <w:gridCol w:w="4324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环境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4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关键隔离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开发 DEV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开发、单元测试、模拟数据</w:t>
            </w:r>
          </w:p>
        </w:tc>
        <w:tc>
          <w:tcPr>
            <w:tcW w:type="dxa" w:w="4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不得接入生产客户数据；使用脱敏样本。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集成 SIT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跨系统接口、流程和事件联调</w:t>
            </w:r>
          </w:p>
        </w:tc>
        <w:tc>
          <w:tcPr>
            <w:tcW w:type="dxa" w:w="4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独立消息主题、密钥和数据库。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验收 UAT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业务验收、AI评测和权限验证</w:t>
            </w:r>
          </w:p>
        </w:tc>
        <w:tc>
          <w:tcPr>
            <w:tcW w:type="dxa" w:w="4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按角色准备可追溯验收数据集。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生产 PROD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正式业务运行</w:t>
            </w:r>
          </w:p>
        </w:tc>
        <w:tc>
          <w:tcPr>
            <w:tcW w:type="dxa" w:w="4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多可用区、高可用、最小权限、审计与备份。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灾备 DR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重大故障恢复</w:t>
            </w:r>
          </w:p>
        </w:tc>
        <w:tc>
          <w:tcPr>
            <w:tcW w:type="dxa" w:w="4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定期演练RTO/RPO，关键配置和审计异地备份。</w:t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四、显性层：角色智能体（Role-Agent）详细技术需求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4.1 核心需求</w:t>
      </w: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 w:val="0"/>
          <w:color w:val="000000"/>
        </w:rPr>
        <w:t>角色智能体是系统的“触角”，直接与员工交互，需具备以下核心能力：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角色定义与绑定：智能体与具体岗位角色绑定，继承该角色的能力模型、权限范围和业务目标。当员工被任命时，自动配置对应智能体。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战略与价值理解：深刻理解企业级战略内容、业务目标（BSC四个维度：财务、客户、内部流程、学习成长），以及客户价值、企业价值和岗位价值的特定诉求。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目标对齐与协同：主动向下分解目标，向上对齐战略，横向与其他角色智能体协同，确保动作一致性。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行为指导与纠偏：在员工日常工作中提供指导，当发现员工行为背离战略目标或价值要求时，主动发出预警并提供修正建议。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经验蒸馏：持续观察员工的实战操作，提取隐性知识，沉淀为组织级经验。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4.2 角色智能体配置模型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400"/>
        <w:gridCol w:w="4300"/>
        <w:gridCol w:w="3324"/>
      </w:tblGrid>
      <w:tr>
        <w:trPr>
          <w:tblHeader w:val="true"/>
          <w:cantSplit w:val="true"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配置域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必须字段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运行作用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身份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RoleCode、名称、使命、适用组织/项目、版本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确定智能体是谁以及适用边界。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客户/企业/岗位价值项、权重、正负行为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用于任务优先级、纠偏和结果评价。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职责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责任、交付物、决策权、建议权、禁止事项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约束计划与工具调用。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承接目标、关键任务、指标、基线、目标值、周期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形成目标工作台和可追溯任务。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流程版本、节点、输入、输出、SLA、异常路径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决定何时唤醒、需要什么、交付给谁。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协同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上下级、上下游、RACI、铁三角关系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自动发现协同对象和升级路径。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能力项、等级、行为锚点、证据类型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指导员工、评价差距并推荐提升。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知识域、可信来源、失效规则、保密等级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限定RAG检索范围和回答依据。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工具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工具清单、参数约束、动作等级、审批策略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控制查询、草稿、确认后执行或自动执行。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记忆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企业/角色/员工/任务记忆策略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隔离标准知识、个人偏好和临时上下文。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4.3 上下对齐与左右协同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向上对齐：每个角色目标必须能追溯到上级目标、企业战略、价值项和预算；上报内容包含进度、预测、风险、依赖和证据。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向下分解：目标分解必须生成责任角色、指标、时间、资源、验收标准和依赖，不允许只生成自然语言行动建议。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横向协同：通过RACI、流程节点和任务依赖发现协同角色；请求必须包含背景、所需输入、截止时间、格式和共同目标。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冲突处理：指标、资源或优先级冲突时，智能体生成冲突说明和可选方案，由指定决策角色裁决，不由模型私自决定。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协同协议：Agent之间使用结构化消息，包含CorrelationId、目标、任务、发送/接收角色、权限、截止时间、上下文引用和期望输出Schema。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4.4 工作指导与成果交付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任务解释：说明任务来源、价值、目标、上下游、约束、完成标准和风险。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计划生成：输出步骤、里程碑、责任人、时间、依赖、资源和验证方式，可由员工确认后写入任务系统。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过程指导：根据流程节点和能力差距推荐模板、案例、检查表和专家资源。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成果检查：按交付物Schema、质量规则、指标和流程准入条件自动检查，并输出不符合项。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证据归档：把批准后的计划、关键决策、交付物、评审结果和指标变化关联到任务与目标。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4.5 主动纠偏机制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150"/>
        <w:gridCol w:w="5150"/>
        <w:gridCol w:w="2724"/>
      </w:tblGrid>
      <w:tr>
        <w:trPr>
          <w:tblHeader w:val="true"/>
          <w:cantSplit w:val="true"/>
        </w:trP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技术处理</w:t>
            </w:r>
          </w:p>
        </w:tc>
        <w:tc>
          <w:tcPr>
            <w:tcW w:type="dxa" w:w="27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事件触发</w:t>
            </w:r>
          </w:p>
        </w:tc>
        <w:tc>
          <w:tcPr>
            <w:tcW w:type="dxa" w:w="51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监听任务延期、指标异常、流程退回、预算超限、客户反馈、频繁返工等事件。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标准BusinessEvent。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上下文装配</w:t>
            </w:r>
          </w:p>
        </w:tc>
        <w:tc>
          <w:tcPr>
            <w:tcW w:type="dxa" w:w="51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加载任务、目标、价值、流程、资源、历史变更和员工授权范围。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CorrectionContext。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规则检测</w:t>
            </w:r>
          </w:p>
        </w:tc>
        <w:tc>
          <w:tcPr>
            <w:tcW w:type="dxa" w:w="51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执行硬规则、阈值、时限、权限和流程一致性检查。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RuleFindings。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模型判断</w:t>
            </w:r>
          </w:p>
        </w:tc>
        <w:tc>
          <w:tcPr>
            <w:tcW w:type="dxa" w:w="51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对目标相关性、价值冲突和复杂因果进行受控判断。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ModelFinding＋置信度。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证据验证</w:t>
            </w:r>
          </w:p>
        </w:tc>
        <w:tc>
          <w:tcPr>
            <w:tcW w:type="dxa" w:w="51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检查来源、版本、时间、权限和事实一致性。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EvidenceBundle。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风险分级</w:t>
            </w:r>
          </w:p>
        </w:tc>
        <w:tc>
          <w:tcPr>
            <w:tcW w:type="dxa" w:w="51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按影响×紧急度×置信度划分提示、预警、升级。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Severity。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员工交互</w:t>
            </w:r>
          </w:p>
        </w:tc>
        <w:tc>
          <w:tcPr>
            <w:tcW w:type="dxa" w:w="51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展示依据、影响、建议、协同对象；允许接受、驳回或解释。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CorrectionCard。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闭环学习</w:t>
            </w:r>
          </w:p>
        </w:tc>
        <w:tc>
          <w:tcPr>
            <w:tcW w:type="dxa" w:w="51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记录最终判断和业务结果，调整规则阈值和评测集。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FeedbackLabel。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TechnicalNote"/>
        <w:spacing w:before="80" w:after="120"/>
        <w:ind w:left="173" w:right="173"/>
        <w:shd w:fill="FCE8E6"/>
        <w:pBdr>
          <w:top w:val="single" w:sz="5" w:space="4" w:color="E6A09A"/>
          <w:left w:val="single" w:sz="5" w:space="4" w:color="E6A09A"/>
          <w:bottom w:val="single" w:sz="5" w:space="4" w:color="E6A09A"/>
          <w:right w:val="single" w:sz="5" w:space="4" w:color="E6A09A"/>
        </w:pBdr>
      </w:pPr>
      <w:r>
        <w:rPr>
          <w:rFonts w:ascii="Microsoft YaHei" w:hAnsi="Microsoft YaHei" w:eastAsia="微软雅黑"/>
          <w:b/>
          <w:color w:val="000000"/>
          <w:sz w:val="20"/>
        </w:rPr>
        <w:t>纠偏约束：</w:t>
      </w:r>
      <w:r>
        <w:rPr>
          <w:rFonts w:ascii="Microsoft YaHei" w:hAnsi="Microsoft YaHei" w:eastAsia="微软雅黑"/>
          <w:color w:val="000000"/>
          <w:sz w:val="20"/>
        </w:rPr>
        <w:t>任何涉及员工绩效、能力、合规或责任归属的高影响纠偏不得仅基于模型输出；必须引用结构化事实并经过授权管理者复核。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4.6 角色智能体记忆分层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500"/>
        <w:gridCol w:w="3900"/>
        <w:gridCol w:w="3624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记忆类型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3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生命周期与隔离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企业记忆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战略、制度、流程、标准和共享知识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企业级版本管理；按密级授权。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角色记忆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角色最佳实践、常用模板、历史成功模式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随角色版本演进；多人可复用。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员工私有记忆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偏好、学习目标、个人工作习惯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仅本人及授权场景可访问；离任不转交。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任务记忆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当前任务上下文、决策、依赖和临时材料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任务结束后归档、摘要或按策略删除。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会话记忆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短期对话上下文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会话级TTL；敏感字段不进入长期记忆。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4.7 显性工作台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我的角色：当前角色、任命期限、职责、权限、协同关系和角色版本。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我的目标：目标树、四维指标、基线/目标/实际、风险和上级目标关联。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我的任务：待办、流程节点、截止时间、交付物、验收标准和阻塞依赖。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协同中心：待请求、待响应、共同目标、承诺时限和冲突升级。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纠偏中心：风险等级、依据、建议、员工反馈、管理者复核和关闭状态。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成长中心：能力要求、证据、差距、发展行动和学习成果。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经验中心：候选经验、脱敏结果、审核状态、适用范围和复用效果。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AI用量：Token、工具、平台费用、节省时间、成果和成本归因。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4.8 角色智能体功能需求清单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100"/>
        <w:gridCol w:w="4780"/>
        <w:gridCol w:w="3144"/>
      </w:tblGrid>
      <w:tr>
        <w:trPr>
          <w:tblHeader w:val="true"/>
          <w:cantSplit w:val="true"/>
        </w:trP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4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31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RA-001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支持版本化角色模板及发布审批。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可查看历史版本、差异、生效范围和审批记录。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RA-002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支持一人多角色、一角色多人、临时角色和代理。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权限、目标和记忆按任命实例隔离。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RA-003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任命生效后自动实例化角色工作台和智能体。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配置完成时间≤5分钟（建议初始目标）。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RA-004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智能体回答必须按权限检索战略、目标、流程和知识。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越权数据返回率为0。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RA-005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每个任务可追溯到目标、价值和流程。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关键任务关联完整率100%。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RA-006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支持结构化协同请求、承诺、回执和升级。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消息含统一Schema和CorrelationId。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RA-007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支持事件驱动主动提醒和纠偏。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每条纠偏含依据、影响、建议和反馈入口。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RA-008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支持工具动作分级和人工确认。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禁止动作不可调用；高风险动作必须确认。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RA-009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支持角色、员工、任务和会话记忆隔离。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任命撤销后权限和私有记忆访问立即失效。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RA-010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支持经验候选提取、脱敏、审核和发布。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未经审核的经验不得进入正式角色知识库。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RA-011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支持Prompt、知识、模型、工具和策略版本记录。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任一输出可追溯到运行版本。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RA-012</w:t>
            </w:r>
          </w:p>
        </w:tc>
        <w:tc>
          <w:tcPr>
            <w:tcW w:type="dxa" w:w="478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支持员工对建议、纠偏和评价提供反馈。</w:t>
            </w:r>
          </w:p>
        </w:tc>
        <w:tc>
          <w:tcPr>
            <w:tcW w:type="dxa" w:w="314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反馈进入评测集并可被运营人员复核。</w:t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五、隐性层：价值底座与六大管理系统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5.1 底座需求</w:t>
      </w: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 w:val="0"/>
          <w:color w:val="000000"/>
        </w:rPr>
        <w:t>后端底座是系统的“大脑与神经”，负责规则定义与资源调度：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价值定义模块：清晰定义并量化客户价值、企业价值和岗位价值的核心内容与衡量标准。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战略系统模块：基于BLM（业务领先模型）和BEM（业务执行力模型），在双重价值指导下，输出企业级目标、关键任务、战略衡量指标及年度预算。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营销系统模块：基于“五看”（看行业、看市场、看客户、看竞争、看自己）洞察，输出营销战略、销售策略，以及基于产品和区域/客户维度的销售目标与行动方案。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流程系统模块：定义企业核心流程，将各角色智能体映射到流程节点。通过智能体间的交互，自动触发流程流转，实现端到端贯通。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人力资源系统模块：定义角色能力要求，评估智能体（及背后员工）的执行结果。若目标未达成，重新评估能力并给出提升建议；监督经验蒸馏的有效性。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组织系统模块：监督敏捷组织（如“铁三角”）的构建清晰度与协同到位情况。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财经系统模块：记录员工与角色智能体在业务执行中消耗的资源（如Token算力成本）及产出价值，实现精细化核算。</w:t>
      </w:r>
    </w:p>
    <w:p>
      <w:pPr>
        <w:pStyle w:val="TechnicalNote"/>
        <w:spacing w:before="80" w:after="120"/>
        <w:ind w:left="173" w:right="173"/>
        <w:shd w:fill="FCE8E6"/>
        <w:pBdr>
          <w:top w:val="single" w:sz="5" w:space="4" w:color="E6A09A"/>
          <w:left w:val="single" w:sz="5" w:space="4" w:color="E6A09A"/>
          <w:bottom w:val="single" w:sz="5" w:space="4" w:color="E6A09A"/>
          <w:right w:val="single" w:sz="5" w:space="4" w:color="E6A09A"/>
        </w:pBdr>
      </w:pPr>
      <w:r>
        <w:rPr>
          <w:rFonts w:ascii="Microsoft YaHei" w:hAnsi="Microsoft YaHei" w:eastAsia="微软雅黑"/>
          <w:b/>
          <w:color w:val="000000"/>
          <w:sz w:val="20"/>
        </w:rPr>
        <w:t>结构修正：</w:t>
      </w:r>
      <w:r>
        <w:rPr>
          <w:rFonts w:ascii="Microsoft YaHei" w:hAnsi="Microsoft YaHei" w:eastAsia="微软雅黑"/>
          <w:color w:val="000000"/>
          <w:sz w:val="20"/>
        </w:rPr>
        <w:t>本方案统一定义为“一个价值管理底座 + 战略、营销、流程、人力、组织、财经六大管理系统”，解决原文模块数量口径不一致的问题。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5.2 价值管理底座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600"/>
        <w:gridCol w:w="4700"/>
        <w:gridCol w:w="2724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价值类型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结构化内容</w:t>
            </w:r>
          </w:p>
        </w:tc>
        <w:tc>
          <w:tcPr>
            <w:tcW w:type="dxa" w:w="27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典型指标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客户价值</w:t>
            </w:r>
          </w:p>
        </w:tc>
        <w:tc>
          <w:tcPr>
            <w:tcW w:type="dxa" w:w="4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目标客户、需求/痛点、价值主张、客户成功条件、禁止损害行为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NPS、续费率、交付周期、质量、客户业务结果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企业价值</w:t>
            </w:r>
          </w:p>
        </w:tc>
        <w:tc>
          <w:tcPr>
            <w:tcW w:type="dxa" w:w="4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增长、利润、现金、品牌、合规、风险、长期能力和资产沉淀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收入、利润率、现金流、风险损失、复用资产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岗位价值</w:t>
            </w:r>
          </w:p>
        </w:tc>
        <w:tc>
          <w:tcPr>
            <w:tcW w:type="dxa" w:w="4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角色存在理由、主要客户、关键责任、交付物、价值证明和行为边界</w:t>
            </w:r>
          </w:p>
        </w:tc>
        <w:tc>
          <w:tcPr>
            <w:tcW w:type="dxa" w:w="2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目标完成、交付质量、协同贡献、知识贡献、成本效率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25"/>
      </w:pPr>
      <w:r>
        <w:rPr>
          <w:rFonts w:ascii="Microsoft YaHei" w:hAnsi="Microsoft YaHei" w:eastAsia="微软雅黑"/>
          <w:color w:val="000000"/>
        </w:rPr>
        <w:t>价值定义必须支持版本、生效期、适用组织/客户/产品、权重和冲突优先级。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价值项必须关联可量化指标或可审核的行为证据；不能只保存口号。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当客户价值、企业短期收益与长期能力发生冲突时，系统只提供冲突分析和方案，由授权角色决策。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5.3 战略系统</w:t>
      </w:r>
    </w:p>
    <w:p>
      <w:pPr>
        <w:pStyle w:val="4"/>
        <w:keepNext/>
      </w:pPr>
      <w:r>
        <w:rPr>
          <w:rFonts w:ascii="Microsoft YaHei" w:hAnsi="Microsoft YaHei" w:eastAsia="微软雅黑"/>
          <w:b/>
          <w:color w:val="000000"/>
        </w:rPr>
        <w:t>5.3.1 BLM/BEM结构化对象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700"/>
        <w:gridCol w:w="3300"/>
        <w:gridCol w:w="4024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模型阶段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4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输出对象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战略意图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使命、愿景、价值、经营要求</w:t>
            </w:r>
          </w:p>
        </w:tc>
        <w:tc>
          <w:tcPr>
            <w:tcW w:type="dxa" w:w="4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战略主题、目标边界、优先级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市场洞察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五看、客户、竞争、趋势、能力</w:t>
            </w:r>
          </w:p>
        </w:tc>
        <w:tc>
          <w:tcPr>
            <w:tcW w:type="dxa" w:w="4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机会、威胁、关键假设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创新焦点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业务组合、资源和差距</w:t>
            </w:r>
          </w:p>
        </w:tc>
        <w:tc>
          <w:tcPr>
            <w:tcW w:type="dxa" w:w="4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增长机会、创新议题、取舍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业务设计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客户选择、价值主张、价值获取</w:t>
            </w:r>
          </w:p>
        </w:tc>
        <w:tc>
          <w:tcPr>
            <w:tcW w:type="dxa" w:w="4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业务模式、关键能力、风险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关键任务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战略选择与能力差距</w:t>
            </w:r>
          </w:p>
        </w:tc>
        <w:tc>
          <w:tcPr>
            <w:tcW w:type="dxa" w:w="4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Initiative、Owner、里程碑、预算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正式组织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组织、流程、人才和治理</w:t>
            </w:r>
          </w:p>
        </w:tc>
        <w:tc>
          <w:tcPr>
            <w:tcW w:type="dxa" w:w="4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责任结构、流程、能力与机制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人才与氛围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能力现状和文化要求</w:t>
            </w:r>
          </w:p>
        </w:tc>
        <w:tc>
          <w:tcPr>
            <w:tcW w:type="dxa" w:w="4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角色能力、发展行动、激励方向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领导力与价值观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行为要求与决策原则</w:t>
            </w:r>
          </w:p>
        </w:tc>
        <w:tc>
          <w:tcPr>
            <w:tcW w:type="dxa" w:w="4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领导动作、价值约束和复盘机制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4"/>
        <w:keepNext/>
      </w:pPr>
      <w:r>
        <w:rPr>
          <w:rFonts w:ascii="Microsoft YaHei" w:hAnsi="Microsoft YaHei" w:eastAsia="微软雅黑"/>
          <w:b/>
          <w:color w:val="000000"/>
        </w:rPr>
        <w:t>5.3.2 目标与指标模型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目标对象包含ObjectiveId、父目标、责任组织/角色、周期、状态、置信度、价值关联、预算和版本。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指标对象包含指标口径、公式、单位、维度、数据源、更新频率、基线、目标、阈值和数据负责人。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BSC四维指标必须显示因果关系：学习成长→内部流程→客户→财务，不能只做四类标签。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目标分解必须记录“承接/贡献/约束”关系，允许多个角色共同贡献，但必须明确主要责任角色。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战略或指标口径变更时保留历史版本，并对下游任务、预算、流程和评价执行影响分析。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5.4 营销系统</w:t>
      </w: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 w:val="0"/>
          <w:color w:val="000000"/>
        </w:rPr>
        <w:t>营销模块负责把洞察、策略、目标和行动方案连接到客户、产品、区域与角色。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700"/>
        <w:gridCol w:w="4000"/>
        <w:gridCol w:w="3324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能力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技术实现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主要输出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五看洞察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文档解析＋结构化数据分析＋人工确认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事实、假设、机会、风险、证据和可信度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市场/客户分层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客户标签、行为、价值与潜力模型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Segment、Persona、需求和成功标准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营销战略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价值主张、渠道、内容、品牌和竞争策略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版本化策略及适用范围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销售策略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产品×区域/客户目标矩阵、覆盖与转化策略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销售目标、Pipeline要求、行动计划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行动闭环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任务、活动、客户反馈、商机和结果事件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进度、偏差、策略复盘和经验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5.5 流程系统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流程定义采用BPMN或等价的可执行状态机，包含版本、触发器、节点、网关、人工任务、服务任务、计时器、异常和补偿。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每个流程节点绑定责任角色而不是固定员工；运行时根据有效任命解析具体员工及角色智能体实例。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节点配置输入Schema、输出Schema、准入条件、SLA、工具、权限、交付物和验收规则。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智能体在节点中可承担指导、生成草稿、自动校验或受控执行；节点完成状态只能由流程引擎确认。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所有写操作必须幂等；流程重试不能重复创建合同、审批、订单或客户通知。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异常路径需支持超时、退回、转办、加签、撤销、终止、补偿和人工接管。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5.6 人力资源系统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600"/>
        <w:gridCol w:w="3800"/>
        <w:gridCol w:w="3624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关键字段</w:t>
            </w:r>
          </w:p>
        </w:tc>
        <w:tc>
          <w:tcPr>
            <w:tcW w:type="dxa" w:w="3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能力项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CompetencyCode、定义、适用角色、能力类别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知识、技能、经验、行为和工具能力。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能力等级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等级、行为锚点、任务复杂度、证据要求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避免只用抽象的1-5级评分。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能力证据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任务、成果、评审、指标、时间、来源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证据必须可追溯且在有效期内。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差距分析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角色要求、员工证据、上下文归因、置信度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目标未达成不自动等于能力不足。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发展计划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行动、课程、实践任务、导师、期限、验证方式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优先用真实任务提升能力。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4"/>
        <w:keepNext/>
      </w:pPr>
      <w:r>
        <w:rPr>
          <w:rFonts w:ascii="Microsoft YaHei" w:hAnsi="Microsoft YaHei" w:eastAsia="微软雅黑"/>
          <w:b/>
          <w:color w:val="000000"/>
        </w:rPr>
        <w:t>5.6.1 结果归因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在能力评价前先判断目标合理性、资源、权限、流程、上下游、市场变化和员工能力等因素。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AI只生成归因候选和证据摘要；高影响能力结论由员工、直属管理者和人力按权限共同确认。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员工有权查看与自身相关的证据、评价逻辑和改进建议，并可补充证据或提出异议。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5.7 组织系统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维护部门、岗位、人员、角色、汇报、决策、协同、项目组织和临时授权关系。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铁三角配置必须明确共同客户目标、客户责任角色、解决方案责任角色、交付责任角色、共享指标和冲突裁决人。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协同健康度不能只看消息频率，应综合任务响应时长、输入输出完整率、流程退回率、承诺兑现率、客户问题闭环率和共同目标结果。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组织调整时自动执行目标、流程、权限、任务和角色智能体影响分析，防止“组织已变但系统关系未变”。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5.8 财经与AI FinOps系统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600"/>
        <w:gridCol w:w="4200"/>
        <w:gridCol w:w="3224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台账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记录内容</w:t>
            </w:r>
          </w:p>
        </w:tc>
        <w:tc>
          <w:tcPr>
            <w:tcW w:type="dxa" w:w="3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归集维度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AI成本台账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输入/输出Token、缓存、模型、工具、API、运行时、存储和检索</w:t>
            </w:r>
          </w:p>
        </w:tc>
        <w:tc>
          <w:tcPr>
            <w:tcW w:type="dxa" w:w="3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员工、角色、任务、流程、客户、项目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人工投入台账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工时、审核、返工和协同投入</w:t>
            </w:r>
          </w:p>
        </w:tc>
        <w:tc>
          <w:tcPr>
            <w:tcW w:type="dxa" w:w="3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岗位、角色、任务、成本中心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成果台账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交付物、质量、周期、商机、合同、知识资产和风险降低</w:t>
            </w:r>
          </w:p>
        </w:tc>
        <w:tc>
          <w:tcPr>
            <w:tcW w:type="dxa" w:w="3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任务、目标、客户、产品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价值归因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直接贡献、辅助贡献、可避免成本、长期能力和置信度</w:t>
            </w:r>
          </w:p>
        </w:tc>
        <w:tc>
          <w:tcPr>
            <w:tcW w:type="dxa" w:w="3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角色、团队、智能体版本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25"/>
      </w:pPr>
      <w:r>
        <w:rPr>
          <w:rFonts w:ascii="Microsoft YaHei" w:hAnsi="Microsoft YaHei" w:eastAsia="微软雅黑"/>
          <w:color w:val="000000"/>
        </w:rPr>
        <w:t>ROI公式应按场景配置：ROI=(经确认收益+可避免成本-总投入)/总投入，不直接把合同金额视为AI产出。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多角色协同成果采用规则＋人工确认的分摊模型，保留归因依据和不确定性。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建立角色/任务预算、成本预警、模型路由、缓存、批处理和小模型优先策略。</w:t>
      </w: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六、目标对齐、流程协同与主动纠偏机制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6.1 目标追溯链</w:t>
      </w:r>
    </w:p>
    <w:p>
      <w:pPr>
        <w:pStyle w:val="22"/>
        <w:keepNext w:val="0"/>
      </w:pPr>
      <w:r>
        <w:rPr>
          <w:rFonts w:ascii="Microsoft YaHei" w:hAnsi="Microsoft YaHei" w:eastAsia="微软雅黑"/>
          <w:b/>
          <w:i w:val="0"/>
          <w:color w:val="000000"/>
        </w:rPr>
        <w:t>系统必须形成：价值→战略主题→企业目标→部门目标→团队/项目目标→角色目标→关键任务→流程任务→工作成果→指标结果→复盘结论。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2000"/>
        <w:gridCol w:w="7024"/>
      </w:tblGrid>
      <w:tr>
        <w:trPr>
          <w:tblHeader w:val="true"/>
          <w:cantSplit w:val="true"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校验项</w:t>
            </w:r>
          </w:p>
        </w:tc>
        <w:tc>
          <w:tcPr>
            <w:tcW w:type="dxa" w:w="7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目标完整性</w:t>
            </w:r>
          </w:p>
        </w:tc>
        <w:tc>
          <w:tcPr>
            <w:tcW w:type="dxa" w:w="7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目标必须有责任主体、周期、指标、目标值、数据源、价值关联和上级来源。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任务相关性</w:t>
            </w:r>
          </w:p>
        </w:tc>
        <w:tc>
          <w:tcPr>
            <w:tcW w:type="dxa" w:w="7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关键任务必须说明对目标的贡献类型和预期贡献。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成果有效性</w:t>
            </w:r>
          </w:p>
        </w:tc>
        <w:tc>
          <w:tcPr>
            <w:tcW w:type="dxa" w:w="7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成果必须满足Schema、质量规则、验收人和证据要求。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指标一致性</w:t>
            </w:r>
          </w:p>
        </w:tc>
        <w:tc>
          <w:tcPr>
            <w:tcW w:type="dxa" w:w="7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指标公式、维度和口径版本必须一致；变更后重新计算影响。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预算约束</w:t>
            </w:r>
          </w:p>
        </w:tc>
        <w:tc>
          <w:tcPr>
            <w:tcW w:type="dxa" w:w="70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任务消耗必须关联预算或明确例外批准。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6.2 业务事件标准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2200"/>
        <w:gridCol w:w="6824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EventId / EventType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唯一事件ID和业务事件类型。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OccurredAt / ProducedAt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业务发生时间和系统生成时间。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Subject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员工、角色、目标、任务、流程、客户或指标对象。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OrganizationScope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组织、项目、客户和数据访问范围。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Payload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版本化JSON Schema，禁止无结构任意文本作为核心状态。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CorrelationId / CausationId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贯穿一次协同或流程链路，支持因果追溯。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Sensitivity / Retention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敏感级别、保留期限和脱敏策略。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Source / EvidenceRefs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来源系统、来源记录和证据引用。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6.3 Agent协同协议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Request：请求另一角色提供输入、评审、决策或执行。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Commit：接收角色承诺交付内容和时间。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Deliver：提交结构化成果及证据。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Accept/Reject：验收或退回，并说明标准和不符合项。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Escalate：因冲突、超时、权限或资源问题升级到指定决策角色。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Cancel：由授权角色取消请求，记录影响和补偿动作。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6.4 纠偏规则分类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600"/>
        <w:gridCol w:w="4100"/>
        <w:gridCol w:w="3324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示例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优先实现方式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硬约束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越权、流程步骤缺失、预算超限、必填成果缺失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规则引擎，确定性判断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阈值异常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指标偏差、超时、退回率、返工率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指标引擎＋事件规则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目标偏离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任务与目标贡献弱、优先级与战略不一致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关系图＋模型判断＋证据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价值冲突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短期收入损害客户长期价值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价值规则＋情景分析＋人工决策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协同风险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依赖未响应、承诺冲突、铁三角信息不一致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协同事件与SLA</w:t>
            </w:r>
          </w:p>
        </w:tc>
      </w:tr>
      <w:tr>
        <w:trPr>
          <w:cantSplit w:val="true"/>
        </w:trP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能力风险</w:t>
            </w:r>
          </w:p>
        </w:tc>
        <w:tc>
          <w:tcPr>
            <w:tcW w:type="dxa" w:w="41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连续相似错误且排除资源/流程因素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证据归因＋管理者复核</w:t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七、数据、知识、记忆与经验蒸馏体系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7.1 数据存储分工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550"/>
        <w:gridCol w:w="4300"/>
        <w:gridCol w:w="3174"/>
      </w:tblGrid>
      <w:tr>
        <w:trPr>
          <w:tblHeader w:val="true"/>
          <w:cantSplit w:val="true"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存储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承载内容</w:t>
            </w:r>
          </w:p>
        </w:tc>
        <w:tc>
          <w:tcPr>
            <w:tcW w:type="dxa" w:w="31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5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关系数据库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组织、岗位、角色、任命、目标、指标、预算、任务、流程状态</w:t>
            </w:r>
          </w:p>
        </w:tc>
        <w:tc>
          <w:tcPr>
            <w:tcW w:type="dxa" w:w="31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不得只把这些对象放入向量库。</w:t>
            </w:r>
          </w:p>
        </w:tc>
      </w:tr>
      <w:tr>
        <w:trPr>
          <w:cantSplit w:val="true"/>
        </w:trPr>
        <w:tc>
          <w:tcPr>
            <w:tcW w:type="dxa" w:w="15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图数据库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目标承接、角色协同、流程关系、客户/产品关系和影响分析</w:t>
            </w:r>
          </w:p>
        </w:tc>
        <w:tc>
          <w:tcPr>
            <w:tcW w:type="dxa" w:w="31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图关系必须来自受控主数据。</w:t>
            </w:r>
          </w:p>
        </w:tc>
      </w:tr>
      <w:tr>
        <w:trPr>
          <w:cantSplit w:val="true"/>
        </w:trPr>
        <w:tc>
          <w:tcPr>
            <w:tcW w:type="dxa" w:w="15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向量数据库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制度、案例、经验、研报、文档切片及Embedding</w:t>
            </w:r>
          </w:p>
        </w:tc>
        <w:tc>
          <w:tcPr>
            <w:tcW w:type="dxa" w:w="31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不得作为权限和业务状态权威。</w:t>
            </w:r>
          </w:p>
        </w:tc>
      </w:tr>
      <w:tr>
        <w:trPr>
          <w:cantSplit w:val="true"/>
        </w:trPr>
        <w:tc>
          <w:tcPr>
            <w:tcW w:type="dxa" w:w="15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对象存储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原始文档、成果、附件、音视频和模型产物</w:t>
            </w:r>
          </w:p>
        </w:tc>
        <w:tc>
          <w:tcPr>
            <w:tcW w:type="dxa" w:w="31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必须加密、版本化并关联元数据。</w:t>
            </w:r>
          </w:p>
        </w:tc>
      </w:tr>
      <w:tr>
        <w:trPr>
          <w:cantSplit w:val="true"/>
        </w:trPr>
        <w:tc>
          <w:tcPr>
            <w:tcW w:type="dxa" w:w="15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事件存储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业务事件、协同消息、纠偏事件和运行轨迹</w:t>
            </w:r>
          </w:p>
        </w:tc>
        <w:tc>
          <w:tcPr>
            <w:tcW w:type="dxa" w:w="31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事件不可随意覆盖，采用追加和补偿。</w:t>
            </w:r>
          </w:p>
        </w:tc>
      </w:tr>
      <w:tr>
        <w:trPr>
          <w:cantSplit w:val="true"/>
        </w:trPr>
        <w:tc>
          <w:tcPr>
            <w:tcW w:type="dxa" w:w="15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数据仓库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指标、成本、产出、组织和经营分析</w:t>
            </w:r>
          </w:p>
        </w:tc>
        <w:tc>
          <w:tcPr>
            <w:tcW w:type="dxa" w:w="31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口径必须与指标服务一致。</w:t>
            </w:r>
          </w:p>
        </w:tc>
      </w:tr>
      <w:tr>
        <w:trPr>
          <w:cantSplit w:val="true"/>
        </w:trPr>
        <w:tc>
          <w:tcPr>
            <w:tcW w:type="dxa" w:w="15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审计库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访问、检索、Prompt、工具调用、审批和结果</w:t>
            </w:r>
          </w:p>
        </w:tc>
        <w:tc>
          <w:tcPr>
            <w:tcW w:type="dxa" w:w="317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防篡改、分级留存、受限访问。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7.2 知识治理流程</w:t>
      </w:r>
    </w:p>
    <w:p>
      <w:pPr>
        <w:pStyle w:val="22"/>
        <w:numPr>
          <w:ilvl w:val="0"/>
          <w:numId w:val="6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采集：连接文档、知识库和业务系统，登记来源、所有者、密级、适用范围和保留期。</w:t>
      </w:r>
    </w:p>
    <w:p>
      <w:pPr>
        <w:pStyle w:val="22"/>
        <w:numPr>
          <w:ilvl w:val="0"/>
          <w:numId w:val="6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解析：版面解析、表格抽取、OCR和元数据提取，保存原文与解析版本。</w:t>
      </w:r>
    </w:p>
    <w:p>
      <w:pPr>
        <w:pStyle w:val="22"/>
        <w:numPr>
          <w:ilvl w:val="0"/>
          <w:numId w:val="6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切分：按标题、语义和业务对象切分；保留文档ID、章节、页码和版本。</w:t>
      </w:r>
    </w:p>
    <w:p>
      <w:pPr>
        <w:pStyle w:val="22"/>
        <w:numPr>
          <w:ilvl w:val="0"/>
          <w:numId w:val="6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审核：业务责任人确认准确性、有效期和访问范围。</w:t>
      </w:r>
    </w:p>
    <w:p>
      <w:pPr>
        <w:pStyle w:val="22"/>
        <w:numPr>
          <w:ilvl w:val="0"/>
          <w:numId w:val="6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索引：建立关键词、向量和结构化索引；敏感内容按权限分库或检索前过滤。</w:t>
      </w:r>
    </w:p>
    <w:p>
      <w:pPr>
        <w:pStyle w:val="22"/>
        <w:numPr>
          <w:ilvl w:val="0"/>
          <w:numId w:val="6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检索：采用权限过滤→混合召回→重排→证据组装→生成→引用校验。</w:t>
      </w:r>
    </w:p>
    <w:p>
      <w:pPr>
        <w:pStyle w:val="22"/>
        <w:numPr>
          <w:ilvl w:val="0"/>
          <w:numId w:val="6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反馈：记录无答案、错误引用、过期知识和员工反馈。</w:t>
      </w:r>
    </w:p>
    <w:p>
      <w:pPr>
        <w:pStyle w:val="22"/>
        <w:numPr>
          <w:ilvl w:val="0"/>
          <w:numId w:val="6"/>
        </w:numPr>
        <w:spacing w:after="60" w:line="276" w:lineRule="auto"/>
      </w:pPr>
      <w:r>
        <w:rPr>
          <w:rFonts w:ascii="Microsoft YaHei" w:hAnsi="Microsoft YaHei" w:eastAsia="微软雅黑"/>
          <w:color w:val="000000"/>
        </w:rPr>
        <w:t>下架：失效知识停止召回但保留审计；新版本建立替代关系。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7.3 经验蒸馏治理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500"/>
        <w:gridCol w:w="5824"/>
        <w:gridCol w:w="170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5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控制要求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候选识别</w:t>
            </w:r>
          </w:p>
        </w:tc>
        <w:tc>
          <w:tcPr>
            <w:tcW w:type="dxa" w:w="5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从高质量成果、复盘和经授权交互中提取，不采集无关私人内容。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Candidate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脱敏去标识</w:t>
            </w:r>
          </w:p>
        </w:tc>
        <w:tc>
          <w:tcPr>
            <w:tcW w:type="dxa" w:w="5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移除个人隐私、客户秘密、凭证和不必要身份信息。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Sanitized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结构化</w:t>
            </w:r>
          </w:p>
        </w:tc>
        <w:tc>
          <w:tcPr>
            <w:tcW w:type="dxa" w:w="5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提取场景、问题、步骤、前提、反例、风险、效果和适用边界。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Structured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专家审核</w:t>
            </w:r>
          </w:p>
        </w:tc>
        <w:tc>
          <w:tcPr>
            <w:tcW w:type="dxa" w:w="5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由角色负责人或领域专家确认事实与可复用性。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Approved/Rejected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验证</w:t>
            </w:r>
          </w:p>
        </w:tc>
        <w:tc>
          <w:tcPr>
            <w:tcW w:type="dxa" w:w="5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在测试集或小范围任务验证效果和副作用。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Validated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5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发布到指定角色/组织知识域，记录版本和贡献者。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Published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运营</w:t>
            </w:r>
          </w:p>
        </w:tc>
        <w:tc>
          <w:tcPr>
            <w:tcW w:type="dxa" w:w="5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观察召回、采纳、效果、投诉和过期风险。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Monitored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下架/回滚</w:t>
            </w:r>
          </w:p>
        </w:tc>
        <w:tc>
          <w:tcPr>
            <w:tcW w:type="dxa" w:w="5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错误、失效或风险知识停止使用并回滚。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Retired</w:t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八、智能体平台、模型、工具与集成实现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8.1 自研总体技术路线</w:t>
      </w: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 w:val="0"/>
          <w:color w:val="000000"/>
        </w:rPr>
        <w:t>本方案采用“应用与数据能力自研、基础模型通过API接入”的技术路线。企业自主建设智能体控制平面、Agent Runtime、任务编排、知识采集与RAG、工具网关、权限策略、审计、评测和运营体系；大模型通过统一模型API网关接入，不采购或依赖任何厂商的智能体开发平台、托管知识库或托管RAG。</w:t>
      </w:r>
    </w:p>
    <w:p>
      <w:pPr>
        <w:pStyle w:val="4"/>
        <w:keepNext/>
      </w:pPr>
      <w:r>
        <w:rPr>
          <w:rFonts w:ascii="Microsoft YaHei" w:hAnsi="Microsoft YaHei" w:eastAsia="微软雅黑"/>
          <w:b/>
          <w:color w:val="000000"/>
        </w:rPr>
        <w:t>8.1.1 自研角色智能体平台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Agent Runtime：自主实现会话上下文、规划执行、状态机、任务队列、步数/时间/预算限制、失败重试、人工接管和多智能体协同协议；核心运行状态保存在企业自有数据库。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配置中心：自主实现角色模板、System Prompt、模型参数、知识域、工具策略、输出Schema和审批规则的版本化管理，支持草稿、测试、发布、灰度、回滚与审计。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自研知识库与RAG：自主实现文档接入、对象存储、解析、OCR、切分、Embedding、关键词/向量混合检索、重排、权限前置过滤、证据组装、引用校验、版本管理和质量评测。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工具调用：自主建设工具注册中心和工具网关，对内部IT系统API执行身份传递、参数校验、最小权限、幂等、限流、DryRun、人工审批、执行回执和补偿控制。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渠道适配：通过自研开放接口和适配器接入Web、桌面端、移动端及现有协同软件；渠道仅承担身份、消息和入口，不承载智能体编排、知识检索或企业权限判断。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8.2 平台路线决策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2200"/>
        <w:gridCol w:w="3000"/>
        <w:gridCol w:w="2300"/>
        <w:gridCol w:w="1524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  <w:t>自研组件</w:t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  <w:t>主要职责</w:t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  <w:t>关键实现</w:t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  <w:t>控制边界</w:t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  <w:t>智能体控制平面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角色模板、配置、发布、路由、策略、运营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版本化配置、灰度、回滚、租户隔离、评测门禁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1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不在Prompt中固化业务主数据和权限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  <w:t>Agent Runtime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上下文、状态机、任务编排、多智能体协同、人工接管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队列驱动、幂等、超时、重试、预算与步数限制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1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模型只负责推理，运行状态由企业平台掌控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  <w:t>自研知识与RAG平台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采集、解析、切分、索引、检索、重排、引用、治理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对象存储＋关系库＋全文索引＋向量索引＋检索评测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15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权限在召回前过滤；向量库不作为权限和主数据权威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</w:tr>
    </w:tbl>
    <w:p>
      <w:pPr>
        <w:pStyle w:val="22"/>
        <w:keepNext w:val="0"/>
        <w:spacing w:after="60"/>
      </w:pPr>
    </w:p>
    <w:p>
      <w:pPr>
        <w:pStyle w:val="TechnicalNote"/>
        <w:spacing w:before="80" w:after="120"/>
        <w:ind w:left="173" w:right="173"/>
        <w:shd w:fill="FCE8E6"/>
        <w:pBdr>
          <w:top w:val="single" w:sz="5" w:space="4" w:color="E6A09A"/>
          <w:left w:val="single" w:sz="5" w:space="4" w:color="E6A09A"/>
          <w:bottom w:val="single" w:sz="5" w:space="4" w:color="E6A09A"/>
          <w:right w:val="single" w:sz="5" w:space="4" w:color="E6A09A"/>
        </w:pBdr>
      </w:pPr>
      <w:r>
        <w:rPr>
          <w:rFonts w:ascii="Microsoft YaHei" w:hAnsi="Microsoft YaHei" w:eastAsia="微软雅黑"/>
          <w:b/>
          <w:color w:val="000000"/>
          <w:sz w:val="20"/>
        </w:rPr>
        <w:t>自研边界：企业负责智能体平台、知识库、RAG、权限、流程、工具、审计、评测及数据资产；模型服务商只通过标准API提供推理能力。所有模型请求必须经过企业模型网关，业务系统不得直接调用模型。</w:t>
      </w:r>
      <w:r>
        <w:rPr>
          <w:rFonts w:ascii="Microsoft YaHei" w:hAnsi="Microsoft YaHei" w:eastAsia="微软雅黑"/>
          <w:color w:val="000000"/>
          <w:sz w:val="20"/>
        </w:rPr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8.3 模型路由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800"/>
        <w:gridCol w:w="3500"/>
        <w:gridCol w:w="3724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任务类型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模型策略</w:t>
            </w:r>
          </w:p>
        </w:tc>
        <w:tc>
          <w:tcPr>
            <w:tcW w:type="dxa" w:w="37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控制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事实问答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中小模型＋混合检索＋重排</w:t>
            </w:r>
          </w:p>
        </w:tc>
        <w:tc>
          <w:tcPr>
            <w:tcW w:type="dxa" w:w="3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要求引用、低温度、无证据不回答。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复杂战略分析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高能力推理模型</w:t>
            </w:r>
          </w:p>
        </w:tc>
        <w:tc>
          <w:tcPr>
            <w:tcW w:type="dxa" w:w="3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分步推理结果不直接公开；输出假设和证据。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结构化抽取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小模型/专用模型</w:t>
            </w:r>
          </w:p>
        </w:tc>
        <w:tc>
          <w:tcPr>
            <w:tcW w:type="dxa" w:w="3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JSON Schema校验和重试上限。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分类与规则判断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规则优先，小模型补充</w:t>
            </w:r>
          </w:p>
        </w:tc>
        <w:tc>
          <w:tcPr>
            <w:tcW w:type="dxa" w:w="3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关键合规判断不得仅依赖生成模型。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长文生成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高能力生成模型</w:t>
            </w:r>
          </w:p>
        </w:tc>
        <w:tc>
          <w:tcPr>
            <w:tcW w:type="dxa" w:w="3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模板约束、事实校验、敏感信息检查。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高频后台任务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批处理、缓存、小模型优先</w:t>
            </w:r>
          </w:p>
        </w:tc>
        <w:tc>
          <w:tcPr>
            <w:tcW w:type="dxa" w:w="3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成本预算、限流和降级。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8.4 Prompt与Agent配置工程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Prompt只承载行为指令，不直接复制全部战略、流程和制度；动态上下文通过结构化服务和RAG注入。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Prompt模板包括角色身份、目标、约束、工具政策、输出Schema、拒绝条件和升级规则。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所有Prompt、模型参数、工具描述、知识索引和策略具有VersionId，可灰度、回滚和A/B测试。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运行时保存AgentRunId、模型、Token、输入摘要、检索证据、工具调用、审批、输出和评测结果。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8.5 工具网关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900"/>
        <w:gridCol w:w="7124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能力</w:t>
            </w:r>
          </w:p>
        </w:tc>
        <w:tc>
          <w:tcPr>
            <w:tcW w:type="dxa" w:w="71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技术要求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统一注册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工具ID、版本、Owner、输入/输出Schema、超时、重试、幂等和数据分类。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身份透传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以员工＋角色任命的组合身份执行，不使用共享超级账号。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策略执行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RBAC＋ABAC＋任务上下文，动作分级和人工确认。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参数校验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JSON Schema、枚举、范围、敏感字段和业务规则校验。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执行保护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超时、熔断、限流、幂等键、补偿和沙箱。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审计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记录调用者、角色、工具、参数摘要、结果、耗时、成本和审批人。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8.6 协同渠道与工作台集成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采用统一企业智能工作台，根据登录员工和有效任命路由到不同角色智能体；不为每个角色建设独立机器人，避免身份、权限、知识和运营配置分散。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渠道侧只负责身份登录、消息触达、待办通知和工作台入口；复杂目标、任务、纠偏、知识引用、审批和能力界面由自研Web/桌面工作台提供。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渠道适配层统一处理消息模板、频率控制、免打扰、签名验真、失败重试、回执和幂等；新增渠道只实现适配器，不改变Agent Runtime和知识服务。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外部渠道用户标识与企业EmployeeId建立受控映射；员工离职、组织变更或授权失效事件必须触发会话失效、权限回收和缓存清理。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8.7 外部系统集成清单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450"/>
        <w:gridCol w:w="2850"/>
        <w:gridCol w:w="2824"/>
        <w:gridCol w:w="1900"/>
      </w:tblGrid>
      <w:tr>
        <w:trPr>
          <w:tblHeader w:val="true"/>
          <w:cantSplit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系统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读取</w:t>
            </w:r>
          </w:p>
        </w:tc>
        <w:tc>
          <w:tcPr>
            <w:tcW w:type="dxa" w:w="2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写入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集成方式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HRIS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员工、组织、岗位、任命、状态</w:t>
            </w:r>
          </w:p>
        </w:tc>
        <w:tc>
          <w:tcPr>
            <w:tcW w:type="dxa" w:w="2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角色任命建议/能力结果（需审批）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API＋组织变更事件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CRM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客户、商机、活动、合同、反馈</w:t>
            </w:r>
          </w:p>
        </w:tc>
        <w:tc>
          <w:tcPr>
            <w:tcW w:type="dxa" w:w="2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协同任务、销售计划草稿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API＋CDC/事件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ERP/财务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预算、成本、订单、收入、回款</w:t>
            </w:r>
          </w:p>
        </w:tc>
        <w:tc>
          <w:tcPr>
            <w:tcW w:type="dxa" w:w="2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预算申请/核算凭证草稿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API/ESB，关键写入需确认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OA/BPM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流程、待办、审批结果</w:t>
            </w:r>
          </w:p>
        </w:tc>
        <w:tc>
          <w:tcPr>
            <w:tcW w:type="dxa" w:w="2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发起、提交、撤回、查询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OpenAPI＋Webhook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项目/任务系统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项目、任务、里程碑、缺陷</w:t>
            </w:r>
          </w:p>
        </w:tc>
        <w:tc>
          <w:tcPr>
            <w:tcW w:type="dxa" w:w="2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任务、评论、状态草稿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API＋事件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知识/文档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制度、模板、文档、权限</w:t>
            </w:r>
          </w:p>
        </w:tc>
        <w:tc>
          <w:tcPr>
            <w:tcW w:type="dxa" w:w="2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经审核知识和成果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连接器＋增量同步</w:t>
            </w:r>
          </w:p>
        </w:tc>
      </w:tr>
      <w:tr>
        <w:trPr>
          <w:cantSplit w:val="true"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数据平台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指标、明细、维度和口径</w:t>
            </w:r>
          </w:p>
        </w:tc>
        <w:tc>
          <w:tcPr>
            <w:tcW w:type="dxa" w:w="2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AI运行和反馈数据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SQL/API/消息</w:t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九、权限、安全、隐私、审计与AI治理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9.1 身份与授权模型</w:t>
      </w:r>
    </w:p>
    <w:p>
      <w:pPr>
        <w:pStyle w:val="22"/>
        <w:keepNext w:val="0"/>
      </w:pPr>
      <w:r>
        <w:rPr>
          <w:rFonts w:ascii="Microsoft YaHei" w:hAnsi="Microsoft YaHei" w:eastAsia="微软雅黑"/>
          <w:b/>
          <w:i w:val="0"/>
          <w:color w:val="000000"/>
        </w:rPr>
        <w:t>有效权限 = 员工基础权限 ∩ 角色任命权限 ∩ 组织/项目范围 ∩ 数据标签策略 ∩ 当前任务上下文 ∩ 动作风险策略。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800"/>
        <w:gridCol w:w="7224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控制</w:t>
            </w:r>
          </w:p>
        </w:tc>
        <w:tc>
          <w:tcPr>
            <w:tcW w:type="dxa" w:w="7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认证</w:t>
            </w:r>
          </w:p>
        </w:tc>
        <w:tc>
          <w:tcPr>
            <w:tcW w:type="dxa" w:w="7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企业SSO、MFA、短期Token、服务身份和密钥轮换。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RBAC</w:t>
            </w:r>
          </w:p>
        </w:tc>
        <w:tc>
          <w:tcPr>
            <w:tcW w:type="dxa" w:w="7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按岗位/角色授予基础权限包。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ABAC</w:t>
            </w:r>
          </w:p>
        </w:tc>
        <w:tc>
          <w:tcPr>
            <w:tcW w:type="dxa" w:w="7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按组织、客户、项目、数据密级、地域、时间和任务状态动态判断。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职责分离</w:t>
            </w:r>
          </w:p>
        </w:tc>
        <w:tc>
          <w:tcPr>
            <w:tcW w:type="dxa" w:w="7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申请、审批、执行、验收和审计不得由同一智能体自动完成。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临时授权</w:t>
            </w:r>
          </w:p>
        </w:tc>
        <w:tc>
          <w:tcPr>
            <w:tcW w:type="dxa" w:w="7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有原因、范围、期限、批准人和自动回收。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紧急访问</w:t>
            </w:r>
          </w:p>
        </w:tc>
        <w:tc>
          <w:tcPr>
            <w:tcW w:type="dxa" w:w="72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Break-glass双人授权、全量审计和事后复核。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9.2 数据安全与隐私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数据分级分类：公开、内部、敏感、机密；客户数据、员工数据、战略和财务数据分别制定访问策略。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传输和静态加密；密钥由KMS管理，禁止在Prompt、日志或前端暴露API Key和Secret。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发送模型前执行字段级脱敏、最小化和用途限制；对外部模型明确数据保留和训练政策。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对员工工作数据进行目的限定、知情告知、权限审查和保留期管理；禁止采集与履职无关的私人内容。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RAG检索必须在召回前做权限过滤，并在生成后再次执行敏感信息检查，避免跨角色泄露。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9.3 AI安全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900"/>
        <w:gridCol w:w="7124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71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提示注入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文档内容与系统指令隔离；工具调用不接受知识文档中的指令；输入输出安全分类。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幻觉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结构化事实优先、强制引用、无证据拒答、关键字段二次查询。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越权工具调用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工具网关策略、短期凭证、动作分级、参数Schema和人工确认。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恶意文件/链接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文件扫描、沙箱解析、域名允许列表和内容安全检测。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模型漂移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固定版本、回归评测、灰度、监控和回滚。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数据投毒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知识来源白名单、审核、版本、异常检测和发布审批。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自主循环失控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最大步骤、Token、耗时、重试、预算和人工接管阈值。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9.4 审计要求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记录用户、员工、角色任命、AgentRun、模型版本、Prompt版本、检索证据、工具调用、审批、输出和反馈。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日志采用关联ID贯穿消息、流程、任务和工具调用；敏感参数只保存脱敏摘要或哈希。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审计日志与业务日志分离存储，防篡改并按法规和企业制度设置留存期限。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支持按员工、角色、客户、任务、模型版本和时间检索，支持导出审计报告。</w:t>
      </w: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十、非功能需求、SLO与运维体系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500"/>
        <w:gridCol w:w="4200"/>
        <w:gridCol w:w="3324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建议初始目标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验证方法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可用性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核心服务月度可用性≥99.9%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合成监控＋故障记录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响应时间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普通问答P95≤8秒；结构化查询P95≤3秒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压测与生产指标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主动事件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关键业务事件进入规则检测P95≤60秒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端到端事件追踪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流程一致性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正式流程状态与业务系统一致率≥99.9%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对账任务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权限安全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未授权数据访问和高风险未确认执行为0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渗透、权限矩阵和红队测试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可追溯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关键回答、纠偏和工具动作证据覆盖率100%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审计抽检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灾备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核心配置RPO≤15分钟，RTO≤4小时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灾备演练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扩展性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支持角色、模型、工具和知识域横向扩展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扩容和多租户测试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可维护性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配置变更可灰度、回滚；无须修改角色核心代码</w:t>
            </w:r>
          </w:p>
        </w:tc>
        <w:tc>
          <w:tcPr>
            <w:tcW w:type="dxa" w:w="33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版本发布演练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/>
          <w:color w:val="000000"/>
        </w:rPr>
        <w:t>以上为建议初始SLO，正式数值应在用户规模、并发、业务时效、成本预算和基础设施评估后确认。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10.1 可观测性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业务指标：目标承接、协同完成、纠偏关闭、流程周期、客户价值和成果。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AI质量：事实准确率、引用完整率、拒答正确率、工具成功率、纠偏准确率和员工采纳率。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系统指标：请求量、延迟、错误、队列积压、数据库、缓存和事件消费。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成本指标：模型、Token、工具、平台、存储、人工审核和单位任务成本。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统一Trace：从协同渠道消息到Agent、检索、工具、流程和业务系统形成完整链路。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10.2 降级与故障处理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模型不可用：切换备选模型或退化为知识检索和人工服务。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向量库不可用：保留结构化目标、任务和流程能力，暂停无依据生成。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业务系统不可用：禁止猜测业务状态，创建待重试任务并提示员工。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事件积压：按业务优先级消费，确保幂等并监控处理延迟。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智能体异常：达到步数、时间或预算上限时停止并转人工。</w:t>
      </w: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十一、需求编号、验收标准与测试方案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11.1 管理底座核心需求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100"/>
        <w:gridCol w:w="4800"/>
        <w:gridCol w:w="3124"/>
      </w:tblGrid>
      <w:tr>
        <w:trPr>
          <w:tblHeader w:val="true"/>
          <w:cantSplit w:val="true"/>
        </w:trP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31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VAL-001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支持三类价值定义、版本、指标、行为和适用范围。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角色/目标/成果可引用有效价值版本。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STR-001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支持战略、目标、关键任务、指标和预算的结构化关系。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关键目标可追溯至战略和价值。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STR-002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支持BSC四维指标和因果关联。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四维指标可展示领先/滞后关系。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MKT-001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支持五看事实、假设、证据和洞察审核。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洞察区分事实与模型推断。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MKT-002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支持产品×区域/客户目标矩阵和行动计划。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目标可分解到角色与任务。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PRO-001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支持版本化流程、角色节点、SLA、异常和补偿。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历史实例不受新版本直接覆盖。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PRO-002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流程运行时解析角色任命。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人员变更后新任务正确路由。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HR-001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支持角色能力、等级、行为锚点和证据。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能力结论可查看证据和归因。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ORG-001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支持铁三角共同目标、角色和健康度。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健康度不只依赖交互次数。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FIN-001</w:t>
            </w:r>
          </w:p>
        </w:tc>
        <w:tc>
          <w:tcPr>
            <w:tcW w:type="dxa" w:w="48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支持人和智能体成本、成果与价值归因。</w:t>
            </w:r>
          </w:p>
        </w:tc>
        <w:tc>
          <w:tcPr>
            <w:tcW w:type="dxa" w:w="3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可按任务、角色、客户和项目查看。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11.2 AI质量验收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2200"/>
        <w:gridCol w:w="1900"/>
        <w:gridCol w:w="4924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建议门槛</w:t>
            </w:r>
          </w:p>
        </w:tc>
        <w:tc>
          <w:tcPr>
            <w:tcW w:type="dxa" w:w="49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评测说明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角色边界遵循率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≥98%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角色不承担超出职责和权限的动作。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事实准确率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基于已知答案和业务事实评测集。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引用完整率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关键回答100%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每项关键事实有可访问证据。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目标关联准确率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任务与目标关系由业务专家标注。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纠偏精确率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试点≥80%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被员工/管理者确认有效的预警占比。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纠偏误报率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试点≤20%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按风险等级分别统计。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工具调用成功率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≥99%（不含外部系统故障）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参数、权限、幂等和结果均正确。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高风险动作确认率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未确认执行数必须为0。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知识泄露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9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跨组织、客户、密级和角色的权限测试。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11.3 测试类型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单元测试：领域规则、指标公式、权限策略、Schema和幂等。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集成测试：HRIS、CRM、ERP、BPM、协同渠道、自研知识服务和模型API服务。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流程测试：正常、超时、退回、撤销、转办、并发、补偿和恢复。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AI离线评测：角色、事实、引用、工具、纠偏、拒答、安全和成本数据集。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AI红队测试：提示注入、越权、敏感信息、恶意工具参数和自主循环。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性能测试：并发、长文本、事件峰值、模型限流和降级。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业务UAT：由角色负责人用真实但脱敏的任务完成端到端验收。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灾备演练：数据库、事件、模型、知识服务和区域故障恢复。</w:t>
      </w: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十二、MVP范围、实施路线、交付物与组织保障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12.1 总体实施路径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第一阶段：底座构建与单点试点（1-3个月）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搭建知识库与数据底座，完成战略、价值、岗位模型的数字化定义。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选择特定岗位（如销售经理或研发工程师）试点开发角色智能体，跑通“指导-纠偏-蒸馏”闭环。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第二阶段：流程贯通与多智能体协同（3-6个月）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引入流程引擎，将核心业务流程（如LTC、IPD）接入系统。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实现多个角色智能体在流程节点上的自动协同与流转。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第三阶段：全面覆盖与生态融合（6个月以上）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覆盖全员角色，完善人力、组织、财经模块的深度评估与核算功能。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通过标准适配器接入企业现有协同渠道，形成统一、可替换的智能办公入口。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12.2 推荐MVP业务闭环</w:t>
      </w:r>
    </w:p>
    <w:p>
      <w:pPr>
        <w:pStyle w:val="TechnicalNote"/>
        <w:spacing w:before="80" w:after="120"/>
        <w:ind w:left="173" w:right="173"/>
        <w:shd w:fill="FCE8E6"/>
        <w:pBdr>
          <w:top w:val="single" w:sz="5" w:space="4" w:color="E6A09A"/>
          <w:left w:val="single" w:sz="5" w:space="4" w:color="E6A09A"/>
          <w:bottom w:val="single" w:sz="5" w:space="4" w:color="E6A09A"/>
          <w:right w:val="single" w:sz="5" w:space="4" w:color="E6A09A"/>
        </w:pBdr>
      </w:pPr>
      <w:r>
        <w:rPr>
          <w:rFonts w:ascii="Microsoft YaHei" w:hAnsi="Microsoft YaHei" w:eastAsia="微软雅黑"/>
          <w:b/>
          <w:color w:val="000000"/>
          <w:sz w:val="20"/>
        </w:rPr>
        <w:t>MVP范围：</w:t>
      </w:r>
      <w:r>
        <w:rPr>
          <w:rFonts w:ascii="Microsoft YaHei" w:hAnsi="Microsoft YaHei" w:eastAsia="微软雅黑"/>
          <w:color w:val="000000"/>
          <w:sz w:val="20"/>
        </w:rPr>
        <w:t>选择1个客户价值场景、1个战略目标、1条端到端流程、3-5个角色和1个试点组织，验证“目标—任务—流程—协同—纠偏—成果—成本—经验”闭环，而不是首期建设全部六大系统。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900"/>
        <w:gridCol w:w="7124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MVP对象</w:t>
            </w:r>
          </w:p>
        </w:tc>
        <w:tc>
          <w:tcPr>
            <w:tcW w:type="dxa" w:w="71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建议内容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业务场景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企业客户AI项目交付，或销售商机到项目交付的可控子流程。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客户经理、解决方案经理、项目经理、AI研发工程师、交付工程师。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战略目标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提升按期交付率、客户满意度/续费率和项目毛利。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价值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客户效果与周期、企业利润与复用、岗位交付与协同价值。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需求确认→方案→计划→研发→验收→复盘。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智能体能力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角色任命、目标解释、任务指导、协同、纠偏、成果检查、经验候选。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核算</w:t>
            </w:r>
          </w:p>
        </w:tc>
        <w:tc>
          <w:tcPr>
            <w:tcW w:type="dxa" w:w="71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工时、Token、工具/API、周期、质量、返工和客户结果。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12.3 分阶段实施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500"/>
        <w:gridCol w:w="1300"/>
        <w:gridCol w:w="3824"/>
        <w:gridCol w:w="240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周期建议</w:t>
            </w:r>
          </w:p>
        </w:tc>
        <w:tc>
          <w:tcPr>
            <w:tcW w:type="dxa" w:w="3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关键工作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0. 业务与数据准备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3-4周</w:t>
            </w:r>
          </w:p>
        </w:tc>
        <w:tc>
          <w:tcPr>
            <w:tcW w:type="dxa" w:w="3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场景、角色、价值、目标、流程、数据源、权限和基线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完成范围和验收标准签字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1. MVP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8-12周</w:t>
            </w:r>
          </w:p>
        </w:tc>
        <w:tc>
          <w:tcPr>
            <w:tcW w:type="dxa" w:w="3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  <w:t>角色中心、目标图、单流程、统一工作台入口、RAG、工具、审计</w:t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端到端场景通过UAT和安全验收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2. 多角色协同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12-16周</w:t>
            </w:r>
          </w:p>
        </w:tc>
        <w:tc>
          <w:tcPr>
            <w:tcW w:type="dxa" w:w="3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事件总线、协同协议、纠偏、流程异常和经验治理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协同/纠偏指标达到试点门槛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3. 管理系统深化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4-8个月</w:t>
            </w:r>
          </w:p>
        </w:tc>
        <w:tc>
          <w:tcPr>
            <w:tcW w:type="dxa" w:w="3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战略、营销、人力、组织和财经能力逐步增强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核心管理数据形成闭环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4. 规模化</w:t>
            </w:r>
          </w:p>
        </w:tc>
        <w:tc>
          <w:tcPr>
            <w:tcW w:type="dxa" w:w="1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持续</w:t>
            </w:r>
          </w:p>
        </w:tc>
        <w:tc>
          <w:tcPr>
            <w:tcW w:type="dxa" w:w="3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角色扩展、模型路由、运营、FinOps和组织变更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具备平台化治理与SLO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12.4 每阶段交付物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业务蓝图、范围说明、价值地图、目标树、角色目录和流程清单。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领域模型、数据字典、API/事件规范、权限矩阵和系统集成清单。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角色智能体配置、Prompt/Skill、工具、知识域和评测数据集。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可运行系统、自动化测试、AI评测报告、安全测试和性能报告。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运维手册、模型/Prompt/知识发布流程、审计和成本运营看板。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用户培训、试点复盘、推广计划和收益评估报告。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12.5 项目组织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2200"/>
        <w:gridCol w:w="6824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6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主要责任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业务Sponsor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确认价值、战略优先级、资源和重大决策。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产品负责人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需求范围、用户场景、路线图和验收。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企业架构师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领域模型、系统边界、集成和技术标准。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管理专家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BLM/BEM、流程、角色、能力和价值模型。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AI架构/算法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模型、Agent、RAG、评测和AI安全。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数据团队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主数据、指标、数据质量、知识和分析。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安全与合规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身份、权限、隐私、审计和红队。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研发与测试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服务、前端、集成、自动化和质量保障。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变革与运营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推广、培训、反馈、角色/知识运营和收益跟踪。</w:t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十三、风险清单与应对策略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1900"/>
        <w:gridCol w:w="3500"/>
        <w:gridCol w:w="3624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表现</w:t>
            </w:r>
          </w:p>
        </w:tc>
        <w:tc>
          <w:tcPr>
            <w:tcW w:type="dxa" w:w="3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管理概念未结构化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大量文档和Prompt，无法计算和追溯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先建企业语义模型与主数据责任制。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角色与员工混淆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经验、权限和绩效边界不清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分离角色模板、Agent实例和任命。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AI越权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智能体执行不应执行的动作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工具网关、最小权限、动作分级和审批。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纠偏误报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员工反感、信任下降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规则优先、证据、置信度、反馈和灰度。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能力误判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把资源/流程问题归咎于个人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因果归因、人工复核、申诉和多证据。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经验污染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错误或敏感经验被传播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脱敏、专家审核、验证、版本和回滚。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流程失控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Agent自由协商导致状态不一致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流程引擎保持权威，Agent作为节点参与者。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供应商锁定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模型/平台迁移困难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统一模型与工具接口、数据可导出、退出方案。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成本不可控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自主循环和高模型滥用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预算、路由、缓存、限流、步数和成本预警。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组织采纳不足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系统上线但员工不用</w:t>
            </w:r>
          </w:p>
        </w:tc>
        <w:tc>
          <w:tcPr>
            <w:tcW w:type="dxa" w:w="36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共创、试点、角色运营、培训和收益反馈。</w:t>
            </w:r>
          </w:p>
        </w:tc>
      </w:tr>
    </w:tbl>
    <w:p>
      <w:pPr>
        <w:pStyle w:val="22"/>
        <w:keepNext w:val="0"/>
        <w:spacing w:after="60"/>
      </w:pP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  <w:sz w:val="40"/>
        </w:rPr>
        <w:t>十四、附录：角色配置、事件、API与评测样例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14.1 AI研发工程师角色配置样例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2300"/>
        <w:gridCol w:w="6724"/>
      </w:tblGrid>
      <w:tr>
        <w:trPr>
          <w:tblHeader w:val="true"/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7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RoleCode / Version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ROLE-AI-ENGINEER / 2.1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使命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以安全、可靠、可复用的AI技术能力支撑客户与企业业务目标。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岗位价值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缩短交付周期、提升AI质量、形成可复用资产、控制运行成本。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关键目标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知识问答准确率、交付及时率、缺陷率、复用率、单位任务成本。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主要流程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需求评审、方案设计、开发、测试、发布、监控、复盘。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上游角色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产品经理、解决方案经理、项目经理。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下游角色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测试工程师、运维/交付工程师。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可用工具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代码库查询、任务查询、测试、知识检索、成本查询。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受控工具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合并代码、发布、变更生产配置，必须人工确认。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禁止动作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未经批准访问客户敏感数据、修改预算、跳过安全测试。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经验蒸馏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成功调优方法、失败案例、评测集构建和成本优化；发布前专家审核。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14.2 纠偏事件样例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2300"/>
        <w:gridCol w:w="6724"/>
      </w:tblGrid>
      <w:tr>
        <w:trPr>
          <w:tblHeader w:val="true"/>
          <w:cantSplit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7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样例值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EventType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TaskStrategicDeviationDetected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Subject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Task:T-20260728-001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RoleAssignment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ASG-AI-ENGINEER-ZHANGSAN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Trigger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连续3天投入非关键界面优化，核心准确率问题未处理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ObjectiveRef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OBJ-CUSTOMER-RENEWAL / KR-KB-ACCURACY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EvidenceRefs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任务日志、缺陷单、客户反馈、当前里程碑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Severity / Confidence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Medium / 0.86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SuggestedAction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暂停非关键界面工作；优先完成准确率评测和Top错误修复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RequiredCollaboration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产品经理确认优先级；测试工程师提供评测结果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Feedback</w:t>
            </w:r>
          </w:p>
        </w:tc>
        <w:tc>
          <w:tcPr>
            <w:tcW w:type="dxa" w:w="67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接受/驳回/解释/升级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14.3 工具API最小规范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请求头：RequestId、CorrelationId、EmployeeId、RoleAssignmentId、Tenant/Org、IdempotencyKey。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请求体：严格JSON Schema，明确必填、枚举、范围、敏感字段和业务版本。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响应体：Status、Data、EvidenceRefs、ErrorCode、Retryable、AuditId。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错误分类：认证、授权、参数、业务冲突、限流、超时、外部依赖和系统错误。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所有写接口支持幂等；高风险接口支持DryRun和ApprovalToken。</w:t>
      </w: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14.4 AI评测集结构</w:t>
      </w:r>
    </w:p>
    <w:tbl>
      <w:tblPr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</w:tblPr>
      <w:tblGrid>
        <w:gridCol w:w="2200"/>
        <w:gridCol w:w="6824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CaseId / Category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角色边界、事实、引用、目标、纠偏、工具、安全等分类。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Input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员工问题或业务事件。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角色、目标、流程、权限和可用知识。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ExpectedBehavior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期望回答、工具、拒答或升级行为。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RequiredEvidence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必须引用的结构化对象或文档。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ForbiddenBehavior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禁止泄露、禁止调用、禁止无依据判断。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Scoring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规则、代码、专家或模型裁判及权重。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6824"/>
          </w:tcPr>
          <w:p>
            <w:pPr>
              <w:spacing w:before="0" w:after="0" w:line="259" w:lineRule="auto"/>
            </w:pPr>
            <w:r>
              <w:rPr>
                <w:color w:val="000000"/>
              </w:rPr>
            </w:r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适用模型、Prompt、知识和工具版本。</w:t>
            </w:r>
          </w:p>
        </w:tc>
      </w:tr>
    </w:tbl>
    <w:p>
      <w:pPr>
        <w:pStyle w:val="22"/>
        <w:keepNext w:val="0"/>
        <w:spacing w:after="60"/>
      </w:pPr>
    </w:p>
    <w:p>
      <w:pPr>
        <w:pStyle w:val="3"/>
        <w:keepNext/>
      </w:pPr>
      <w:r>
        <w:rPr>
          <w:rFonts w:ascii="Microsoft YaHei" w:hAnsi="Microsoft YaHei" w:eastAsia="微软雅黑"/>
          <w:b/>
          <w:color w:val="000000"/>
        </w:rPr>
        <w:t>14.5 参考技术标准与内部规范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模型API规范：企业模型网关统一封装Chat、Embedding、Rerank、流式输出、工具调用和错误码。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知识服务规范：统一文档、版本、切片、索引、权限、检索、引用和反馈接口，不对业务暴露底层向量库。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Agent协议规范：统一AgentRun、上下文、计划步骤、工具调用、审批、事件和审计数据结构。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对象存储与检索规范：采用企业可控的S3兼容对象接口、关系数据库、全文索引和向量索引。</w:t>
      </w:r>
    </w:p>
    <w:p>
      <w:pPr>
        <w:pStyle w:val="25"/>
      </w:pPr>
      <w:r>
        <w:rPr>
          <w:rFonts w:ascii="Microsoft YaHei" w:hAnsi="Microsoft YaHei" w:eastAsia="微软雅黑"/>
          <w:color w:val="000000"/>
        </w:rPr>
        <w:t>说明：模型供应商可替换；接入前必须完成API兼容性、数据保留、SLA、成本、限流和退出能力评估。</w:t>
      </w:r>
    </w:p>
    <w:p>
      <w:r>
        <w:rPr>
          <w:color w:val="000000"/>
        </w:rPr>
        <w:br w:type="page"/>
      </w:r>
    </w:p>
    <w:p>
      <w:pPr>
        <w:pStyle w:val="2"/>
        <w:keepNext/>
      </w:pPr>
      <w:r>
        <w:rPr>
          <w:rFonts w:ascii="Microsoft YaHei" w:hAnsi="Microsoft YaHei" w:eastAsia="微软雅黑"/>
          <w:b/>
          <w:color w:val="000000"/>
        </w:rPr>
        <w:t>结语</w:t>
      </w:r>
    </w:p>
    <w:p>
      <w:pPr>
        <w:pStyle w:val="22"/>
        <w:keepNext w:val="0"/>
      </w:pPr>
      <w:r>
        <w:rPr>
          <w:rFonts w:ascii="Microsoft YaHei" w:hAnsi="Microsoft YaHei" w:eastAsia="微软雅黑"/>
          <w:b/>
          <w:i w:val="0"/>
          <w:color w:val="000000"/>
        </w:rPr>
        <w:t>本系统的本质不是给员工增加一个聊天机器人，而是把企业的价值、战略、组织、流程、能力、知识和经营约束数字化，并通过角色智能体落实到每一项工作中。显性角色智能体是企业能力的执行终端，隐性管理底座是企业管理的数字操作系统。</w:t>
      </w:r>
    </w:p>
    <w:p>
      <w:pPr>
        <w:pStyle w:val="22"/>
        <w:keepNext w:val="0"/>
      </w:pPr>
      <w:r>
        <w:rPr>
          <w:rFonts w:ascii="Microsoft YaHei" w:hAnsi="Microsoft YaHei" w:eastAsia="微软雅黑"/>
          <w:b w:val="0"/>
          <w:i w:val="0"/>
          <w:color w:val="000000"/>
        </w:rPr>
        <w:t>项目成功的关键不在于模型是否足够强，而在于：角色是否定义清晰、目标是否可追溯、流程是否权威、权限是否可控、证据是否完整、评价是否公平、经验是否可信，以及业务价值是否能够被持续验证。</w:t>
      </w:r>
    </w:p>
    <w:sectPr>
      <w:headerReference w:type="default" r:id="rId6"/>
      <w:footerReference w:type="default" r:id="rId7"/>
      <w:pgSz w:w="11909" w:h="16834"/>
      <w:pgMar w:top="1440" w:right="1440" w:bottom="1440" w:left="1440" w:header="648" w:footer="64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微软雅黑"/>
        <w:color w:val="000000"/>
        <w:sz w:val="16"/>
      </w:rPr>
      <w:t xml:space="preserve">第 </w:t>
    </w:r>
    <w:fldSimple w:instr="PAGE">
      <w:r>
        <w:rPr>
          <w:color w:val="C00000"/>
        </w:rPr>
        <w:t>1</w:t>
      </w:r>
    </w:fldSimple>
    <w:r>
      <w:rPr>
        <w:rFonts w:ascii="Microsoft YaHei" w:hAnsi="Microsoft YaHei" w:eastAsia="微软雅黑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微软雅黑"/>
        <w:color w:val="000000"/>
        <w:sz w:val="16"/>
      </w:rPr>
      <w:t>蓝血企业协同智能系统（BMS-AI）｜全栈自研版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abstractNum w:abstractNumId="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3">
    <w:abstractNumId w:val="2"/>
  </w:num>
  <w:abstractNum w:abstractNumId="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">
    <w:abstractNumId w:val="3"/>
  </w:num>
  <w:abstractNum w:abstractNumId="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5">
    <w:abstractNumId w:val="4"/>
  </w:num>
  <w:abstractNum w:abstractNumId="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6D0D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keepNext/>
      <w:spacing w:before="280" w:after="160" w:line="276" w:lineRule="auto"/>
    </w:pPr>
    <w:rPr>
      <w:rFonts w:ascii="Microsoft YaHei" w:hAnsi="Microsoft YaHei" w:eastAsia="微软雅黑"/>
      <w:b/>
      <w:color w:val="1F4D78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40" w:after="120" w:line="276" w:lineRule="auto"/>
    </w:pPr>
    <w:rPr>
      <w:rFonts w:ascii="Microsoft YaHei" w:hAnsi="Microsoft YaHei" w:eastAsia="微软雅黑"/>
      <w:b/>
      <w:color w:val="1F4D78"/>
      <w:sz w:val="26"/>
      <w:szCs w:val="26"/>
    </w:rPr>
  </w:style>
  <w:style w:type="paragraph" w:styleId="4">
    <w:name w:val="heading 3"/>
    <w:next w:val="1"/>
    <w:qFormat/>
    <w:uiPriority w:val="0"/>
    <w:pPr>
      <w:keepNext/>
      <w:spacing w:before="160" w:after="80" w:line="276" w:lineRule="auto"/>
    </w:pPr>
    <w:rPr>
      <w:rFonts w:ascii="Microsoft YaHei" w:hAnsi="Microsoft YaHei" w:eastAsia="微软雅黑"/>
      <w:b/>
      <w:color w:val="1F4D78"/>
      <w:sz w:val="23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 w:color="0563C1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2">
    <w:name w:val="MdParagraph"/>
    <w:qFormat/>
    <w:uiPriority w:val="0"/>
    <w:pPr>
      <w:spacing w:before="120" w:after="100" w:line="288" w:lineRule="auto"/>
    </w:pPr>
    <w:rPr>
      <w:rFonts w:ascii="Microsoft YaHei" w:hAnsi="Microsoft YaHei" w:eastAsia="微软雅黑"/>
      <w:sz w:val="21"/>
      <w:szCs w:val="24"/>
    </w:rPr>
  </w:style>
  <w:style w:type="paragraph" w:customStyle="1" w:styleId="23">
    <w:name w:val="MdText"/>
    <w:qFormat/>
    <w:uiPriority w:val="0"/>
    <w:rPr>
      <w:sz w:val="24"/>
      <w:szCs w:val="24"/>
    </w:rPr>
  </w:style>
  <w:style w:type="paragraph" w:customStyle="1" w:styleId="24">
    <w:name w:val="MdFootnote"/>
    <w:qFormat/>
    <w:uiPriority w:val="0"/>
    <w:rPr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 w:line="276" w:lineRule="auto"/>
      <w:ind w:left="461" w:hanging="230"/>
    </w:pPr>
    <w:rPr>
      <w:rFonts w:ascii="Microsoft YaHei" w:hAnsi="Microsoft YaHei" w:eastAsia="微软雅黑"/>
      <w:sz w:val="21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280" w:after="160" w:line="276" w:lineRule="auto"/>
      <w:outlineLvl w:val="0"/>
    </w:pPr>
    <w:rPr>
      <w:rFonts w:ascii="Microsoft YaHei" w:hAnsi="Microsoft YaHei" w:eastAsia="微软雅黑"/>
      <w:b/>
      <w:bCs/>
      <w:color w:val="1F4D78"/>
      <w:sz w:val="32"/>
      <w:szCs w:val="36"/>
    </w:rPr>
  </w:style>
  <w:style w:type="paragraph" w:customStyle="1" w:styleId="30">
    <w:name w:val="MdHeading2"/>
    <w:qFormat/>
    <w:uiPriority w:val="0"/>
    <w:pPr>
      <w:keepNext/>
      <w:spacing w:before="240" w:after="120" w:line="276" w:lineRule="auto"/>
      <w:outlineLvl w:val="1"/>
    </w:pPr>
    <w:rPr>
      <w:rFonts w:ascii="Microsoft YaHei" w:hAnsi="Microsoft YaHei" w:eastAsia="微软雅黑"/>
      <w:b/>
      <w:bCs/>
      <w:color w:val="1F4D78"/>
      <w:sz w:val="26"/>
      <w:szCs w:val="32"/>
    </w:rPr>
  </w:style>
  <w:style w:type="paragraph" w:customStyle="1" w:styleId="31">
    <w:name w:val="MdHeading3"/>
    <w:qFormat/>
    <w:uiPriority w:val="0"/>
    <w:pPr>
      <w:keepNext/>
      <w:spacing w:before="160" w:after="80" w:line="276" w:lineRule="auto"/>
      <w:outlineLvl w:val="2"/>
    </w:pPr>
    <w:rPr>
      <w:rFonts w:ascii="Microsoft YaHei" w:hAnsi="Microsoft YaHei" w:eastAsia="微软雅黑"/>
      <w:b/>
      <w:bCs/>
      <w:color w:val="1F4D78"/>
      <w:sz w:val="23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  <w:style w:type="paragraph" w:customStyle="1" w:styleId="TechnicalNote">
    <w:name w:val="TechnicalNote"/>
    <w:basedOn w:val="22"/>
    <w:pPr>
      <w:spacing w:before="80" w:after="120"/>
      <w:ind w:left="259" w:right="259"/>
    </w:pPr>
    <w:rPr>
      <w:rFonts w:ascii="Microsoft YaHei" w:hAnsi="Microsoft YaHei" w:eastAsia="微软雅黑"/>
      <w:sz w:val="19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2434</Words>
  <Characters>2641</Characters>
  <TotalTime>29</TotalTime>
  <ScaleCrop>false</ScaleCrop>
  <LinksUpToDate>false</LinksUpToDate>
  <CharactersWithSpaces>2668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2026-07-27T14:26:00Z</dcterms:created>
  <dc:creator>md2docx converter</dc:creator>
  <dc:description>移除托管智能体和托管知识库平台依赖；智能体、知识、RAG、工具、治理与评测全部自研。</dc:description>
  <cp:lastModifiedBy>云</cp:lastModifiedBy>
  <dcterms:modified xsi:type="dcterms:W3CDTF">2026-07-28T01:35:38Z</dcterms:modified>
  <dc:title>蓝血企业协同智能系统（BMS-AI）技术需求与实现方案（全栈自研版）</dc:title>
  <cp:revision>1</cp:revision>
  <dc:subject>自研智能体平台、自研企业知识库与RAG、模型API接入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043CE2E282B444659351A9FD33A72A02_13</vt:lpwstr>
  </property>
</Properties>
</file>