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4950" w14:textId="77777777" w:rsidR="00D670A2" w:rsidRDefault="00000000">
      <w:pPr>
        <w:spacing w:before="280" w:after="100"/>
      </w:pPr>
      <w:r>
        <w:rPr>
          <w:b/>
          <w:sz w:val="46"/>
        </w:rPr>
        <w:t>ARAMINA PATIENT COLLECTION</w:t>
      </w:r>
    </w:p>
    <w:p w14:paraId="2E4B59BB" w14:textId="77777777" w:rsidR="00D670A2" w:rsidRDefault="00000000">
      <w:pPr>
        <w:spacing w:after="320"/>
      </w:pPr>
      <w:r>
        <w:rPr>
          <w:color w:val="666666"/>
          <w:sz w:val="28"/>
        </w:rPr>
        <w:t>Development and Independent Validation Plan for Human 1.1</w:t>
      </w:r>
    </w:p>
    <w:p w14:paraId="1BBE2258" w14:textId="77777777" w:rsidR="00D670A2" w:rsidRDefault="00000000">
      <w:pPr>
        <w:spacing w:after="40"/>
      </w:pPr>
      <w:r>
        <w:rPr>
          <w:b/>
          <w:sz w:val="21"/>
        </w:rPr>
        <w:t xml:space="preserve">Purpose: </w:t>
      </w:r>
      <w:r>
        <w:rPr>
          <w:sz w:val="21"/>
        </w:rPr>
        <w:t>Management discussion and prospective clinical planning</w:t>
      </w:r>
    </w:p>
    <w:p w14:paraId="6838416A" w14:textId="77777777" w:rsidR="00D670A2" w:rsidRDefault="00000000">
      <w:pPr>
        <w:spacing w:after="40"/>
      </w:pPr>
      <w:r>
        <w:rPr>
          <w:b/>
          <w:sz w:val="21"/>
        </w:rPr>
        <w:t xml:space="preserve">Status: </w:t>
      </w:r>
      <w:r>
        <w:rPr>
          <w:sz w:val="21"/>
        </w:rPr>
        <w:t>Research planning draft; not a final FDA statistical analysis plan</w:t>
      </w:r>
    </w:p>
    <w:p w14:paraId="5132693B" w14:textId="77777777" w:rsidR="00D670A2" w:rsidRDefault="00000000">
      <w:pPr>
        <w:spacing w:after="40"/>
      </w:pPr>
      <w:r>
        <w:rPr>
          <w:b/>
          <w:sz w:val="21"/>
        </w:rPr>
        <w:t xml:space="preserve">Prepared by: </w:t>
      </w:r>
      <w:r>
        <w:rPr>
          <w:sz w:val="21"/>
        </w:rPr>
        <w:t>Sergey Denisov</w:t>
      </w:r>
    </w:p>
    <w:p w14:paraId="15FBE197" w14:textId="77777777" w:rsidR="00D670A2" w:rsidRDefault="00000000">
      <w:pPr>
        <w:spacing w:after="40"/>
      </w:pPr>
      <w:r>
        <w:rPr>
          <w:b/>
          <w:sz w:val="21"/>
        </w:rPr>
        <w:t xml:space="preserve">Date: </w:t>
      </w:r>
      <w:r>
        <w:rPr>
          <w:sz w:val="21"/>
        </w:rPr>
        <w:t>28 July 2026</w:t>
      </w:r>
    </w:p>
    <w:p w14:paraId="7B0A1992" w14:textId="77777777" w:rsidR="00D670A2" w:rsidRDefault="00000000">
      <w:pPr>
        <w:spacing w:before="240" w:after="160"/>
        <w:ind w:left="259" w:right="259"/>
      </w:pPr>
      <w:r>
        <w:rPr>
          <w:b/>
          <w:color w:val="1F4D78"/>
          <w:sz w:val="23"/>
        </w:rPr>
        <w:t>Recommended planning basis: 1,000 analyzable patients for model development and 1,000 independent patients for blind validation. With a 20% operational allowance, the corresponding clinic target is approximately 10 recruited patients per working day over one year.</w:t>
      </w:r>
    </w:p>
    <w:p w14:paraId="4D83ED53" w14:textId="77777777" w:rsidR="00D670A2" w:rsidRDefault="00000000">
      <w:pPr>
        <w:pStyle w:val="Heading1"/>
      </w:pPr>
      <w:r>
        <w:t>1. Planning objective</w:t>
      </w:r>
    </w:p>
    <w:p w14:paraId="59346995" w14:textId="77777777" w:rsidR="00D670A2" w:rsidRDefault="00000000">
      <w:r>
        <w:t>The objective is to create two prospectively defined datasets for Aramina: a development cohort used to finalize the preprocessing pipeline, model, regularization and decision threshold, followed by an independent blind cohort used only to estimate final performance.</w:t>
      </w:r>
    </w:p>
    <w:p w14:paraId="4AC37090" w14:textId="77777777" w:rsidR="00D670A2" w:rsidRDefault="00000000">
      <w:r>
        <w:t>Aramina is a research-draft clinical decision-support system for women with BI-RADS 3 or BI-RADS 4 findings who are undergoing biopsy within the normal clinical workflow. The target condition is biopsy-confirmed cancer; the reference class is biopsy-confirmed benign disease. Histopathology is the required reference label.</w:t>
      </w:r>
    </w:p>
    <w:p w14:paraId="46C232AF" w14:textId="77777777" w:rsidR="00D670A2" w:rsidRDefault="00000000">
      <w:pPr>
        <w:pStyle w:val="Heading1"/>
      </w:pPr>
      <w:r>
        <w:t>2. Required patient flux and data quality</w:t>
      </w:r>
    </w:p>
    <w:p w14:paraId="231F2C68" w14:textId="77777777" w:rsidR="00D670A2" w:rsidRDefault="00000000">
      <w:r>
        <w:t>Patient recruitment should remain close to the intended clinical pathway. Artificial selection of only easy or highly advanced cases would inflate apparent performance and reduce external validity.</w:t>
      </w:r>
    </w:p>
    <w:p w14:paraId="7DF75A88" w14:textId="77777777" w:rsidR="00D670A2" w:rsidRDefault="00000000">
      <w:pPr>
        <w:pStyle w:val="ListBullet"/>
        <w:ind w:left="720"/>
      </w:pPr>
      <w:r>
        <w:t>Primary recruitment population: women with BI-RADS 3 or BI-RADS 4 findings referred for biopsy.</w:t>
      </w:r>
    </w:p>
    <w:p w14:paraId="155921EC" w14:textId="77777777" w:rsidR="00D670A2" w:rsidRDefault="00000000">
      <w:pPr>
        <w:pStyle w:val="ListBullet"/>
        <w:ind w:left="720"/>
      </w:pPr>
      <w:r>
        <w:t>Reference labels: histopathology-confirmed CANCER or BENIGN for the target breast.</w:t>
      </w:r>
    </w:p>
    <w:p w14:paraId="177720A5" w14:textId="77777777" w:rsidR="00D670A2" w:rsidRDefault="00000000">
      <w:pPr>
        <w:pStyle w:val="ListBullet"/>
        <w:ind w:left="720"/>
      </w:pPr>
      <w:r>
        <w:t>Attenuation coefficient: measured and stored for every patient because it is required for reproducible XRD normalization. It should not be replaced by an unmeasured mammographic breast-density category.</w:t>
      </w:r>
    </w:p>
    <w:p w14:paraId="502C1F79" w14:textId="77777777" w:rsidR="00D670A2" w:rsidRDefault="00000000">
      <w:pPr>
        <w:pStyle w:val="ListBullet"/>
        <w:ind w:left="720"/>
      </w:pPr>
      <w:r>
        <w:t>XRD quality: only measurements meeting the fixed product quality controls, including SNR &gt;=18 dB, enter model analysis. Failed measurements remain in the audit trail.</w:t>
      </w:r>
    </w:p>
    <w:p w14:paraId="47C05460" w14:textId="77777777" w:rsidR="00D670A2" w:rsidRDefault="00000000">
      <w:pPr>
        <w:pStyle w:val="ListBullet"/>
        <w:ind w:left="720"/>
      </w:pPr>
      <w:r>
        <w:t>Age coverage: recruitment should expand the currently under-represented younger age groups while preserving the full intended-use age range.</w:t>
      </w:r>
    </w:p>
    <w:p w14:paraId="3871C489" w14:textId="77777777" w:rsidR="00D670A2" w:rsidRDefault="00000000">
      <w:pPr>
        <w:pStyle w:val="ListBullet"/>
        <w:ind w:left="720"/>
      </w:pPr>
      <w:r>
        <w:t>Acquisition consistency: hardware, software, protocol, calibration, target side, measurement location and operator metadata should be recorded for every session.</w:t>
      </w:r>
    </w:p>
    <w:p w14:paraId="7F8D978E" w14:textId="77777777" w:rsidR="00D670A2" w:rsidRDefault="00000000">
      <w:pPr>
        <w:pStyle w:val="Heading1"/>
      </w:pPr>
      <w:r>
        <w:lastRenderedPageBreak/>
        <w:t>3. Cohort composition</w:t>
      </w:r>
    </w:p>
    <w:p w14:paraId="75FC0FFA" w14:textId="77777777" w:rsidR="00D670A2" w:rsidRDefault="00000000">
      <w:r>
        <w:t>Approximately 20% of biopsy-referred patients are assumed to have cancer and 80% benign findings. This prevalence is used only for planning. The blind cohort should preserve the clinical flux expected in intended use. A 50/50 class balance is not required and could produce a non-representative validation cohort.</w:t>
      </w:r>
    </w:p>
    <w:p w14:paraId="61FDF184" w14:textId="77777777" w:rsidR="00D670A2" w:rsidRDefault="00000000">
      <w:r>
        <w:t>The development cohort may be prospectively enriched for cancer cases and younger patients to improve model learning and subgroup coverage. Any enrichment must be documented, and calibration or reported predictive values must not be interpreted as if the enriched cohort represented clinical prevalence.</w:t>
      </w:r>
    </w:p>
    <w:p w14:paraId="66272CFE" w14:textId="77777777" w:rsidR="00D670A2" w:rsidRDefault="00000000">
      <w:r>
        <w:t>The blind cohort must remain independent of training and tuning. Its labels must not be used to modify preprocessing, feature definitions, model coefficients, regularization or threshold.</w:t>
      </w:r>
    </w:p>
    <w:p w14:paraId="07F5F687" w14:textId="77777777" w:rsidR="00D670A2" w:rsidRDefault="00000000">
      <w:pPr>
        <w:pStyle w:val="Heading1"/>
      </w:pPr>
      <w:r>
        <w:t>4. Sample-size scenarios</w:t>
      </w:r>
    </w:p>
    <w:p w14:paraId="01FF3BE4" w14:textId="77777777" w:rsidR="00D670A2" w:rsidRDefault="00000000">
      <w:r>
        <w:t>Planning precision is driven primarily by the number of cancer cases because cancer prevalence is expected to be approximately 20%. The table assumes true sensitivity of 95%, true specificity of 50%, 20% CANCER / 80% BENIGN prevalence, and two-sided 95% Wilson confidence intervals.</w:t>
      </w:r>
    </w:p>
    <w:tbl>
      <w:tblPr>
        <w:tblW w:w="9360" w:type="dxa"/>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450"/>
        <w:gridCol w:w="1750"/>
        <w:gridCol w:w="1700"/>
        <w:gridCol w:w="2250"/>
        <w:gridCol w:w="2210"/>
      </w:tblGrid>
      <w:tr w:rsidR="00D670A2" w14:paraId="2FD28716" w14:textId="77777777">
        <w:trPr>
          <w:tblHeader/>
        </w:trPr>
        <w:tc>
          <w:tcPr>
            <w:tcW w:w="1450" w:type="dxa"/>
            <w:shd w:val="clear" w:color="auto" w:fill="FFFFFF"/>
            <w:tcMar>
              <w:top w:w="100" w:type="dxa"/>
              <w:left w:w="120" w:type="dxa"/>
              <w:bottom w:w="100" w:type="dxa"/>
              <w:right w:w="120" w:type="dxa"/>
            </w:tcMar>
            <w:vAlign w:val="center"/>
          </w:tcPr>
          <w:p w14:paraId="37A938B3" w14:textId="77777777" w:rsidR="00D670A2" w:rsidRDefault="00000000">
            <w:pPr>
              <w:spacing w:after="0" w:line="252" w:lineRule="auto"/>
            </w:pPr>
            <w:r>
              <w:rPr>
                <w:b/>
                <w:sz w:val="17"/>
              </w:rPr>
              <w:t>Scenario</w:t>
            </w:r>
          </w:p>
        </w:tc>
        <w:tc>
          <w:tcPr>
            <w:tcW w:w="1750" w:type="dxa"/>
            <w:shd w:val="clear" w:color="auto" w:fill="FFFFFF"/>
            <w:tcMar>
              <w:top w:w="100" w:type="dxa"/>
              <w:left w:w="120" w:type="dxa"/>
              <w:bottom w:w="100" w:type="dxa"/>
              <w:right w:w="120" w:type="dxa"/>
            </w:tcMar>
            <w:vAlign w:val="center"/>
          </w:tcPr>
          <w:p w14:paraId="71F0FE92" w14:textId="77777777" w:rsidR="00D670A2" w:rsidRDefault="00000000">
            <w:pPr>
              <w:spacing w:after="0" w:line="252" w:lineRule="auto"/>
              <w:jc w:val="center"/>
            </w:pPr>
            <w:r>
              <w:rPr>
                <w:b/>
                <w:sz w:val="17"/>
              </w:rPr>
              <w:t>Development + blind</w:t>
            </w:r>
          </w:p>
        </w:tc>
        <w:tc>
          <w:tcPr>
            <w:tcW w:w="1700" w:type="dxa"/>
            <w:shd w:val="clear" w:color="auto" w:fill="FFFFFF"/>
            <w:tcMar>
              <w:top w:w="100" w:type="dxa"/>
              <w:left w:w="120" w:type="dxa"/>
              <w:bottom w:w="100" w:type="dxa"/>
              <w:right w:w="120" w:type="dxa"/>
            </w:tcMar>
            <w:vAlign w:val="center"/>
          </w:tcPr>
          <w:p w14:paraId="45632C30" w14:textId="77777777" w:rsidR="00D670A2" w:rsidRDefault="00000000">
            <w:pPr>
              <w:spacing w:after="0" w:line="252" w:lineRule="auto"/>
              <w:jc w:val="center"/>
            </w:pPr>
            <w:r>
              <w:rPr>
                <w:b/>
                <w:sz w:val="17"/>
              </w:rPr>
              <w:t>Blind CANCER / BENIGN</w:t>
            </w:r>
          </w:p>
        </w:tc>
        <w:tc>
          <w:tcPr>
            <w:tcW w:w="2250" w:type="dxa"/>
            <w:shd w:val="clear" w:color="auto" w:fill="FFFFFF"/>
            <w:tcMar>
              <w:top w:w="100" w:type="dxa"/>
              <w:left w:w="120" w:type="dxa"/>
              <w:bottom w:w="100" w:type="dxa"/>
              <w:right w:w="120" w:type="dxa"/>
            </w:tcMar>
            <w:vAlign w:val="center"/>
          </w:tcPr>
          <w:p w14:paraId="08A2FEBD" w14:textId="77777777" w:rsidR="00D670A2" w:rsidRDefault="00000000">
            <w:pPr>
              <w:spacing w:after="0" w:line="252" w:lineRule="auto"/>
              <w:jc w:val="center"/>
            </w:pPr>
            <w:r>
              <w:rPr>
                <w:b/>
                <w:sz w:val="17"/>
              </w:rPr>
              <w:t>Sensitivity and 95% CI</w:t>
            </w:r>
          </w:p>
        </w:tc>
        <w:tc>
          <w:tcPr>
            <w:tcW w:w="2210" w:type="dxa"/>
            <w:shd w:val="clear" w:color="auto" w:fill="FFFFFF"/>
            <w:tcMar>
              <w:top w:w="100" w:type="dxa"/>
              <w:left w:w="120" w:type="dxa"/>
              <w:bottom w:w="100" w:type="dxa"/>
              <w:right w:w="120" w:type="dxa"/>
            </w:tcMar>
            <w:vAlign w:val="center"/>
          </w:tcPr>
          <w:p w14:paraId="70134F35" w14:textId="77777777" w:rsidR="00D670A2" w:rsidRDefault="00000000">
            <w:pPr>
              <w:spacing w:after="0" w:line="252" w:lineRule="auto"/>
              <w:jc w:val="center"/>
            </w:pPr>
            <w:r>
              <w:rPr>
                <w:b/>
                <w:sz w:val="17"/>
              </w:rPr>
              <w:t>Specificity and 95% CI</w:t>
            </w:r>
          </w:p>
        </w:tc>
      </w:tr>
      <w:tr w:rsidR="00D670A2" w14:paraId="7A6D2E07" w14:textId="77777777">
        <w:tc>
          <w:tcPr>
            <w:tcW w:w="1450" w:type="dxa"/>
            <w:shd w:val="clear" w:color="auto" w:fill="FFFFFF"/>
            <w:tcMar>
              <w:top w:w="100" w:type="dxa"/>
              <w:left w:w="120" w:type="dxa"/>
              <w:bottom w:w="100" w:type="dxa"/>
              <w:right w:w="120" w:type="dxa"/>
            </w:tcMar>
            <w:vAlign w:val="center"/>
          </w:tcPr>
          <w:p w14:paraId="3A9520F2" w14:textId="77777777" w:rsidR="00D670A2" w:rsidRDefault="00000000">
            <w:pPr>
              <w:spacing w:after="0" w:line="252" w:lineRule="auto"/>
            </w:pPr>
            <w:r>
              <w:rPr>
                <w:sz w:val="17"/>
              </w:rPr>
              <w:t>Minimum / pilot</w:t>
            </w:r>
          </w:p>
        </w:tc>
        <w:tc>
          <w:tcPr>
            <w:tcW w:w="1750" w:type="dxa"/>
            <w:shd w:val="clear" w:color="auto" w:fill="FFFFFF"/>
            <w:tcMar>
              <w:top w:w="100" w:type="dxa"/>
              <w:left w:w="120" w:type="dxa"/>
              <w:bottom w:w="100" w:type="dxa"/>
              <w:right w:w="120" w:type="dxa"/>
            </w:tcMar>
            <w:vAlign w:val="center"/>
          </w:tcPr>
          <w:p w14:paraId="061DC879" w14:textId="77777777" w:rsidR="00D670A2" w:rsidRDefault="00000000">
            <w:pPr>
              <w:spacing w:after="0" w:line="252" w:lineRule="auto"/>
              <w:jc w:val="center"/>
            </w:pPr>
            <w:r>
              <w:rPr>
                <w:sz w:val="17"/>
              </w:rPr>
              <w:t>500 + 500</w:t>
            </w:r>
          </w:p>
        </w:tc>
        <w:tc>
          <w:tcPr>
            <w:tcW w:w="1700" w:type="dxa"/>
            <w:shd w:val="clear" w:color="auto" w:fill="FFFFFF"/>
            <w:tcMar>
              <w:top w:w="100" w:type="dxa"/>
              <w:left w:w="120" w:type="dxa"/>
              <w:bottom w:w="100" w:type="dxa"/>
              <w:right w:w="120" w:type="dxa"/>
            </w:tcMar>
            <w:vAlign w:val="center"/>
          </w:tcPr>
          <w:p w14:paraId="3FA0744B" w14:textId="77777777" w:rsidR="00D670A2" w:rsidRDefault="00000000">
            <w:pPr>
              <w:spacing w:after="0" w:line="252" w:lineRule="auto"/>
              <w:jc w:val="center"/>
            </w:pPr>
            <w:r>
              <w:rPr>
                <w:sz w:val="17"/>
              </w:rPr>
              <w:t>100 / 400</w:t>
            </w:r>
          </w:p>
        </w:tc>
        <w:tc>
          <w:tcPr>
            <w:tcW w:w="2250" w:type="dxa"/>
            <w:shd w:val="clear" w:color="auto" w:fill="FFFFFF"/>
            <w:tcMar>
              <w:top w:w="100" w:type="dxa"/>
              <w:left w:w="120" w:type="dxa"/>
              <w:bottom w:w="100" w:type="dxa"/>
              <w:right w:w="120" w:type="dxa"/>
            </w:tcMar>
            <w:vAlign w:val="center"/>
          </w:tcPr>
          <w:p w14:paraId="099A2CC7" w14:textId="77777777" w:rsidR="00D670A2" w:rsidRDefault="00000000">
            <w:pPr>
              <w:spacing w:after="0" w:line="252" w:lineRule="auto"/>
              <w:jc w:val="center"/>
            </w:pPr>
            <w:r>
              <w:rPr>
                <w:sz w:val="17"/>
              </w:rPr>
              <w:t>95.0% (88.8-97.8%)</w:t>
            </w:r>
          </w:p>
        </w:tc>
        <w:tc>
          <w:tcPr>
            <w:tcW w:w="2210" w:type="dxa"/>
            <w:shd w:val="clear" w:color="auto" w:fill="FFFFFF"/>
            <w:tcMar>
              <w:top w:w="100" w:type="dxa"/>
              <w:left w:w="120" w:type="dxa"/>
              <w:bottom w:w="100" w:type="dxa"/>
              <w:right w:w="120" w:type="dxa"/>
            </w:tcMar>
            <w:vAlign w:val="center"/>
          </w:tcPr>
          <w:p w14:paraId="7AB4855D" w14:textId="77777777" w:rsidR="00D670A2" w:rsidRDefault="00000000">
            <w:pPr>
              <w:spacing w:after="0" w:line="252" w:lineRule="auto"/>
              <w:jc w:val="center"/>
            </w:pPr>
            <w:r>
              <w:rPr>
                <w:sz w:val="17"/>
              </w:rPr>
              <w:t>50.0% (45.1-54.9%)</w:t>
            </w:r>
          </w:p>
        </w:tc>
      </w:tr>
      <w:tr w:rsidR="00D670A2" w14:paraId="27DBE13F" w14:textId="77777777">
        <w:tc>
          <w:tcPr>
            <w:tcW w:w="1450" w:type="dxa"/>
            <w:shd w:val="clear" w:color="auto" w:fill="FFFFFF"/>
            <w:tcMar>
              <w:top w:w="100" w:type="dxa"/>
              <w:left w:w="120" w:type="dxa"/>
              <w:bottom w:w="100" w:type="dxa"/>
              <w:right w:w="120" w:type="dxa"/>
            </w:tcMar>
            <w:vAlign w:val="center"/>
          </w:tcPr>
          <w:p w14:paraId="498BBC4D" w14:textId="77777777" w:rsidR="00D670A2" w:rsidRDefault="00000000">
            <w:pPr>
              <w:spacing w:after="0" w:line="252" w:lineRule="auto"/>
            </w:pPr>
            <w:r>
              <w:rPr>
                <w:sz w:val="17"/>
              </w:rPr>
              <w:t>Recommended</w:t>
            </w:r>
          </w:p>
        </w:tc>
        <w:tc>
          <w:tcPr>
            <w:tcW w:w="1750" w:type="dxa"/>
            <w:shd w:val="clear" w:color="auto" w:fill="FFFFFF"/>
            <w:tcMar>
              <w:top w:w="100" w:type="dxa"/>
              <w:left w:w="120" w:type="dxa"/>
              <w:bottom w:w="100" w:type="dxa"/>
              <w:right w:w="120" w:type="dxa"/>
            </w:tcMar>
            <w:vAlign w:val="center"/>
          </w:tcPr>
          <w:p w14:paraId="10C3B642" w14:textId="77777777" w:rsidR="00D670A2" w:rsidRDefault="00000000">
            <w:pPr>
              <w:spacing w:after="0" w:line="252" w:lineRule="auto"/>
              <w:jc w:val="center"/>
            </w:pPr>
            <w:r>
              <w:rPr>
                <w:sz w:val="17"/>
              </w:rPr>
              <w:t>1,000 + 1,000</w:t>
            </w:r>
          </w:p>
        </w:tc>
        <w:tc>
          <w:tcPr>
            <w:tcW w:w="1700" w:type="dxa"/>
            <w:shd w:val="clear" w:color="auto" w:fill="FFFFFF"/>
            <w:tcMar>
              <w:top w:w="100" w:type="dxa"/>
              <w:left w:w="120" w:type="dxa"/>
              <w:bottom w:w="100" w:type="dxa"/>
              <w:right w:w="120" w:type="dxa"/>
            </w:tcMar>
            <w:vAlign w:val="center"/>
          </w:tcPr>
          <w:p w14:paraId="3F33C51D" w14:textId="77777777" w:rsidR="00D670A2" w:rsidRDefault="00000000">
            <w:pPr>
              <w:spacing w:after="0" w:line="252" w:lineRule="auto"/>
              <w:jc w:val="center"/>
            </w:pPr>
            <w:r>
              <w:rPr>
                <w:sz w:val="17"/>
              </w:rPr>
              <w:t>200 / 800</w:t>
            </w:r>
          </w:p>
        </w:tc>
        <w:tc>
          <w:tcPr>
            <w:tcW w:w="2250" w:type="dxa"/>
            <w:shd w:val="clear" w:color="auto" w:fill="FFFFFF"/>
            <w:tcMar>
              <w:top w:w="100" w:type="dxa"/>
              <w:left w:w="120" w:type="dxa"/>
              <w:bottom w:w="100" w:type="dxa"/>
              <w:right w:w="120" w:type="dxa"/>
            </w:tcMar>
            <w:vAlign w:val="center"/>
          </w:tcPr>
          <w:p w14:paraId="401DB9C9" w14:textId="77777777" w:rsidR="00D670A2" w:rsidRDefault="00000000">
            <w:pPr>
              <w:spacing w:after="0" w:line="252" w:lineRule="auto"/>
              <w:jc w:val="center"/>
            </w:pPr>
            <w:r>
              <w:rPr>
                <w:sz w:val="17"/>
              </w:rPr>
              <w:t>95.0% (91.0-97.3%)</w:t>
            </w:r>
          </w:p>
        </w:tc>
        <w:tc>
          <w:tcPr>
            <w:tcW w:w="2210" w:type="dxa"/>
            <w:shd w:val="clear" w:color="auto" w:fill="FFFFFF"/>
            <w:tcMar>
              <w:top w:w="100" w:type="dxa"/>
              <w:left w:w="120" w:type="dxa"/>
              <w:bottom w:w="100" w:type="dxa"/>
              <w:right w:w="120" w:type="dxa"/>
            </w:tcMar>
            <w:vAlign w:val="center"/>
          </w:tcPr>
          <w:p w14:paraId="4F6D1C1A" w14:textId="77777777" w:rsidR="00D670A2" w:rsidRDefault="00000000">
            <w:pPr>
              <w:spacing w:after="0" w:line="252" w:lineRule="auto"/>
              <w:jc w:val="center"/>
            </w:pPr>
            <w:r>
              <w:rPr>
                <w:sz w:val="17"/>
              </w:rPr>
              <w:t>50.0% (46.5-53.5%)</w:t>
            </w:r>
          </w:p>
        </w:tc>
      </w:tr>
      <w:tr w:rsidR="00D670A2" w14:paraId="3B88BDAE" w14:textId="77777777">
        <w:tc>
          <w:tcPr>
            <w:tcW w:w="1450" w:type="dxa"/>
            <w:shd w:val="clear" w:color="auto" w:fill="FFFFFF"/>
            <w:tcMar>
              <w:top w:w="100" w:type="dxa"/>
              <w:left w:w="120" w:type="dxa"/>
              <w:bottom w:w="100" w:type="dxa"/>
              <w:right w:w="120" w:type="dxa"/>
            </w:tcMar>
            <w:vAlign w:val="center"/>
          </w:tcPr>
          <w:p w14:paraId="395CF286" w14:textId="77777777" w:rsidR="00D670A2" w:rsidRDefault="00000000">
            <w:pPr>
              <w:spacing w:after="0" w:line="252" w:lineRule="auto"/>
            </w:pPr>
            <w:r>
              <w:rPr>
                <w:sz w:val="17"/>
              </w:rPr>
              <w:t>Ideal</w:t>
            </w:r>
          </w:p>
        </w:tc>
        <w:tc>
          <w:tcPr>
            <w:tcW w:w="1750" w:type="dxa"/>
            <w:shd w:val="clear" w:color="auto" w:fill="FFFFFF"/>
            <w:tcMar>
              <w:top w:w="100" w:type="dxa"/>
              <w:left w:w="120" w:type="dxa"/>
              <w:bottom w:w="100" w:type="dxa"/>
              <w:right w:w="120" w:type="dxa"/>
            </w:tcMar>
            <w:vAlign w:val="center"/>
          </w:tcPr>
          <w:p w14:paraId="3DD0C0D8" w14:textId="77777777" w:rsidR="00D670A2" w:rsidRDefault="00000000">
            <w:pPr>
              <w:spacing w:after="0" w:line="252" w:lineRule="auto"/>
              <w:jc w:val="center"/>
            </w:pPr>
            <w:r>
              <w:rPr>
                <w:sz w:val="17"/>
              </w:rPr>
              <w:t>1,500 + 1,500</w:t>
            </w:r>
          </w:p>
        </w:tc>
        <w:tc>
          <w:tcPr>
            <w:tcW w:w="1700" w:type="dxa"/>
            <w:shd w:val="clear" w:color="auto" w:fill="FFFFFF"/>
            <w:tcMar>
              <w:top w:w="100" w:type="dxa"/>
              <w:left w:w="120" w:type="dxa"/>
              <w:bottom w:w="100" w:type="dxa"/>
              <w:right w:w="120" w:type="dxa"/>
            </w:tcMar>
            <w:vAlign w:val="center"/>
          </w:tcPr>
          <w:p w14:paraId="0C82E0DC" w14:textId="77777777" w:rsidR="00D670A2" w:rsidRDefault="00000000">
            <w:pPr>
              <w:spacing w:after="0" w:line="252" w:lineRule="auto"/>
              <w:jc w:val="center"/>
            </w:pPr>
            <w:r>
              <w:rPr>
                <w:sz w:val="17"/>
              </w:rPr>
              <w:t>300 / 1200</w:t>
            </w:r>
          </w:p>
        </w:tc>
        <w:tc>
          <w:tcPr>
            <w:tcW w:w="2250" w:type="dxa"/>
            <w:shd w:val="clear" w:color="auto" w:fill="FFFFFF"/>
            <w:tcMar>
              <w:top w:w="100" w:type="dxa"/>
              <w:left w:w="120" w:type="dxa"/>
              <w:bottom w:w="100" w:type="dxa"/>
              <w:right w:w="120" w:type="dxa"/>
            </w:tcMar>
            <w:vAlign w:val="center"/>
          </w:tcPr>
          <w:p w14:paraId="13F908DA" w14:textId="77777777" w:rsidR="00D670A2" w:rsidRDefault="00000000">
            <w:pPr>
              <w:spacing w:after="0" w:line="252" w:lineRule="auto"/>
              <w:jc w:val="center"/>
            </w:pPr>
            <w:r>
              <w:rPr>
                <w:sz w:val="17"/>
              </w:rPr>
              <w:t>95.0% (91.9-96.9%)</w:t>
            </w:r>
          </w:p>
        </w:tc>
        <w:tc>
          <w:tcPr>
            <w:tcW w:w="2210" w:type="dxa"/>
            <w:shd w:val="clear" w:color="auto" w:fill="FFFFFF"/>
            <w:tcMar>
              <w:top w:w="100" w:type="dxa"/>
              <w:left w:w="120" w:type="dxa"/>
              <w:bottom w:w="100" w:type="dxa"/>
              <w:right w:w="120" w:type="dxa"/>
            </w:tcMar>
            <w:vAlign w:val="center"/>
          </w:tcPr>
          <w:p w14:paraId="53D55E1F" w14:textId="77777777" w:rsidR="00D670A2" w:rsidRDefault="00000000">
            <w:pPr>
              <w:spacing w:after="0" w:line="252" w:lineRule="auto"/>
              <w:jc w:val="center"/>
            </w:pPr>
            <w:r>
              <w:rPr>
                <w:sz w:val="17"/>
              </w:rPr>
              <w:t>50.0% (47.2-52.8%)</w:t>
            </w:r>
          </w:p>
        </w:tc>
      </w:tr>
    </w:tbl>
    <w:p w14:paraId="07E17DB4" w14:textId="77777777" w:rsidR="00D670A2" w:rsidRDefault="00D670A2">
      <w:pPr>
        <w:spacing w:after="60"/>
      </w:pPr>
    </w:p>
    <w:p w14:paraId="70A00C6C" w14:textId="77777777" w:rsidR="00D670A2" w:rsidRDefault="00000000">
      <w:r>
        <w:rPr>
          <w:b/>
        </w:rPr>
        <w:t xml:space="preserve">Minimum / pilot. </w:t>
      </w:r>
    </w:p>
    <w:p w14:paraId="4709879D" w14:textId="77777777" w:rsidR="00D670A2" w:rsidRDefault="00000000">
      <w:r>
        <w:t>A blind cohort of 500 patients contains only about 100 cancer cases. If observed sensitivity is 95%, the lower 95% confidence limit is approximately 88.8%. This cohort can provide an early independent signal but is weak as a definitive performance demonstration.</w:t>
      </w:r>
    </w:p>
    <w:p w14:paraId="53A47FF4" w14:textId="77777777" w:rsidR="00D670A2" w:rsidRDefault="00000000">
      <w:r>
        <w:rPr>
          <w:b/>
        </w:rPr>
        <w:t xml:space="preserve">Recommended. </w:t>
      </w:r>
    </w:p>
    <w:p w14:paraId="68CD9F63" w14:textId="77777777" w:rsidR="00D670A2" w:rsidRDefault="00000000">
      <w:r>
        <w:t>A blind cohort of 1,000 patients contains about 200 cancer cases. Under the same assumptions, the lower sensitivity confidence limit is approximately 91.0%, while specificity is estimated within approximately +/-3.5 percentage points. This is the most defensible working target for current planning.</w:t>
      </w:r>
    </w:p>
    <w:p w14:paraId="33687A73" w14:textId="77777777" w:rsidR="00D670A2" w:rsidRDefault="00000000">
      <w:r>
        <w:rPr>
          <w:b/>
        </w:rPr>
        <w:t xml:space="preserve">Ideal. </w:t>
      </w:r>
    </w:p>
    <w:p w14:paraId="4A2E4D51" w14:textId="77777777" w:rsidR="00D670A2" w:rsidRDefault="00000000">
      <w:r>
        <w:t>A blind cohort of 1,500 patients improves precision further and provides more credible subgroup analyses. The operational burden is substantially higher.</w:t>
      </w:r>
    </w:p>
    <w:p w14:paraId="6D58F776" w14:textId="77777777" w:rsidR="00D670A2" w:rsidRDefault="00000000">
      <w:pPr>
        <w:pStyle w:val="Heading1"/>
      </w:pPr>
      <w:r>
        <w:lastRenderedPageBreak/>
        <w:t>5. One-year recruitment rate</w:t>
      </w:r>
    </w:p>
    <w:p w14:paraId="091A5E4F" w14:textId="77777777" w:rsidR="00D670A2" w:rsidRDefault="00000000">
      <w:r>
        <w:t>The calculation assumes 50 effective working weeks, five working days per week and a 20% allowance for missing pathology, incomplete attenuation measurements, protocol deviations or XRD measurements that fail quality control.</w:t>
      </w:r>
    </w:p>
    <w:tbl>
      <w:tblPr>
        <w:tblW w:w="9360" w:type="dxa"/>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0"/>
        <w:gridCol w:w="2000"/>
        <w:gridCol w:w="1700"/>
        <w:gridCol w:w="1700"/>
        <w:gridCol w:w="2260"/>
      </w:tblGrid>
      <w:tr w:rsidR="00D670A2" w14:paraId="7D362BC0" w14:textId="77777777">
        <w:trPr>
          <w:tblHeader/>
        </w:trPr>
        <w:tc>
          <w:tcPr>
            <w:tcW w:w="1700" w:type="dxa"/>
            <w:shd w:val="clear" w:color="auto" w:fill="FFFFFF"/>
            <w:tcMar>
              <w:top w:w="100" w:type="dxa"/>
              <w:left w:w="120" w:type="dxa"/>
              <w:bottom w:w="100" w:type="dxa"/>
              <w:right w:w="120" w:type="dxa"/>
            </w:tcMar>
            <w:vAlign w:val="center"/>
          </w:tcPr>
          <w:p w14:paraId="53A0BA84" w14:textId="77777777" w:rsidR="00D670A2" w:rsidRDefault="00000000">
            <w:pPr>
              <w:spacing w:after="0" w:line="252" w:lineRule="auto"/>
            </w:pPr>
            <w:r>
              <w:rPr>
                <w:b/>
                <w:sz w:val="18"/>
              </w:rPr>
              <w:t>Scenario</w:t>
            </w:r>
          </w:p>
        </w:tc>
        <w:tc>
          <w:tcPr>
            <w:tcW w:w="2000" w:type="dxa"/>
            <w:shd w:val="clear" w:color="auto" w:fill="FFFFFF"/>
            <w:tcMar>
              <w:top w:w="100" w:type="dxa"/>
              <w:left w:w="120" w:type="dxa"/>
              <w:bottom w:w="100" w:type="dxa"/>
              <w:right w:w="120" w:type="dxa"/>
            </w:tcMar>
            <w:vAlign w:val="center"/>
          </w:tcPr>
          <w:p w14:paraId="58202E2C" w14:textId="77777777" w:rsidR="00D670A2" w:rsidRDefault="00000000">
            <w:pPr>
              <w:spacing w:after="0" w:line="252" w:lineRule="auto"/>
              <w:jc w:val="center"/>
            </w:pPr>
            <w:r>
              <w:rPr>
                <w:b/>
                <w:sz w:val="18"/>
              </w:rPr>
              <w:t>Total analyzable patients</w:t>
            </w:r>
          </w:p>
        </w:tc>
        <w:tc>
          <w:tcPr>
            <w:tcW w:w="1700" w:type="dxa"/>
            <w:shd w:val="clear" w:color="auto" w:fill="FFFFFF"/>
            <w:tcMar>
              <w:top w:w="100" w:type="dxa"/>
              <w:left w:w="120" w:type="dxa"/>
              <w:bottom w:w="100" w:type="dxa"/>
              <w:right w:w="120" w:type="dxa"/>
            </w:tcMar>
            <w:vAlign w:val="center"/>
          </w:tcPr>
          <w:p w14:paraId="65982E1E" w14:textId="77777777" w:rsidR="00D670A2" w:rsidRDefault="00000000">
            <w:pPr>
              <w:spacing w:after="0" w:line="252" w:lineRule="auto"/>
              <w:jc w:val="center"/>
            </w:pPr>
            <w:r>
              <w:rPr>
                <w:b/>
                <w:sz w:val="18"/>
              </w:rPr>
              <w:t>Analyzable / week</w:t>
            </w:r>
          </w:p>
        </w:tc>
        <w:tc>
          <w:tcPr>
            <w:tcW w:w="1700" w:type="dxa"/>
            <w:shd w:val="clear" w:color="auto" w:fill="FFFFFF"/>
            <w:tcMar>
              <w:top w:w="100" w:type="dxa"/>
              <w:left w:w="120" w:type="dxa"/>
              <w:bottom w:w="100" w:type="dxa"/>
              <w:right w:w="120" w:type="dxa"/>
            </w:tcMar>
            <w:vAlign w:val="center"/>
          </w:tcPr>
          <w:p w14:paraId="1A2E1077" w14:textId="77777777" w:rsidR="00D670A2" w:rsidRDefault="00000000">
            <w:pPr>
              <w:spacing w:after="0" w:line="252" w:lineRule="auto"/>
              <w:jc w:val="center"/>
            </w:pPr>
            <w:r>
              <w:rPr>
                <w:b/>
                <w:sz w:val="18"/>
              </w:rPr>
              <w:t>Analyzable / day</w:t>
            </w:r>
          </w:p>
        </w:tc>
        <w:tc>
          <w:tcPr>
            <w:tcW w:w="2260" w:type="dxa"/>
            <w:shd w:val="clear" w:color="auto" w:fill="FFFFFF"/>
            <w:tcMar>
              <w:top w:w="100" w:type="dxa"/>
              <w:left w:w="120" w:type="dxa"/>
              <w:bottom w:w="100" w:type="dxa"/>
              <w:right w:w="120" w:type="dxa"/>
            </w:tcMar>
            <w:vAlign w:val="center"/>
          </w:tcPr>
          <w:p w14:paraId="743A575B" w14:textId="77777777" w:rsidR="00D670A2" w:rsidRDefault="00000000">
            <w:pPr>
              <w:spacing w:after="0" w:line="252" w:lineRule="auto"/>
              <w:jc w:val="center"/>
            </w:pPr>
            <w:r>
              <w:rPr>
                <w:b/>
                <w:sz w:val="18"/>
              </w:rPr>
              <w:t>Clinic target / day with 20% allowance</w:t>
            </w:r>
          </w:p>
        </w:tc>
      </w:tr>
      <w:tr w:rsidR="00D670A2" w14:paraId="7B22DDE0" w14:textId="77777777">
        <w:tc>
          <w:tcPr>
            <w:tcW w:w="1700" w:type="dxa"/>
            <w:shd w:val="clear" w:color="auto" w:fill="FFFFFF"/>
            <w:tcMar>
              <w:top w:w="100" w:type="dxa"/>
              <w:left w:w="120" w:type="dxa"/>
              <w:bottom w:w="100" w:type="dxa"/>
              <w:right w:w="120" w:type="dxa"/>
            </w:tcMar>
            <w:vAlign w:val="center"/>
          </w:tcPr>
          <w:p w14:paraId="223961F5" w14:textId="77777777" w:rsidR="00D670A2" w:rsidRDefault="00000000">
            <w:pPr>
              <w:spacing w:after="0" w:line="252" w:lineRule="auto"/>
            </w:pPr>
            <w:r>
              <w:rPr>
                <w:sz w:val="18"/>
              </w:rPr>
              <w:t>Minimum / pilot</w:t>
            </w:r>
          </w:p>
        </w:tc>
        <w:tc>
          <w:tcPr>
            <w:tcW w:w="2000" w:type="dxa"/>
            <w:shd w:val="clear" w:color="auto" w:fill="FFFFFF"/>
            <w:tcMar>
              <w:top w:w="100" w:type="dxa"/>
              <w:left w:w="120" w:type="dxa"/>
              <w:bottom w:w="100" w:type="dxa"/>
              <w:right w:w="120" w:type="dxa"/>
            </w:tcMar>
            <w:vAlign w:val="center"/>
          </w:tcPr>
          <w:p w14:paraId="0E6FBB90" w14:textId="77777777" w:rsidR="00D670A2" w:rsidRDefault="00000000">
            <w:pPr>
              <w:spacing w:after="0" w:line="252" w:lineRule="auto"/>
              <w:jc w:val="center"/>
            </w:pPr>
            <w:r>
              <w:rPr>
                <w:sz w:val="18"/>
              </w:rPr>
              <w:t>1,000</w:t>
            </w:r>
          </w:p>
        </w:tc>
        <w:tc>
          <w:tcPr>
            <w:tcW w:w="1700" w:type="dxa"/>
            <w:shd w:val="clear" w:color="auto" w:fill="FFFFFF"/>
            <w:tcMar>
              <w:top w:w="100" w:type="dxa"/>
              <w:left w:w="120" w:type="dxa"/>
              <w:bottom w:w="100" w:type="dxa"/>
              <w:right w:w="120" w:type="dxa"/>
            </w:tcMar>
            <w:vAlign w:val="center"/>
          </w:tcPr>
          <w:p w14:paraId="6F7B48B2" w14:textId="77777777" w:rsidR="00D670A2" w:rsidRDefault="00000000">
            <w:pPr>
              <w:spacing w:after="0" w:line="252" w:lineRule="auto"/>
              <w:jc w:val="center"/>
            </w:pPr>
            <w:r>
              <w:rPr>
                <w:sz w:val="18"/>
              </w:rPr>
              <w:t>20</w:t>
            </w:r>
          </w:p>
        </w:tc>
        <w:tc>
          <w:tcPr>
            <w:tcW w:w="1700" w:type="dxa"/>
            <w:shd w:val="clear" w:color="auto" w:fill="FFFFFF"/>
            <w:tcMar>
              <w:top w:w="100" w:type="dxa"/>
              <w:left w:w="120" w:type="dxa"/>
              <w:bottom w:w="100" w:type="dxa"/>
              <w:right w:w="120" w:type="dxa"/>
            </w:tcMar>
            <w:vAlign w:val="center"/>
          </w:tcPr>
          <w:p w14:paraId="67A0B625" w14:textId="77777777" w:rsidR="00D670A2" w:rsidRDefault="00000000">
            <w:pPr>
              <w:spacing w:after="0" w:line="252" w:lineRule="auto"/>
              <w:jc w:val="center"/>
            </w:pPr>
            <w:r>
              <w:rPr>
                <w:sz w:val="18"/>
              </w:rPr>
              <w:t>4</w:t>
            </w:r>
          </w:p>
        </w:tc>
        <w:tc>
          <w:tcPr>
            <w:tcW w:w="2260" w:type="dxa"/>
            <w:shd w:val="clear" w:color="auto" w:fill="FFFFFF"/>
            <w:tcMar>
              <w:top w:w="100" w:type="dxa"/>
              <w:left w:w="120" w:type="dxa"/>
              <w:bottom w:w="100" w:type="dxa"/>
              <w:right w:w="120" w:type="dxa"/>
            </w:tcMar>
            <w:vAlign w:val="center"/>
          </w:tcPr>
          <w:p w14:paraId="1B788F6C" w14:textId="77777777" w:rsidR="00D670A2" w:rsidRDefault="00000000">
            <w:pPr>
              <w:spacing w:after="0" w:line="252" w:lineRule="auto"/>
              <w:jc w:val="center"/>
            </w:pPr>
            <w:r>
              <w:rPr>
                <w:sz w:val="18"/>
              </w:rPr>
              <w:t>5</w:t>
            </w:r>
          </w:p>
        </w:tc>
      </w:tr>
      <w:tr w:rsidR="00D670A2" w14:paraId="7DE26F38" w14:textId="77777777">
        <w:tc>
          <w:tcPr>
            <w:tcW w:w="1700" w:type="dxa"/>
            <w:shd w:val="clear" w:color="auto" w:fill="FFFFFF"/>
            <w:tcMar>
              <w:top w:w="100" w:type="dxa"/>
              <w:left w:w="120" w:type="dxa"/>
              <w:bottom w:w="100" w:type="dxa"/>
              <w:right w:w="120" w:type="dxa"/>
            </w:tcMar>
            <w:vAlign w:val="center"/>
          </w:tcPr>
          <w:p w14:paraId="03A6CAB2" w14:textId="77777777" w:rsidR="00D670A2" w:rsidRDefault="00000000">
            <w:pPr>
              <w:spacing w:after="0" w:line="252" w:lineRule="auto"/>
            </w:pPr>
            <w:r>
              <w:rPr>
                <w:sz w:val="18"/>
              </w:rPr>
              <w:t>Recommended</w:t>
            </w:r>
          </w:p>
        </w:tc>
        <w:tc>
          <w:tcPr>
            <w:tcW w:w="2000" w:type="dxa"/>
            <w:shd w:val="clear" w:color="auto" w:fill="FFFFFF"/>
            <w:tcMar>
              <w:top w:w="100" w:type="dxa"/>
              <w:left w:w="120" w:type="dxa"/>
              <w:bottom w:w="100" w:type="dxa"/>
              <w:right w:w="120" w:type="dxa"/>
            </w:tcMar>
            <w:vAlign w:val="center"/>
          </w:tcPr>
          <w:p w14:paraId="30BACCEE" w14:textId="77777777" w:rsidR="00D670A2" w:rsidRDefault="00000000">
            <w:pPr>
              <w:spacing w:after="0" w:line="252" w:lineRule="auto"/>
              <w:jc w:val="center"/>
            </w:pPr>
            <w:r>
              <w:rPr>
                <w:sz w:val="18"/>
              </w:rPr>
              <w:t>2,000</w:t>
            </w:r>
          </w:p>
        </w:tc>
        <w:tc>
          <w:tcPr>
            <w:tcW w:w="1700" w:type="dxa"/>
            <w:shd w:val="clear" w:color="auto" w:fill="FFFFFF"/>
            <w:tcMar>
              <w:top w:w="100" w:type="dxa"/>
              <w:left w:w="120" w:type="dxa"/>
              <w:bottom w:w="100" w:type="dxa"/>
              <w:right w:w="120" w:type="dxa"/>
            </w:tcMar>
            <w:vAlign w:val="center"/>
          </w:tcPr>
          <w:p w14:paraId="09549E21" w14:textId="77777777" w:rsidR="00D670A2" w:rsidRDefault="00000000">
            <w:pPr>
              <w:spacing w:after="0" w:line="252" w:lineRule="auto"/>
              <w:jc w:val="center"/>
            </w:pPr>
            <w:r>
              <w:rPr>
                <w:sz w:val="18"/>
              </w:rPr>
              <w:t>40</w:t>
            </w:r>
          </w:p>
        </w:tc>
        <w:tc>
          <w:tcPr>
            <w:tcW w:w="1700" w:type="dxa"/>
            <w:shd w:val="clear" w:color="auto" w:fill="FFFFFF"/>
            <w:tcMar>
              <w:top w:w="100" w:type="dxa"/>
              <w:left w:w="120" w:type="dxa"/>
              <w:bottom w:w="100" w:type="dxa"/>
              <w:right w:w="120" w:type="dxa"/>
            </w:tcMar>
            <w:vAlign w:val="center"/>
          </w:tcPr>
          <w:p w14:paraId="0E431F66" w14:textId="77777777" w:rsidR="00D670A2" w:rsidRDefault="00000000">
            <w:pPr>
              <w:spacing w:after="0" w:line="252" w:lineRule="auto"/>
              <w:jc w:val="center"/>
            </w:pPr>
            <w:r>
              <w:rPr>
                <w:sz w:val="18"/>
              </w:rPr>
              <w:t>8</w:t>
            </w:r>
          </w:p>
        </w:tc>
        <w:tc>
          <w:tcPr>
            <w:tcW w:w="2260" w:type="dxa"/>
            <w:shd w:val="clear" w:color="auto" w:fill="FFFFFF"/>
            <w:tcMar>
              <w:top w:w="100" w:type="dxa"/>
              <w:left w:w="120" w:type="dxa"/>
              <w:bottom w:w="100" w:type="dxa"/>
              <w:right w:w="120" w:type="dxa"/>
            </w:tcMar>
            <w:vAlign w:val="center"/>
          </w:tcPr>
          <w:p w14:paraId="40184380" w14:textId="77777777" w:rsidR="00D670A2" w:rsidRDefault="00000000">
            <w:pPr>
              <w:spacing w:after="0" w:line="252" w:lineRule="auto"/>
              <w:jc w:val="center"/>
            </w:pPr>
            <w:r>
              <w:rPr>
                <w:sz w:val="18"/>
              </w:rPr>
              <w:t>10</w:t>
            </w:r>
          </w:p>
        </w:tc>
      </w:tr>
      <w:tr w:rsidR="00D670A2" w14:paraId="1F59E295" w14:textId="77777777">
        <w:tc>
          <w:tcPr>
            <w:tcW w:w="1700" w:type="dxa"/>
            <w:shd w:val="clear" w:color="auto" w:fill="FFFFFF"/>
            <w:tcMar>
              <w:top w:w="100" w:type="dxa"/>
              <w:left w:w="120" w:type="dxa"/>
              <w:bottom w:w="100" w:type="dxa"/>
              <w:right w:w="120" w:type="dxa"/>
            </w:tcMar>
            <w:vAlign w:val="center"/>
          </w:tcPr>
          <w:p w14:paraId="72D1C2DC" w14:textId="77777777" w:rsidR="00D670A2" w:rsidRDefault="00000000">
            <w:pPr>
              <w:spacing w:after="0" w:line="252" w:lineRule="auto"/>
            </w:pPr>
            <w:r>
              <w:rPr>
                <w:sz w:val="18"/>
              </w:rPr>
              <w:t>Ideal</w:t>
            </w:r>
          </w:p>
        </w:tc>
        <w:tc>
          <w:tcPr>
            <w:tcW w:w="2000" w:type="dxa"/>
            <w:shd w:val="clear" w:color="auto" w:fill="FFFFFF"/>
            <w:tcMar>
              <w:top w:w="100" w:type="dxa"/>
              <w:left w:w="120" w:type="dxa"/>
              <w:bottom w:w="100" w:type="dxa"/>
              <w:right w:w="120" w:type="dxa"/>
            </w:tcMar>
            <w:vAlign w:val="center"/>
          </w:tcPr>
          <w:p w14:paraId="742D5400" w14:textId="77777777" w:rsidR="00D670A2" w:rsidRDefault="00000000">
            <w:pPr>
              <w:spacing w:after="0" w:line="252" w:lineRule="auto"/>
              <w:jc w:val="center"/>
            </w:pPr>
            <w:r>
              <w:rPr>
                <w:sz w:val="18"/>
              </w:rPr>
              <w:t>3,000</w:t>
            </w:r>
          </w:p>
        </w:tc>
        <w:tc>
          <w:tcPr>
            <w:tcW w:w="1700" w:type="dxa"/>
            <w:shd w:val="clear" w:color="auto" w:fill="FFFFFF"/>
            <w:tcMar>
              <w:top w:w="100" w:type="dxa"/>
              <w:left w:w="120" w:type="dxa"/>
              <w:bottom w:w="100" w:type="dxa"/>
              <w:right w:w="120" w:type="dxa"/>
            </w:tcMar>
            <w:vAlign w:val="center"/>
          </w:tcPr>
          <w:p w14:paraId="09FC7B5D" w14:textId="77777777" w:rsidR="00D670A2" w:rsidRDefault="00000000">
            <w:pPr>
              <w:spacing w:after="0" w:line="252" w:lineRule="auto"/>
              <w:jc w:val="center"/>
            </w:pPr>
            <w:r>
              <w:rPr>
                <w:sz w:val="18"/>
              </w:rPr>
              <w:t>60</w:t>
            </w:r>
          </w:p>
        </w:tc>
        <w:tc>
          <w:tcPr>
            <w:tcW w:w="1700" w:type="dxa"/>
            <w:shd w:val="clear" w:color="auto" w:fill="FFFFFF"/>
            <w:tcMar>
              <w:top w:w="100" w:type="dxa"/>
              <w:left w:w="120" w:type="dxa"/>
              <w:bottom w:w="100" w:type="dxa"/>
              <w:right w:w="120" w:type="dxa"/>
            </w:tcMar>
            <w:vAlign w:val="center"/>
          </w:tcPr>
          <w:p w14:paraId="36155FE6" w14:textId="77777777" w:rsidR="00D670A2" w:rsidRDefault="00000000">
            <w:pPr>
              <w:spacing w:after="0" w:line="252" w:lineRule="auto"/>
              <w:jc w:val="center"/>
            </w:pPr>
            <w:r>
              <w:rPr>
                <w:sz w:val="18"/>
              </w:rPr>
              <w:t>12</w:t>
            </w:r>
          </w:p>
        </w:tc>
        <w:tc>
          <w:tcPr>
            <w:tcW w:w="2260" w:type="dxa"/>
            <w:shd w:val="clear" w:color="auto" w:fill="FFFFFF"/>
            <w:tcMar>
              <w:top w:w="100" w:type="dxa"/>
              <w:left w:w="120" w:type="dxa"/>
              <w:bottom w:w="100" w:type="dxa"/>
              <w:right w:w="120" w:type="dxa"/>
            </w:tcMar>
            <w:vAlign w:val="center"/>
          </w:tcPr>
          <w:p w14:paraId="6D0CCE79" w14:textId="77777777" w:rsidR="00D670A2" w:rsidRDefault="00000000">
            <w:pPr>
              <w:spacing w:after="0" w:line="252" w:lineRule="auto"/>
              <w:jc w:val="center"/>
            </w:pPr>
            <w:r>
              <w:rPr>
                <w:sz w:val="18"/>
              </w:rPr>
              <w:t>15</w:t>
            </w:r>
          </w:p>
        </w:tc>
      </w:tr>
    </w:tbl>
    <w:p w14:paraId="565633E3" w14:textId="77777777" w:rsidR="00D670A2" w:rsidRDefault="00D670A2">
      <w:pPr>
        <w:spacing w:after="60"/>
      </w:pPr>
    </w:p>
    <w:p w14:paraId="4411696D" w14:textId="77777777" w:rsidR="00D670A2" w:rsidRDefault="00000000">
      <w:r>
        <w:t>For sequential collection within one year, approximately half of the effective weeks are allocated to development and half to blind validation. The recommended scenario therefore requires about eight analyzable patients per day during both stages, or approximately ten recruited patients per day after the operational allowance.</w:t>
      </w:r>
    </w:p>
    <w:p w14:paraId="6B064BE4" w14:textId="77777777" w:rsidR="00D670A2" w:rsidRDefault="00000000">
      <w:r>
        <w:t>Any delay between development completion and model lock reduces the remaining blind-collection period. The recruitment rate must then increase, or the program must extend beyond one year.</w:t>
      </w:r>
    </w:p>
    <w:p w14:paraId="6B9A6D1A" w14:textId="77777777" w:rsidR="00D670A2" w:rsidRDefault="00000000">
      <w:pPr>
        <w:pStyle w:val="Heading1"/>
      </w:pPr>
      <w:r>
        <w:t>6. Prospective sequence</w:t>
      </w:r>
    </w:p>
    <w:p w14:paraId="1E586147" w14:textId="77777777" w:rsidR="00D670A2" w:rsidRDefault="00000000">
      <w:pPr>
        <w:pStyle w:val="ListNumber"/>
        <w:spacing w:after="100"/>
        <w:ind w:left="720"/>
      </w:pPr>
      <w:r>
        <w:t>Approve intended use, eligibility criteria, reference labels, acquisition protocol, attenuation-coefficient measurement and fixed QC rules before prospective collection.</w:t>
      </w:r>
    </w:p>
    <w:p w14:paraId="3F98AABF" w14:textId="77777777" w:rsidR="00D670A2" w:rsidRDefault="00000000">
      <w:pPr>
        <w:pStyle w:val="ListNumber"/>
        <w:spacing w:after="100"/>
        <w:ind w:left="720"/>
      </w:pPr>
      <w:r>
        <w:t>Collect the development cohort. Permit only predefined analysis and tuning within this cohort.</w:t>
      </w:r>
    </w:p>
    <w:p w14:paraId="5EDB45F0" w14:textId="77777777" w:rsidR="00D670A2" w:rsidRDefault="00000000">
      <w:pPr>
        <w:pStyle w:val="ListNumber"/>
        <w:spacing w:after="100"/>
        <w:ind w:left="720"/>
      </w:pPr>
      <w:r>
        <w:t>Lock the preprocessing pipeline, feature schema, model architecture, coefficients, regularization, decision threshold, software version and statistical analysis plan.</w:t>
      </w:r>
    </w:p>
    <w:p w14:paraId="1D16FF40" w14:textId="77777777" w:rsidR="00D670A2" w:rsidRDefault="00000000">
      <w:pPr>
        <w:pStyle w:val="ListNumber"/>
        <w:spacing w:after="100"/>
        <w:ind w:left="720"/>
      </w:pPr>
      <w:r>
        <w:t>Start independent blind collection only after the lock. Do not use blind labels for model modification.</w:t>
      </w:r>
    </w:p>
    <w:p w14:paraId="164B05C8" w14:textId="77777777" w:rsidR="00D670A2" w:rsidRDefault="00000000">
      <w:pPr>
        <w:pStyle w:val="ListNumber"/>
        <w:spacing w:after="100"/>
        <w:ind w:left="720"/>
      </w:pPr>
      <w:r>
        <w:t>Evaluate the locked model on all eligible blind patients and report every exclusion, invalid result and protocol deviation.</w:t>
      </w:r>
    </w:p>
    <w:p w14:paraId="572980BA" w14:textId="77777777" w:rsidR="00D670A2" w:rsidRDefault="00000000">
      <w:pPr>
        <w:pStyle w:val="ListNumber"/>
        <w:spacing w:after="100"/>
        <w:ind w:left="720"/>
      </w:pPr>
      <w:r>
        <w:t>Report sensitivity, specificity, ROC AUC, PPV, NPV, confusion matrix and two-sided 95% confidence intervals overall and by predefined demographic and clinical subgroups.</w:t>
      </w:r>
    </w:p>
    <w:p w14:paraId="6E3C4CD0" w14:textId="77777777" w:rsidR="00D670A2" w:rsidRDefault="00000000">
      <w:pPr>
        <w:pStyle w:val="Heading1"/>
      </w:pPr>
      <w:r>
        <w:t>7. Minimum prospective data contract</w:t>
      </w:r>
    </w:p>
    <w:tbl>
      <w:tblPr>
        <w:tblW w:w="9360" w:type="dxa"/>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00"/>
        <w:gridCol w:w="7460"/>
      </w:tblGrid>
      <w:tr w:rsidR="00D670A2" w14:paraId="1DF7670A" w14:textId="77777777">
        <w:trPr>
          <w:tblHeader/>
        </w:trPr>
        <w:tc>
          <w:tcPr>
            <w:tcW w:w="1900" w:type="dxa"/>
            <w:shd w:val="clear" w:color="auto" w:fill="FFFFFF"/>
            <w:tcMar>
              <w:top w:w="100" w:type="dxa"/>
              <w:left w:w="120" w:type="dxa"/>
              <w:bottom w:w="100" w:type="dxa"/>
              <w:right w:w="120" w:type="dxa"/>
            </w:tcMar>
            <w:vAlign w:val="center"/>
          </w:tcPr>
          <w:p w14:paraId="1A5BC153" w14:textId="77777777" w:rsidR="00D670A2" w:rsidRDefault="00000000">
            <w:pPr>
              <w:spacing w:after="0" w:line="252" w:lineRule="auto"/>
            </w:pPr>
            <w:r>
              <w:rPr>
                <w:b/>
                <w:sz w:val="18"/>
              </w:rPr>
              <w:t>Domain</w:t>
            </w:r>
          </w:p>
        </w:tc>
        <w:tc>
          <w:tcPr>
            <w:tcW w:w="7460" w:type="dxa"/>
            <w:shd w:val="clear" w:color="auto" w:fill="FFFFFF"/>
            <w:tcMar>
              <w:top w:w="100" w:type="dxa"/>
              <w:left w:w="120" w:type="dxa"/>
              <w:bottom w:w="100" w:type="dxa"/>
              <w:right w:w="120" w:type="dxa"/>
            </w:tcMar>
            <w:vAlign w:val="center"/>
          </w:tcPr>
          <w:p w14:paraId="4D144712" w14:textId="77777777" w:rsidR="00D670A2" w:rsidRDefault="00000000">
            <w:pPr>
              <w:spacing w:after="0" w:line="252" w:lineRule="auto"/>
            </w:pPr>
            <w:r>
              <w:rPr>
                <w:b/>
                <w:sz w:val="18"/>
              </w:rPr>
              <w:t>Required content</w:t>
            </w:r>
          </w:p>
        </w:tc>
      </w:tr>
      <w:tr w:rsidR="00D670A2" w14:paraId="6A8632DF" w14:textId="77777777">
        <w:tc>
          <w:tcPr>
            <w:tcW w:w="1900" w:type="dxa"/>
            <w:shd w:val="clear" w:color="auto" w:fill="FFFFFF"/>
            <w:tcMar>
              <w:top w:w="100" w:type="dxa"/>
              <w:left w:w="120" w:type="dxa"/>
              <w:bottom w:w="100" w:type="dxa"/>
              <w:right w:w="120" w:type="dxa"/>
            </w:tcMar>
            <w:vAlign w:val="center"/>
          </w:tcPr>
          <w:p w14:paraId="3738BAE2" w14:textId="77777777" w:rsidR="00D670A2" w:rsidRDefault="00000000">
            <w:pPr>
              <w:spacing w:after="0" w:line="252" w:lineRule="auto"/>
            </w:pPr>
            <w:r>
              <w:rPr>
                <w:sz w:val="18"/>
              </w:rPr>
              <w:t>Patient</w:t>
            </w:r>
          </w:p>
        </w:tc>
        <w:tc>
          <w:tcPr>
            <w:tcW w:w="7460" w:type="dxa"/>
            <w:shd w:val="clear" w:color="auto" w:fill="FFFFFF"/>
            <w:tcMar>
              <w:top w:w="100" w:type="dxa"/>
              <w:left w:w="120" w:type="dxa"/>
              <w:bottom w:w="100" w:type="dxa"/>
              <w:right w:w="120" w:type="dxa"/>
            </w:tcMar>
            <w:vAlign w:val="center"/>
          </w:tcPr>
          <w:p w14:paraId="1666382F" w14:textId="77777777" w:rsidR="00D670A2" w:rsidRDefault="00000000">
            <w:pPr>
              <w:spacing w:after="0" w:line="252" w:lineRule="auto"/>
            </w:pPr>
            <w:r>
              <w:rPr>
                <w:sz w:val="18"/>
              </w:rPr>
              <w:t>Patient/session identifier; age; recruitment site; BI-RADS category; target breast and location</w:t>
            </w:r>
          </w:p>
        </w:tc>
      </w:tr>
      <w:tr w:rsidR="00D670A2" w14:paraId="3D4F4100" w14:textId="77777777">
        <w:tc>
          <w:tcPr>
            <w:tcW w:w="1900" w:type="dxa"/>
            <w:shd w:val="clear" w:color="auto" w:fill="FFFFFF"/>
            <w:tcMar>
              <w:top w:w="100" w:type="dxa"/>
              <w:left w:w="120" w:type="dxa"/>
              <w:bottom w:w="100" w:type="dxa"/>
              <w:right w:w="120" w:type="dxa"/>
            </w:tcMar>
            <w:vAlign w:val="center"/>
          </w:tcPr>
          <w:p w14:paraId="395A8003" w14:textId="77777777" w:rsidR="00D670A2" w:rsidRDefault="00000000">
            <w:pPr>
              <w:spacing w:after="0" w:line="252" w:lineRule="auto"/>
            </w:pPr>
            <w:r>
              <w:rPr>
                <w:sz w:val="18"/>
              </w:rPr>
              <w:t>Reference label</w:t>
            </w:r>
          </w:p>
        </w:tc>
        <w:tc>
          <w:tcPr>
            <w:tcW w:w="7460" w:type="dxa"/>
            <w:shd w:val="clear" w:color="auto" w:fill="FFFFFF"/>
            <w:tcMar>
              <w:top w:w="100" w:type="dxa"/>
              <w:left w:w="120" w:type="dxa"/>
              <w:bottom w:w="100" w:type="dxa"/>
              <w:right w:w="120" w:type="dxa"/>
            </w:tcMar>
            <w:vAlign w:val="center"/>
          </w:tcPr>
          <w:p w14:paraId="5FEDB540" w14:textId="77777777" w:rsidR="00D670A2" w:rsidRDefault="00000000">
            <w:pPr>
              <w:spacing w:after="0" w:line="252" w:lineRule="auto"/>
            </w:pPr>
            <w:r>
              <w:rPr>
                <w:sz w:val="18"/>
              </w:rPr>
              <w:t>Biopsy performed; histopathology result; CANCER/BENIGN mapping; label date</w:t>
            </w:r>
          </w:p>
        </w:tc>
      </w:tr>
      <w:tr w:rsidR="00D670A2" w14:paraId="55228666" w14:textId="77777777">
        <w:tc>
          <w:tcPr>
            <w:tcW w:w="1900" w:type="dxa"/>
            <w:shd w:val="clear" w:color="auto" w:fill="FFFFFF"/>
            <w:tcMar>
              <w:top w:w="100" w:type="dxa"/>
              <w:left w:w="120" w:type="dxa"/>
              <w:bottom w:w="100" w:type="dxa"/>
              <w:right w:w="120" w:type="dxa"/>
            </w:tcMar>
            <w:vAlign w:val="center"/>
          </w:tcPr>
          <w:p w14:paraId="247D744B" w14:textId="77777777" w:rsidR="00D670A2" w:rsidRDefault="00000000">
            <w:pPr>
              <w:spacing w:after="0" w:line="252" w:lineRule="auto"/>
            </w:pPr>
            <w:r>
              <w:rPr>
                <w:sz w:val="18"/>
              </w:rPr>
              <w:t>XRD acquisition</w:t>
            </w:r>
          </w:p>
        </w:tc>
        <w:tc>
          <w:tcPr>
            <w:tcW w:w="7460" w:type="dxa"/>
            <w:shd w:val="clear" w:color="auto" w:fill="FFFFFF"/>
            <w:tcMar>
              <w:top w:w="100" w:type="dxa"/>
              <w:left w:w="120" w:type="dxa"/>
              <w:bottom w:w="100" w:type="dxa"/>
              <w:right w:w="120" w:type="dxa"/>
            </w:tcMar>
            <w:vAlign w:val="center"/>
          </w:tcPr>
          <w:p w14:paraId="7BE32C2C" w14:textId="77777777" w:rsidR="00D670A2" w:rsidRDefault="00000000">
            <w:pPr>
              <w:spacing w:after="0" w:line="252" w:lineRule="auto"/>
            </w:pPr>
            <w:r>
              <w:rPr>
                <w:sz w:val="18"/>
              </w:rPr>
              <w:t>Measurement identifiers; breast side; measurement location; acquisition date/time; operator</w:t>
            </w:r>
          </w:p>
        </w:tc>
      </w:tr>
      <w:tr w:rsidR="00D670A2" w14:paraId="769C651E" w14:textId="77777777">
        <w:tc>
          <w:tcPr>
            <w:tcW w:w="1900" w:type="dxa"/>
            <w:shd w:val="clear" w:color="auto" w:fill="FFFFFF"/>
            <w:tcMar>
              <w:top w:w="100" w:type="dxa"/>
              <w:left w:w="120" w:type="dxa"/>
              <w:bottom w:w="100" w:type="dxa"/>
              <w:right w:w="120" w:type="dxa"/>
            </w:tcMar>
            <w:vAlign w:val="center"/>
          </w:tcPr>
          <w:p w14:paraId="288ADEFB" w14:textId="77777777" w:rsidR="00D670A2" w:rsidRDefault="00000000">
            <w:pPr>
              <w:spacing w:after="0" w:line="252" w:lineRule="auto"/>
            </w:pPr>
            <w:r>
              <w:rPr>
                <w:sz w:val="18"/>
              </w:rPr>
              <w:t>Normalization</w:t>
            </w:r>
          </w:p>
        </w:tc>
        <w:tc>
          <w:tcPr>
            <w:tcW w:w="7460" w:type="dxa"/>
            <w:shd w:val="clear" w:color="auto" w:fill="FFFFFF"/>
            <w:tcMar>
              <w:top w:w="100" w:type="dxa"/>
              <w:left w:w="120" w:type="dxa"/>
              <w:bottom w:w="100" w:type="dxa"/>
              <w:right w:w="120" w:type="dxa"/>
            </w:tcMar>
            <w:vAlign w:val="center"/>
          </w:tcPr>
          <w:p w14:paraId="72991A8C" w14:textId="77777777" w:rsidR="00D670A2" w:rsidRDefault="00000000">
            <w:pPr>
              <w:spacing w:after="0" w:line="252" w:lineRule="auto"/>
            </w:pPr>
            <w:r>
              <w:rPr>
                <w:sz w:val="18"/>
              </w:rPr>
              <w:t>Attenuation coefficient and measurement method for every patient</w:t>
            </w:r>
          </w:p>
        </w:tc>
      </w:tr>
      <w:tr w:rsidR="00D670A2" w14:paraId="114FF12F" w14:textId="77777777">
        <w:tc>
          <w:tcPr>
            <w:tcW w:w="1900" w:type="dxa"/>
            <w:shd w:val="clear" w:color="auto" w:fill="FFFFFF"/>
            <w:tcMar>
              <w:top w:w="100" w:type="dxa"/>
              <w:left w:w="120" w:type="dxa"/>
              <w:bottom w:w="100" w:type="dxa"/>
              <w:right w:w="120" w:type="dxa"/>
            </w:tcMar>
            <w:vAlign w:val="center"/>
          </w:tcPr>
          <w:p w14:paraId="68E01E44" w14:textId="77777777" w:rsidR="00D670A2" w:rsidRDefault="00000000">
            <w:pPr>
              <w:spacing w:after="0" w:line="252" w:lineRule="auto"/>
            </w:pPr>
            <w:r>
              <w:rPr>
                <w:sz w:val="18"/>
              </w:rPr>
              <w:lastRenderedPageBreak/>
              <w:t>Quality control</w:t>
            </w:r>
          </w:p>
        </w:tc>
        <w:tc>
          <w:tcPr>
            <w:tcW w:w="7460" w:type="dxa"/>
            <w:shd w:val="clear" w:color="auto" w:fill="FFFFFF"/>
            <w:tcMar>
              <w:top w:w="100" w:type="dxa"/>
              <w:left w:w="120" w:type="dxa"/>
              <w:bottom w:w="100" w:type="dxa"/>
              <w:right w:w="120" w:type="dxa"/>
            </w:tcMar>
            <w:vAlign w:val="center"/>
          </w:tcPr>
          <w:p w14:paraId="78F605F8" w14:textId="77777777" w:rsidR="00D670A2" w:rsidRDefault="00000000">
            <w:pPr>
              <w:spacing w:after="0" w:line="252" w:lineRule="auto"/>
            </w:pPr>
            <w:r>
              <w:rPr>
                <w:sz w:val="18"/>
              </w:rPr>
              <w:t>SNR value and method; pass/fail status; rejection reason; retained measurement count per breast</w:t>
            </w:r>
          </w:p>
        </w:tc>
      </w:tr>
      <w:tr w:rsidR="00D670A2" w14:paraId="1B7638B7" w14:textId="77777777">
        <w:tc>
          <w:tcPr>
            <w:tcW w:w="1900" w:type="dxa"/>
            <w:shd w:val="clear" w:color="auto" w:fill="FFFFFF"/>
            <w:tcMar>
              <w:top w:w="100" w:type="dxa"/>
              <w:left w:w="120" w:type="dxa"/>
              <w:bottom w:w="100" w:type="dxa"/>
              <w:right w:w="120" w:type="dxa"/>
            </w:tcMar>
            <w:vAlign w:val="center"/>
          </w:tcPr>
          <w:p w14:paraId="42E455BE" w14:textId="77777777" w:rsidR="00D670A2" w:rsidRDefault="00000000">
            <w:pPr>
              <w:spacing w:after="0" w:line="252" w:lineRule="auto"/>
            </w:pPr>
            <w:r>
              <w:rPr>
                <w:sz w:val="18"/>
              </w:rPr>
              <w:t>Technical traceability</w:t>
            </w:r>
          </w:p>
        </w:tc>
        <w:tc>
          <w:tcPr>
            <w:tcW w:w="7460" w:type="dxa"/>
            <w:shd w:val="clear" w:color="auto" w:fill="FFFFFF"/>
            <w:tcMar>
              <w:top w:w="100" w:type="dxa"/>
              <w:left w:w="120" w:type="dxa"/>
              <w:bottom w:w="100" w:type="dxa"/>
              <w:right w:w="120" w:type="dxa"/>
            </w:tcMar>
            <w:vAlign w:val="center"/>
          </w:tcPr>
          <w:p w14:paraId="4CBA204E" w14:textId="77777777" w:rsidR="00D670A2" w:rsidRDefault="00000000">
            <w:pPr>
              <w:spacing w:after="0" w:line="252" w:lineRule="auto"/>
            </w:pPr>
            <w:r>
              <w:rPr>
                <w:sz w:val="18"/>
              </w:rPr>
              <w:t>Hardware, software, protocol, calibration and preprocessing versions</w:t>
            </w:r>
          </w:p>
        </w:tc>
      </w:tr>
    </w:tbl>
    <w:p w14:paraId="216A78EF" w14:textId="77777777" w:rsidR="00D670A2" w:rsidRDefault="00D670A2">
      <w:pPr>
        <w:spacing w:after="60"/>
      </w:pPr>
    </w:p>
    <w:p w14:paraId="0CAE21FF" w14:textId="77777777" w:rsidR="00D670A2" w:rsidRDefault="00000000">
      <w:pPr>
        <w:pStyle w:val="Heading1"/>
      </w:pPr>
      <w:r>
        <w:t>8. FDA-aligned rationale</w:t>
      </w:r>
    </w:p>
    <w:p w14:paraId="0F5AFDD2" w14:textId="77777777" w:rsidR="00D670A2" w:rsidRDefault="00000000">
      <w:r>
        <w:t>FDA diagnostic-test guidance recommends evaluation against an appropriate reference standard in subjects representative of the intended-use population. It also recommends reporting sensitivity and specificity as pairs with two-sided 95% confidence intervals and providing a complete accounting of tested, excluded and analyzed subjects.</w:t>
      </w:r>
    </w:p>
    <w:p w14:paraId="30C80E06" w14:textId="77777777" w:rsidR="00D670A2" w:rsidRDefault="00000000">
      <w:r>
        <w:t>FDA materials for AI-enabled medical products distinguish training, tuning and test data and state that test data should be independent of data used for training and tuning. FDA guidance also recommends representation and reporting of relevant age and other demographic subgroups.</w:t>
      </w:r>
    </w:p>
    <w:p w14:paraId="05CEC085" w14:textId="77777777" w:rsidR="00D670A2" w:rsidRDefault="00000000">
      <w:r>
        <w:t>No FDA document sets a universal requirement of 500, 1,000 or 1,500 patients for Aramina. The scenarios in this document are statistical planning estimates based on assumed prevalence and desired precision. Final pivotal sample size must be derived from prespecified acceptance criteria, especially the required lower confidence bound for sensitivity, and confirmed with a biostatistician and through FDA pre-submission interaction.</w:t>
      </w:r>
    </w:p>
    <w:p w14:paraId="67BC549A" w14:textId="77777777" w:rsidR="00D670A2" w:rsidRDefault="00000000">
      <w:pPr>
        <w:pStyle w:val="Heading1"/>
      </w:pPr>
      <w:r>
        <w:t>9. Recommendation</w:t>
      </w:r>
    </w:p>
    <w:p w14:paraId="3F06912E" w14:textId="77777777" w:rsidR="00D670A2" w:rsidRDefault="00000000">
      <w:r>
        <w:t>Adopt 1,000 analyzable development patients plus 1,000 independent analyzable blind-validation patients as the working plan. Recruit approximately ten patients per working day to allow for incomplete labels and quality-control losses. Treat 500 + 500 as a pilot scenario and 1,500 + 1,500 as the preferred upper scenario when recruitment capacity permits.</w:t>
      </w:r>
    </w:p>
    <w:p w14:paraId="79FC6780" w14:textId="77777777" w:rsidR="00D670A2" w:rsidRDefault="00000000">
      <w:r>
        <w:t>Before collection starts, fix the intended-use statement, reference-label definition, SNR method and threshold, attenuation-coefficient protocol, patient-level inclusion rules and the statistical success criteria. This step is more important than forcing artificial statistical similarity between the development and blind cohorts.</w:t>
      </w:r>
    </w:p>
    <w:p w14:paraId="631B98E0" w14:textId="77777777" w:rsidR="00D670A2" w:rsidRDefault="00000000">
      <w:pPr>
        <w:pStyle w:val="Heading1"/>
      </w:pPr>
      <w:r>
        <w:t>References</w:t>
      </w:r>
    </w:p>
    <w:p w14:paraId="34C4C17C" w14:textId="77777777" w:rsidR="00D670A2" w:rsidRDefault="00000000">
      <w:pPr>
        <w:spacing w:after="100" w:line="252" w:lineRule="auto"/>
        <w:ind w:left="360" w:hanging="360"/>
      </w:pPr>
      <w:r>
        <w:rPr>
          <w:color w:val="666666"/>
          <w:sz w:val="18"/>
        </w:rPr>
        <w:t>U.S. Food and Drug Administration. Statistical Guidance on Reporting Results from Studies Evaluating Diagnostic Tests - Guidance for Industry and FDA Staff. March 2007.</w:t>
      </w:r>
    </w:p>
    <w:p w14:paraId="7B3F9267" w14:textId="77777777" w:rsidR="00D670A2" w:rsidRDefault="00000000">
      <w:pPr>
        <w:spacing w:after="100" w:line="252" w:lineRule="auto"/>
        <w:ind w:left="360" w:hanging="360"/>
      </w:pPr>
      <w:r>
        <w:rPr>
          <w:color w:val="666666"/>
          <w:sz w:val="18"/>
        </w:rPr>
        <w:t>U.S. Food and Drug Administration. FDA Digital Health and Artificial Intelligence Glossary - Educational Resource. Test Data.</w:t>
      </w:r>
    </w:p>
    <w:p w14:paraId="50E069E2" w14:textId="77777777" w:rsidR="00D670A2" w:rsidRDefault="00000000">
      <w:pPr>
        <w:spacing w:after="100" w:line="252" w:lineRule="auto"/>
        <w:ind w:left="360" w:hanging="360"/>
      </w:pPr>
      <w:r>
        <w:rPr>
          <w:color w:val="666666"/>
          <w:sz w:val="18"/>
        </w:rPr>
        <w:t>U.S. Food and Drug Administration. Evaluation and Reporting of Age-, Race-, and Ethnicity-Specific Data in Medical Device Clinical Studies. September 2017.</w:t>
      </w:r>
    </w:p>
    <w:p w14:paraId="4C4AF5AB" w14:textId="77777777" w:rsidR="00D670A2" w:rsidRDefault="00000000">
      <w:pPr>
        <w:spacing w:after="100" w:line="252" w:lineRule="auto"/>
        <w:ind w:left="360" w:hanging="360"/>
      </w:pPr>
      <w:r>
        <w:rPr>
          <w:color w:val="666666"/>
          <w:sz w:val="18"/>
        </w:rPr>
        <w:t>U.S. Food and Drug Administration. Artificial Intelligence-Enabled Device Software Functions: Lifecycle Management and Marketing Submission Recommendations. Draft Guidance. January 2025.</w:t>
      </w:r>
    </w:p>
    <w:sectPr w:rsidR="00D670A2" w:rsidSect="00034616">
      <w:headerReference w:type="default" r:id="rId8"/>
      <w:footerReference w:type="default" r:id="rId9"/>
      <w:pgSz w:w="12240" w:h="15840"/>
      <w:pgMar w:top="1181" w:right="1440" w:bottom="1123"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18DCF" w14:textId="77777777" w:rsidR="00AC7D85" w:rsidRDefault="00AC7D85">
      <w:pPr>
        <w:spacing w:after="0" w:line="240" w:lineRule="auto"/>
      </w:pPr>
      <w:r>
        <w:separator/>
      </w:r>
    </w:p>
  </w:endnote>
  <w:endnote w:type="continuationSeparator" w:id="0">
    <w:p w14:paraId="494E000D" w14:textId="77777777" w:rsidR="00AC7D85" w:rsidRDefault="00AC7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1799" w14:textId="77777777" w:rsidR="00D670A2" w:rsidRDefault="00000000">
    <w:pPr>
      <w:pStyle w:val="Footer"/>
      <w:jc w:val="right"/>
    </w:pPr>
    <w:r>
      <w:rPr>
        <w:color w:val="666666"/>
        <w:sz w:val="18"/>
      </w:rPr>
      <w:t xml:space="preserve">Page </w:t>
    </w:r>
    <w:r>
      <w:rPr>
        <w:color w:val="666666"/>
        <w:sz w:val="18"/>
      </w:rPr>
      <w:fldChar w:fldCharType="begin"/>
    </w:r>
    <w:r>
      <w:rPr>
        <w:color w:val="666666"/>
        <w:sz w:val="18"/>
      </w:rPr>
      <w:instrText xml:space="preserve"> PAGE </w:instrText>
    </w:r>
    <w:r w:rsidR="00CC23C2">
      <w:rPr>
        <w:color w:val="666666"/>
        <w:sz w:val="18"/>
      </w:rPr>
      <w:fldChar w:fldCharType="separate"/>
    </w:r>
    <w:r w:rsidR="00CC23C2">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61366" w14:textId="77777777" w:rsidR="00AC7D85" w:rsidRDefault="00AC7D85">
      <w:pPr>
        <w:spacing w:after="0" w:line="240" w:lineRule="auto"/>
      </w:pPr>
      <w:r>
        <w:separator/>
      </w:r>
    </w:p>
  </w:footnote>
  <w:footnote w:type="continuationSeparator" w:id="0">
    <w:p w14:paraId="70E1C0F3" w14:textId="77777777" w:rsidR="00AC7D85" w:rsidRDefault="00AC7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7F86" w14:textId="77777777" w:rsidR="00D670A2" w:rsidRDefault="00000000">
    <w:pPr>
      <w:pStyle w:val="Header"/>
    </w:pPr>
    <w:r>
      <w:rPr>
        <w:b/>
        <w:color w:val="666666"/>
        <w:sz w:val="17"/>
      </w:rPr>
      <w:t>ARAMINA | HUMAN 1.1 PATIENT COLLECTION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567032">
    <w:abstractNumId w:val="8"/>
  </w:num>
  <w:num w:numId="2" w16cid:durableId="892812621">
    <w:abstractNumId w:val="6"/>
  </w:num>
  <w:num w:numId="3" w16cid:durableId="2017805570">
    <w:abstractNumId w:val="5"/>
  </w:num>
  <w:num w:numId="4" w16cid:durableId="985085474">
    <w:abstractNumId w:val="4"/>
  </w:num>
  <w:num w:numId="5" w16cid:durableId="1302269671">
    <w:abstractNumId w:val="7"/>
  </w:num>
  <w:num w:numId="6" w16cid:durableId="1284114842">
    <w:abstractNumId w:val="3"/>
  </w:num>
  <w:num w:numId="7" w16cid:durableId="1591813591">
    <w:abstractNumId w:val="2"/>
  </w:num>
  <w:num w:numId="8" w16cid:durableId="651108277">
    <w:abstractNumId w:val="1"/>
  </w:num>
  <w:num w:numId="9" w16cid:durableId="1420249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B0B"/>
    <w:rsid w:val="0029639D"/>
    <w:rsid w:val="00326F90"/>
    <w:rsid w:val="00AA1D8D"/>
    <w:rsid w:val="00AC7D85"/>
    <w:rsid w:val="00B47730"/>
    <w:rsid w:val="00CB0664"/>
    <w:rsid w:val="00CC23C2"/>
    <w:rsid w:val="00D67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EF2D7"/>
  <w14:defaultImageDpi w14:val="300"/>
  <w15:docId w15:val="{1301312F-01DC-8D43-8132-3D4549C88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style>
  <w:style w:type="paragraph" w:styleId="ListBullet2">
    <w:name w:val="List Bullet 2"/>
    <w:basedOn w:val="Normal"/>
    <w:uiPriority w:val="99"/>
    <w:unhideWhenUsed/>
    <w:rsid w:val="00326F90"/>
    <w:pPr>
      <w:numPr>
        <w:numId w:val="2"/>
      </w:numPr>
      <w:spacing w:after="80" w:line="28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Aramina Patient Collection and Independent Validation Plan</dc:title>
  <dc:subject>Human 1.1 prospective development and blind-validation planning</dc:subject>
  <dc:creator>Sergey Denisov</dc:creator>
  <cp:keywords>Aramina; Human 1.1; patient collection; independent validation</cp:keywords>
  <dc:description>Research planning draft</dc:description>
  <cp:lastModifiedBy>Sergey Denisov</cp:lastModifiedBy>
  <cp:revision>2</cp:revision>
  <dcterms:created xsi:type="dcterms:W3CDTF">2026-07-28T14:36:00Z</dcterms:created>
  <dcterms:modified xsi:type="dcterms:W3CDTF">2026-07-28T14:36:00Z</dcterms:modified>
  <cp:category/>
</cp:coreProperties>
</file>