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SOP-IT-001: Master IT Governance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establishes the overall IT governance framework for the organization, defining how IT systems support FDA-regulated medical device operations while maintaining compliance with 21 CFR Part 11 and Part 820.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IT systems, infrastructure, and personnel supporting medical device development, testing, and production.</w:t>
      </w:r>
    </w:p>
    <w:p>
      <w:pPr>
        <w:pStyle w:val="Heading1"/>
      </w:pPr>
      <w:r>
        <w:t xml:space="preserve">3. IT Governance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Manager: Final approval for all IT changes affecting product quality</w:t>
      </w:r>
    </w:p>
    <w:p>
      <w:pPr>
        <w:pStyle w:val="ListParagraph"/>
        <w:numPr>
          <w:ilvl w:val="0"/>
          <w:numId w:val="2"/>
        </w:numPr>
      </w:pPr>
      <w:r>
        <w:t xml:space="preserve">Development Lead: Technical architecture and development standards</w:t>
      </w:r>
    </w:p>
    <w:p>
      <w:pPr>
        <w:pStyle w:val="ListParagraph"/>
        <w:numPr>
          <w:ilvl w:val="0"/>
          <w:numId w:val="2"/>
        </w:numPr>
      </w:pPr>
      <w:r>
        <w:t xml:space="preserve">QA Lead: Independent validation and compliance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SRE Lead: Infrastructure, security, and operational reliability</w:t>
      </w:r>
    </w:p>
    <w:p>
      <w:pPr>
        <w:pStyle w:val="Heading1"/>
      </w:pPr>
      <w:r>
        <w:t xml:space="preserve">4. Core IT Processes</w:t>
      </w:r>
    </w:p>
    <w:p>
      <w:pPr>
        <w:pStyle w:val="ListParagraph"/>
        <w:numPr>
          <w:ilvl w:val="0"/>
          <w:numId w:val="2"/>
        </w:numPr>
      </w:pPr>
      <w:r>
        <w:t xml:space="preserve">Change Control (SOP-IT-002)</w:t>
      </w:r>
    </w:p>
    <w:p>
      <w:pPr>
        <w:pStyle w:val="ListParagraph"/>
        <w:numPr>
          <w:ilvl w:val="0"/>
          <w:numId w:val="2"/>
        </w:numPr>
      </w:pPr>
      <w:r>
        <w:t xml:space="preserve">Code &amp; Commit Policy (SOP-IT-003)</w:t>
      </w:r>
    </w:p>
    <w:p>
      <w:pPr>
        <w:pStyle w:val="ListParagraph"/>
        <w:numPr>
          <w:ilvl w:val="0"/>
          <w:numId w:val="2"/>
        </w:numPr>
      </w:pPr>
      <w:r>
        <w:t xml:space="preserve">Document Control (SOP-IT-004)</w:t>
      </w:r>
    </w:p>
    <w:p>
      <w:pPr>
        <w:pStyle w:val="ListParagraph"/>
        <w:numPr>
          <w:ilvl w:val="0"/>
          <w:numId w:val="2"/>
        </w:numPr>
      </w:pPr>
      <w:r>
        <w:t xml:space="preserve">Incident Management (SOP-IT-005, SOP-IT-009)</w:t>
      </w:r>
    </w:p>
    <w:p>
      <w:pPr>
        <w:pStyle w:val="ListParagraph"/>
        <w:numPr>
          <w:ilvl w:val="0"/>
          <w:numId w:val="2"/>
        </w:numPr>
      </w:pPr>
      <w:r>
        <w:t xml:space="preserve">Training &amp; Competency (SOP-IT-006)</w:t>
      </w:r>
    </w:p>
    <w:p>
      <w:pPr>
        <w:pStyle w:val="ListParagraph"/>
        <w:numPr>
          <w:ilvl w:val="0"/>
          <w:numId w:val="2"/>
        </w:numPr>
      </w:pPr>
      <w:r>
        <w:t xml:space="preserve">Access &amp; Security (SOP-IT-007)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Backup &amp; DR (SOP-IT-008)</w:t>
      </w:r>
    </w:p>
    <w:p>
      <w:pPr>
        <w:pStyle w:val="Heading1"/>
      </w:pPr>
      <w:r>
        <w:t xml:space="preserve">5. Critical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IT systems must maintain audit trails (21 CFR Part 11)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Electronic signatures required for critical approvals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Segregation of Duties enforced across all processes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Computer System Validation (CSV) for GxP systems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2025-12-13T00:01:44.713Z</dcterms:created>
  <dcterms:modified xsi:type="dcterms:W3CDTF">2025-12-13T00:01:44.714Z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