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SOP-IT-007: Access &amp; Security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SOP-IT-007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SOP defines access control, authentication, and security management for IT systems in compliance with 21 CFR Part 11.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systems requiring user authentication and access control, including GitHub, AWS, databases, and laboratory systems.</w:t>
      </w:r>
    </w:p>
    <w:p>
      <w:pPr>
        <w:pStyle w:val="Heading1"/>
      </w:pPr>
      <w:r>
        <w:t xml:space="preserve">3. Access Control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Least Privilege: Users get minimum access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Role-Based Access Control (RBAC)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Multi-Factor Authentication (MFA) required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Access review every 90 days</w:t>
      </w:r>
    </w:p>
    <w:p>
      <w:pPr>
        <w:pStyle w:val="Heading1"/>
      </w:pPr>
      <w:r>
        <w:t xml:space="preserve">4. User Provisioning</w:t>
      </w:r>
    </w:p>
    <w:p>
      <w:pPr>
        <w:spacing w:after="60"/>
      </w:pPr>
      <w:r>
        <w:rPr>
          <w:b/>
          <w:bCs/>
        </w:rPr>
        <w:t xml:space="preserve">New User:</w:t>
      </w:r>
    </w:p>
    <w:p>
      <w:pPr>
        <w:pStyle w:val="ListParagraph"/>
        <w:numPr>
          <w:ilvl w:val="0"/>
          <w:numId w:val="2"/>
        </w:numPr>
      </w:pPr>
      <w:r>
        <w:t xml:space="preserve">Submit access request via FORM-002</w:t>
      </w:r>
    </w:p>
    <w:p>
      <w:pPr>
        <w:pStyle w:val="ListParagraph"/>
        <w:numPr>
          <w:ilvl w:val="0"/>
          <w:numId w:val="2"/>
        </w:numPr>
      </w:pPr>
      <w:r>
        <w:t xml:space="preserve">Manager approval required</w:t>
      </w:r>
    </w:p>
    <w:p>
      <w:pPr>
        <w:pStyle w:val="ListParagraph"/>
        <w:numPr>
          <w:ilvl w:val="0"/>
          <w:numId w:val="2"/>
        </w:numPr>
      </w:pPr>
      <w:r>
        <w:t xml:space="preserve">Training completion verified (SOP-IT-006)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granted by SRE Lead</w:t>
      </w:r>
    </w:p>
    <w:p>
      <w:pPr>
        <w:spacing w:after="60"/>
      </w:pPr>
      <w:r>
        <w:rPr>
          <w:b/>
          <w:bCs/>
        </w:rPr>
        <w:t xml:space="preserve">User Departure:</w:t>
      </w:r>
    </w:p>
    <w:p>
      <w:pPr>
        <w:pStyle w:val="ListParagraph"/>
        <w:numPr>
          <w:ilvl w:val="0"/>
          <w:numId w:val="2"/>
        </w:numPr>
      </w:pPr>
      <w:r>
        <w:t xml:space="preserve">All access revoked within 24 hours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GitHub keys, AWS credentials rotated</w:t>
      </w:r>
    </w:p>
    <w:p>
      <w:pPr>
        <w:pStyle w:val="Heading1"/>
      </w:pPr>
      <w:r>
        <w:t xml:space="preserve">5. Security Requirements</w:t>
      </w:r>
    </w:p>
    <w:p>
      <w:pPr>
        <w:pStyle w:val="ListParagraph"/>
        <w:numPr>
          <w:ilvl w:val="0"/>
          <w:numId w:val="2"/>
        </w:numPr>
      </w:pPr>
      <w:r>
        <w:t xml:space="preserve">MFA enforced on all accounts</w:t>
      </w:r>
    </w:p>
    <w:p>
      <w:pPr>
        <w:pStyle w:val="ListParagraph"/>
        <w:numPr>
          <w:ilvl w:val="0"/>
          <w:numId w:val="2"/>
        </w:numPr>
      </w:pPr>
      <w:r>
        <w:t xml:space="preserve">Password policy: 12+ chars, complexity, 90-day rotation</w:t>
      </w:r>
    </w:p>
    <w:p>
      <w:pPr>
        <w:pStyle w:val="ListParagraph"/>
        <w:numPr>
          <w:ilvl w:val="0"/>
          <w:numId w:val="2"/>
        </w:numPr>
      </w:pPr>
      <w:r>
        <w:t xml:space="preserve">Session timeout: 30 minutes inactivity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Audit logs retained 7+ years</w:t>
      </w:r>
    </w:p>
    <w:p>
      <w:pPr>
        <w:pStyle w:val="Heading1"/>
      </w:pPr>
      <w:r>
        <w:t xml:space="preserve">6. Approvals</w:t>
      </w:r>
    </w:p>
    <w:p>
      <w:pPr>
        <w:spacing w:after="120"/>
      </w:pPr>
      <w:r>
        <w:t xml:space="preserve">This document requires electronic signature approval via DocuSign (21 CFR Part 11 compliant).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Reviewer (QA Lead)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Approver (Quality Manager)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2025-12-13T00:01:44.726Z</dcterms:created>
  <dcterms:modified xsi:type="dcterms:W3CDTF">2025-12-13T00:01:44.726Z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