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3B2" w:rsidRDefault="00C40C04">
      <w:pPr>
        <w:rPr>
          <w:szCs w:val="21"/>
          <w:lang w:bidi="en-US"/>
        </w:rPr>
      </w:pPr>
      <w:r>
        <w:rPr>
          <w:szCs w:val="21"/>
          <w:lang w:bidi="en-US"/>
        </w:rPr>
        <w:t>1</w:t>
      </w:r>
      <w:r>
        <w:rPr>
          <w:szCs w:val="21"/>
          <w:lang w:bidi="en-US"/>
        </w:rPr>
        <w:t>面向对象设计思想</w:t>
      </w:r>
    </w:p>
    <w:p w:rsidR="00DB63B2" w:rsidRDefault="00C40C04">
      <w:pPr>
        <w:rPr>
          <w:szCs w:val="21"/>
          <w:lang w:bidi="en-US"/>
        </w:rPr>
      </w:pPr>
      <w:r>
        <w:rPr>
          <w:szCs w:val="21"/>
          <w:lang w:bidi="en-US"/>
        </w:rPr>
        <w:t>1</w:t>
      </w:r>
      <w:r>
        <w:rPr>
          <w:szCs w:val="21"/>
          <w:lang w:bidi="en-US"/>
        </w:rPr>
        <w:t>）平台模块开发的总指导方针；</w:t>
      </w:r>
    </w:p>
    <w:p w:rsidR="00DB63B2" w:rsidRDefault="00C40C04">
      <w:pPr>
        <w:rPr>
          <w:szCs w:val="21"/>
          <w:lang w:bidi="en-US"/>
        </w:rPr>
      </w:pPr>
      <w:r>
        <w:rPr>
          <w:szCs w:val="21"/>
          <w:lang w:bidi="en-US"/>
        </w:rPr>
        <w:t>2</w:t>
      </w:r>
      <w:r>
        <w:rPr>
          <w:szCs w:val="21"/>
          <w:lang w:bidi="en-US"/>
        </w:rPr>
        <w:t>）协调开发，没有壁垒，适合大型项目协同开发</w:t>
      </w:r>
    </w:p>
    <w:p w:rsidR="00DB63B2" w:rsidRDefault="00C40C04">
      <w:pPr>
        <w:ind w:firstLine="315"/>
        <w:rPr>
          <w:szCs w:val="21"/>
          <w:lang w:bidi="en-US"/>
        </w:rPr>
      </w:pPr>
      <w:r>
        <w:rPr>
          <w:szCs w:val="21"/>
          <w:lang w:bidi="en-US"/>
        </w:rPr>
        <w:t>模块内部修改，不影响模块间接口的对接</w:t>
      </w:r>
    </w:p>
    <w:p w:rsidR="00DB63B2" w:rsidRDefault="00C40C04">
      <w:pPr>
        <w:ind w:firstLine="315"/>
        <w:rPr>
          <w:szCs w:val="21"/>
          <w:lang w:bidi="en-US"/>
        </w:rPr>
      </w:pPr>
      <w:r>
        <w:rPr>
          <w:szCs w:val="21"/>
          <w:lang w:bidi="en-US"/>
        </w:rPr>
        <w:t>开发风格设计思路统一，项目维护成本低</w:t>
      </w:r>
    </w:p>
    <w:p w:rsidR="00DB63B2" w:rsidRDefault="00DB63B2">
      <w:pPr>
        <w:rPr>
          <w:szCs w:val="21"/>
          <w:lang w:bidi="en-US"/>
        </w:rPr>
      </w:pPr>
    </w:p>
    <w:p w:rsidR="00DB63B2" w:rsidRDefault="00C40C04">
      <w:pPr>
        <w:rPr>
          <w:b/>
          <w:szCs w:val="21"/>
          <w:lang w:bidi="en-US"/>
        </w:rPr>
      </w:pPr>
      <w:r>
        <w:rPr>
          <w:szCs w:val="21"/>
          <w:lang w:bidi="en-US"/>
        </w:rPr>
        <w:t xml:space="preserve">2 </w:t>
      </w:r>
      <w:r>
        <w:rPr>
          <w:color w:val="19439C"/>
          <w:szCs w:val="21"/>
        </w:rPr>
        <w:t>23</w:t>
      </w:r>
      <w:r>
        <w:rPr>
          <w:color w:val="19439C"/>
          <w:szCs w:val="21"/>
        </w:rPr>
        <w:t>种</w:t>
      </w:r>
      <w:r>
        <w:rPr>
          <w:color w:val="19439C"/>
          <w:szCs w:val="21"/>
          <w:lang w:bidi="en-US"/>
        </w:rPr>
        <w:t>设计模式</w:t>
      </w:r>
      <w:r>
        <w:rPr>
          <w:szCs w:val="21"/>
        </w:rPr>
        <w:t>：</w:t>
      </w:r>
      <w:r>
        <w:rPr>
          <w:b/>
          <w:szCs w:val="21"/>
          <w:lang w:bidi="en-US"/>
        </w:rPr>
        <w:t>目的是为了可重用代码，提高代码的可扩展性和可维护性，并且降低代码的耦合度</w:t>
      </w:r>
    </w:p>
    <w:p w:rsidR="00DB63B2" w:rsidRDefault="00C40C04">
      <w:pPr>
        <w:rPr>
          <w:szCs w:val="21"/>
        </w:rPr>
      </w:pPr>
      <w:r>
        <w:rPr>
          <w:szCs w:val="21"/>
          <w:lang w:bidi="en-US"/>
        </w:rPr>
        <w:t>1</w:t>
      </w:r>
      <w:r>
        <w:rPr>
          <w:szCs w:val="21"/>
          <w:lang w:bidi="en-US"/>
        </w:rPr>
        <w:t>）</w:t>
      </w:r>
      <w:r>
        <w:rPr>
          <w:szCs w:val="21"/>
        </w:rPr>
        <w:t>硬件代理模式：</w:t>
      </w:r>
      <w:r>
        <w:rPr>
          <w:szCs w:val="21"/>
          <w:lang w:bidi="en-US"/>
        </w:rPr>
        <w:t>目前平台接口统一，</w:t>
      </w:r>
      <w:r>
        <w:rPr>
          <w:szCs w:val="21"/>
          <w:lang w:bidi="en-US"/>
        </w:rPr>
        <w:t>UART</w:t>
      </w:r>
      <w:r>
        <w:rPr>
          <w:szCs w:val="21"/>
          <w:lang w:bidi="en-US"/>
        </w:rPr>
        <w:t>驱动不同平台无缝衔接；</w:t>
      </w:r>
    </w:p>
    <w:p w:rsidR="00DB63B2" w:rsidRDefault="00C40C04">
      <w:pPr>
        <w:rPr>
          <w:szCs w:val="21"/>
          <w:lang w:bidi="en-US"/>
        </w:rPr>
      </w:pPr>
      <w:r>
        <w:rPr>
          <w:szCs w:val="21"/>
          <w:lang w:bidi="en-US"/>
        </w:rPr>
        <w:t>2</w:t>
      </w:r>
      <w:r>
        <w:rPr>
          <w:szCs w:val="21"/>
          <w:lang w:bidi="en-US"/>
        </w:rPr>
        <w:t>）工厂模式：是许多设计模式的基础；设计应当依懒抽象，而不是具体；应当对接口编程，而不是具体实现；</w:t>
      </w:r>
    </w:p>
    <w:p w:rsidR="00DB63B2" w:rsidRDefault="00C40C04">
      <w:pPr>
        <w:rPr>
          <w:szCs w:val="21"/>
          <w:lang w:bidi="en-US"/>
        </w:rPr>
      </w:pPr>
      <w:r>
        <w:rPr>
          <w:szCs w:val="21"/>
          <w:lang w:bidi="en-US"/>
        </w:rPr>
        <w:t>3</w:t>
      </w:r>
      <w:r>
        <w:rPr>
          <w:szCs w:val="21"/>
          <w:lang w:bidi="en-US"/>
        </w:rPr>
        <w:t>）</w:t>
      </w:r>
    </w:p>
    <w:p w:rsidR="00DB63B2" w:rsidRDefault="00DB63B2">
      <w:pPr>
        <w:rPr>
          <w:szCs w:val="21"/>
          <w:lang w:bidi="en-US"/>
        </w:rPr>
      </w:pPr>
    </w:p>
    <w:p w:rsidR="00DB63B2" w:rsidRDefault="00DB63B2">
      <w:pPr>
        <w:rPr>
          <w:szCs w:val="21"/>
          <w:lang w:bidi="en-US"/>
        </w:rPr>
      </w:pPr>
    </w:p>
    <w:p w:rsidR="00D1510B" w:rsidRDefault="00D1510B" w:rsidP="00D1510B">
      <w:pPr>
        <w:pStyle w:val="a8"/>
      </w:pPr>
    </w:p>
    <w:p w:rsidR="00D1510B" w:rsidRDefault="00D1510B" w:rsidP="00D1510B">
      <w:pPr>
        <w:pStyle w:val="a8"/>
      </w:pPr>
      <w:r>
        <w:t>2</w:t>
      </w:r>
      <w:r>
        <w:t>）嵌入式设计模式：见下文，结合自己的驱动产品平台设计</w:t>
      </w:r>
      <w:r>
        <w:t xml:space="preserve">  </w:t>
      </w:r>
      <w:r>
        <w:t>找到对应的模式</w:t>
      </w:r>
    </w:p>
    <w:p w:rsidR="00D1510B" w:rsidRDefault="00D1510B" w:rsidP="00D1510B">
      <w:pPr>
        <w:pStyle w:val="a8"/>
      </w:pPr>
      <w:r>
        <w:t>&gt;&gt;</w:t>
      </w:r>
      <w:r>
        <w:rPr>
          <w:rFonts w:ascii="微软雅黑" w:eastAsia="微软雅黑" w:cs="微软雅黑"/>
          <w:b/>
          <w:color w:val="FF0000"/>
          <w:highlight w:val="white"/>
        </w:rPr>
        <w:t>驱动和产品的分层设计</w:t>
      </w:r>
      <w:r>
        <w:rPr>
          <w:rFonts w:ascii="微软雅黑" w:eastAsia="微软雅黑" w:cs="微软雅黑"/>
          <w:color w:val="FF0000"/>
          <w:highlight w:val="white"/>
        </w:rPr>
        <w:t>：属于</w:t>
      </w:r>
      <w:r>
        <w:rPr>
          <w:rFonts w:ascii="微软雅黑" w:eastAsia="微软雅黑" w:cs="微软雅黑"/>
          <w:color w:val="FF0000"/>
          <w:highlight w:val="white"/>
        </w:rPr>
        <w:t>①</w:t>
      </w:r>
      <w:r>
        <w:rPr>
          <w:rFonts w:ascii="微软雅黑" w:eastAsia="微软雅黑" w:cs="微软雅黑"/>
          <w:b/>
          <w:color w:val="FF0000"/>
          <w:highlight w:val="white"/>
        </w:rPr>
        <w:t>分层模式</w:t>
      </w:r>
      <w:r>
        <w:rPr>
          <w:rFonts w:ascii="微软雅黑" w:eastAsia="微软雅黑" w:cs="微软雅黑"/>
          <w:color w:val="1F2329"/>
          <w:highlight w:val="white"/>
        </w:rPr>
        <w:t>，是嵌入式软件最核心、最基础的</w:t>
      </w:r>
      <w:r>
        <w:rPr>
          <w:rFonts w:ascii="微软雅黑" w:eastAsia="微软雅黑" w:cs="微软雅黑"/>
          <w:b/>
          <w:color w:val="1F2329"/>
          <w:highlight w:val="white"/>
        </w:rPr>
        <w:t>架构级设计模式；</w:t>
      </w:r>
    </w:p>
    <w:p w:rsidR="00D1510B" w:rsidRDefault="00D1510B" w:rsidP="00D1510B">
      <w:pPr>
        <w:pStyle w:val="a8"/>
      </w:pPr>
      <w:r>
        <w:rPr>
          <w:rFonts w:ascii="微软雅黑" w:eastAsia="微软雅黑" w:cs="微软雅黑"/>
          <w:b/>
          <w:color w:val="FF0000"/>
          <w:highlight w:val="white"/>
        </w:rPr>
        <w:t>不同硬件 / 设计适配统一驱动接口</w:t>
      </w:r>
      <w:r>
        <w:rPr>
          <w:rFonts w:ascii="微软雅黑" w:eastAsia="微软雅黑" w:cs="微软雅黑"/>
          <w:color w:val="FF0000"/>
          <w:highlight w:val="white"/>
        </w:rPr>
        <w:t>：核心是</w:t>
      </w:r>
      <w:r>
        <w:rPr>
          <w:rFonts w:ascii="微软雅黑" w:eastAsia="微软雅黑" w:cs="微软雅黑"/>
          <w:color w:val="FF0000"/>
          <w:highlight w:val="white"/>
        </w:rPr>
        <w:t>②</w:t>
      </w:r>
      <w:r>
        <w:rPr>
          <w:rFonts w:ascii="微软雅黑" w:eastAsia="微软雅黑" w:cs="微软雅黑"/>
          <w:b/>
          <w:color w:val="FF0000"/>
          <w:highlight w:val="white"/>
        </w:rPr>
        <w:t>适配器模式</w:t>
      </w:r>
      <w:r>
        <w:rPr>
          <w:rFonts w:ascii="微软雅黑" w:eastAsia="微软雅黑" w:cs="微软雅黑"/>
          <w:color w:val="1F2329"/>
          <w:highlight w:val="white"/>
        </w:rPr>
        <w:t>，常搭配</w:t>
      </w:r>
      <w:r>
        <w:rPr>
          <w:rFonts w:ascii="微软雅黑" w:eastAsia="微软雅黑" w:cs="微软雅黑"/>
          <w:b/>
          <w:color w:val="1F2329"/>
          <w:highlight w:val="white"/>
        </w:rPr>
        <w:t>桥接模式、策略模式、工厂模式</w:t>
      </w:r>
      <w:r>
        <w:rPr>
          <w:rFonts w:ascii="微软雅黑" w:eastAsia="微软雅黑" w:cs="微软雅黑"/>
          <w:color w:val="1F2329"/>
          <w:highlight w:val="white"/>
        </w:rPr>
        <w:t>落地，是 Linux/RTOS 驱动开发、多硬件适配的标准模式，STM32 HAL 库、Linux 字符设备驱动框架都是这个模式的典型实现。</w:t>
      </w:r>
    </w:p>
    <w:p w:rsidR="00D1510B" w:rsidRDefault="00D1510B" w:rsidP="00D1510B">
      <w:pPr>
        <w:pStyle w:val="a8"/>
      </w:pPr>
      <w:r>
        <w:t>③</w:t>
      </w:r>
      <w:r>
        <w:t>状态机模式</w:t>
      </w:r>
    </w:p>
    <w:p w:rsidR="00D1510B" w:rsidRDefault="00D1510B" w:rsidP="00D1510B">
      <w:pPr>
        <w:pStyle w:val="3"/>
      </w:pPr>
      <w:r>
        <w:rPr>
          <w:sz w:val="20"/>
          <w:szCs w:val="20"/>
        </w:rPr>
        <w:t>④</w:t>
      </w:r>
      <w:r>
        <w:rPr>
          <w:rFonts w:ascii="微软雅黑" w:eastAsia="微软雅黑" w:cs="微软雅黑"/>
          <w:sz w:val="20"/>
          <w:szCs w:val="20"/>
          <w:highlight w:val="white"/>
        </w:rPr>
        <w:t> </w:t>
      </w:r>
      <w:r>
        <w:rPr>
          <w:rFonts w:ascii="微软雅黑" w:eastAsia="微软雅黑" w:cs="微软雅黑"/>
          <w:sz w:val="20"/>
          <w:szCs w:val="20"/>
          <w:highlight w:val="white"/>
        </w:rPr>
        <w:t>观察者模式（发布 - 订阅模式）</w:t>
      </w:r>
    </w:p>
    <w:p w:rsidR="00D1510B" w:rsidRDefault="00D1510B" w:rsidP="00D1510B">
      <w:pPr>
        <w:pStyle w:val="a8"/>
      </w:pPr>
      <w:r>
        <w:rPr>
          <w:rFonts w:ascii="微软雅黑" w:eastAsia="微软雅黑" w:cs="微软雅黑"/>
          <w:sz w:val="20"/>
          <w:szCs w:val="20"/>
          <w:highlight w:val="white"/>
        </w:rPr>
        <w:t>一个主题对象（被观察者）状态变化时，自动通知所有订阅它的观察者对象，实现</w:t>
      </w:r>
      <w:r>
        <w:rPr>
          <w:rFonts w:ascii="微软雅黑" w:eastAsia="微软雅黑" w:cs="微软雅黑"/>
          <w:b/>
          <w:sz w:val="20"/>
          <w:szCs w:val="20"/>
          <w:highlight w:val="white"/>
        </w:rPr>
        <w:t>事件驱动</w:t>
      </w:r>
      <w:r>
        <w:rPr>
          <w:rFonts w:ascii="微软雅黑" w:eastAsia="微软雅黑" w:cs="微软雅黑"/>
          <w:sz w:val="20"/>
          <w:szCs w:val="20"/>
          <w:highlight w:val="white"/>
        </w:rPr>
        <w:t>，彻底解耦「事件触发」和「事件处理」。</w:t>
      </w:r>
    </w:p>
    <w:p w:rsidR="00D1510B" w:rsidRDefault="00D1510B" w:rsidP="00D1510B">
      <w:pPr>
        <w:pStyle w:val="a8"/>
      </w:pPr>
      <w:r>
        <w:rPr>
          <w:rFonts w:ascii="微软雅黑" w:eastAsia="微软雅黑" w:cs="微软雅黑"/>
          <w:sz w:val="20"/>
          <w:szCs w:val="20"/>
          <w:highlight w:val="white"/>
        </w:rPr>
        <w:t>典型场景</w:t>
      </w:r>
    </w:p>
    <w:p w:rsidR="00D1510B" w:rsidRDefault="00D1510B" w:rsidP="00D1510B">
      <w:pPr>
        <w:pStyle w:val="a8"/>
      </w:pPr>
      <w:r>
        <w:rPr>
          <w:rFonts w:ascii="微软雅黑" w:eastAsia="微软雅黑" w:cs="微软雅黑"/>
          <w:sz w:val="20"/>
          <w:szCs w:val="20"/>
          <w:highlight w:val="white"/>
        </w:rPr>
        <w:t>中断事件通知（光模块 LOS 中断、GPIO 中断）、RTOS 消息队列 / 事件标志组、传感器数据上报、GUI 界面更新、告警通知。</w:t>
      </w:r>
    </w:p>
    <w:p w:rsidR="00D1510B" w:rsidRDefault="00D1510B" w:rsidP="00D1510B">
      <w:pPr>
        <w:pStyle w:val="3"/>
      </w:pPr>
      <w:r>
        <w:rPr>
          <w:sz w:val="20"/>
          <w:szCs w:val="20"/>
        </w:rPr>
        <w:t>⑤</w:t>
      </w:r>
      <w:r>
        <w:rPr>
          <w:rFonts w:ascii="微软雅黑" w:eastAsia="微软雅黑" w:cs="微软雅黑"/>
          <w:color w:val="FF0000"/>
          <w:sz w:val="20"/>
          <w:szCs w:val="20"/>
          <w:highlight w:val="white"/>
        </w:rPr>
        <w:t>桥接模式</w:t>
      </w:r>
      <w:r>
        <w:rPr>
          <w:rFonts w:ascii="微软雅黑" w:eastAsia="微软雅黑" w:cs="微软雅黑"/>
          <w:sz w:val="20"/>
          <w:szCs w:val="20"/>
          <w:highlight w:val="white"/>
        </w:rPr>
        <w:t>（Bridge Pattern）</w:t>
      </w:r>
    </w:p>
    <w:p w:rsidR="00D1510B" w:rsidRDefault="00D1510B" w:rsidP="00D1510B">
      <w:pPr>
        <w:pStyle w:val="a8"/>
      </w:pPr>
      <w:r>
        <w:rPr>
          <w:rFonts w:ascii="微软雅黑" w:eastAsia="微软雅黑" w:cs="微软雅黑"/>
          <w:sz w:val="20"/>
          <w:szCs w:val="20"/>
          <w:highlight w:val="white"/>
        </w:rPr>
        <w:t>把</w:t>
      </w:r>
      <w:r>
        <w:rPr>
          <w:rFonts w:ascii="微软雅黑" w:eastAsia="微软雅黑" w:cs="微软雅黑"/>
          <w:b/>
          <w:sz w:val="20"/>
          <w:szCs w:val="20"/>
          <w:highlight w:val="white"/>
        </w:rPr>
        <w:t>抽象接口</w:t>
      </w:r>
      <w:r>
        <w:rPr>
          <w:rFonts w:ascii="微软雅黑" w:eastAsia="微软雅黑" w:cs="微软雅黑"/>
          <w:sz w:val="20"/>
          <w:szCs w:val="20"/>
          <w:highlight w:val="white"/>
        </w:rPr>
        <w:t>和</w:t>
      </w:r>
      <w:r>
        <w:rPr>
          <w:rFonts w:ascii="微软雅黑" w:eastAsia="微软雅黑" w:cs="微软雅黑"/>
          <w:b/>
          <w:sz w:val="20"/>
          <w:szCs w:val="20"/>
          <w:highlight w:val="white"/>
        </w:rPr>
        <w:t>具体实现</w:t>
      </w:r>
      <w:r>
        <w:rPr>
          <w:rFonts w:ascii="微软雅黑" w:eastAsia="微软雅黑" w:cs="微软雅黑"/>
          <w:sz w:val="20"/>
          <w:szCs w:val="20"/>
          <w:highlight w:val="white"/>
        </w:rPr>
        <w:t>彻底分离，两者可以独立扩展、互不影响，避免类爆炸，是适配器模式的延伸。</w:t>
      </w:r>
    </w:p>
    <w:p w:rsidR="00D1510B" w:rsidRDefault="00D1510B" w:rsidP="00D1510B">
      <w:pPr>
        <w:pStyle w:val="a8"/>
      </w:pPr>
      <w:r>
        <w:rPr>
          <w:rFonts w:ascii="微软雅黑" w:eastAsia="微软雅黑" w:cs="微软雅黑"/>
          <w:sz w:val="20"/>
          <w:szCs w:val="20"/>
          <w:highlight w:val="white"/>
        </w:rPr>
        <w:t>典型场景</w:t>
      </w:r>
    </w:p>
    <w:p w:rsidR="00D1510B" w:rsidRDefault="00D1510B" w:rsidP="00D1510B">
      <w:pPr>
        <w:pStyle w:val="a8"/>
      </w:pPr>
      <w:r>
        <w:rPr>
          <w:rFonts w:ascii="微软雅黑" w:eastAsia="微软雅黑" w:cs="微软雅黑"/>
          <w:color w:val="FF0000"/>
          <w:sz w:val="20"/>
          <w:szCs w:val="20"/>
          <w:highlight w:val="white"/>
        </w:rPr>
        <w:lastRenderedPageBreak/>
        <w:t>驱动接口和硬件总线分离（比如同时支持 I2C/SPI 接口的传感器）、不同 RTOS 的统一接口封装、不同芯片的通用驱动</w:t>
      </w:r>
      <w:r>
        <w:rPr>
          <w:rFonts w:ascii="微软雅黑" w:eastAsia="微软雅黑" w:cs="微软雅黑"/>
          <w:sz w:val="20"/>
          <w:szCs w:val="20"/>
          <w:highlight w:val="white"/>
        </w:rPr>
        <w:t>。</w:t>
      </w:r>
    </w:p>
    <w:p w:rsidR="00D1510B" w:rsidRDefault="00D1510B" w:rsidP="00D1510B">
      <w:pPr>
        <w:pStyle w:val="4"/>
      </w:pPr>
      <w:r>
        <w:rPr>
          <w:rFonts w:ascii="微软雅黑" w:eastAsia="微软雅黑" w:cs="微软雅黑"/>
          <w:sz w:val="20"/>
          <w:szCs w:val="20"/>
          <w:highlight w:val="white"/>
        </w:rPr>
        <w:t>适配你的业务</w:t>
      </w:r>
    </w:p>
    <w:p w:rsidR="00D1510B" w:rsidRDefault="00D1510B" w:rsidP="00D1510B">
      <w:pPr>
        <w:pStyle w:val="a8"/>
      </w:pPr>
      <w:r>
        <w:rPr>
          <w:rFonts w:ascii="微软雅黑" w:eastAsia="微软雅黑" w:cs="微软雅黑"/>
          <w:sz w:val="20"/>
          <w:szCs w:val="20"/>
          <w:highlight w:val="white"/>
        </w:rPr>
        <w:t>光模块驱动抽象出统一的读写接口，I2C/MDIO 是两种独立的总线实现，两者可以独立变更，上层无需关心用什么总线和硬件交互。</w:t>
      </w:r>
    </w:p>
    <w:p w:rsidR="00DB63B2" w:rsidRPr="00D1510B" w:rsidRDefault="00DB63B2">
      <w:pPr>
        <w:rPr>
          <w:szCs w:val="21"/>
        </w:rPr>
      </w:pPr>
      <w:bookmarkStart w:id="0" w:name="_GoBack"/>
      <w:bookmarkEnd w:id="0"/>
    </w:p>
    <w:p w:rsidR="00DB63B2" w:rsidRDefault="00DB63B2">
      <w:pPr>
        <w:rPr>
          <w:szCs w:val="21"/>
        </w:rPr>
      </w:pPr>
    </w:p>
    <w:p w:rsidR="00DB63B2" w:rsidRDefault="00C40C04">
      <w:pPr>
        <w:jc w:val="center"/>
        <w:rPr>
          <w:szCs w:val="21"/>
        </w:rPr>
      </w:pPr>
      <w:r>
        <w:t>Acuvim</w:t>
      </w:r>
      <w:r>
        <w:t>项目总结</w:t>
      </w:r>
    </w:p>
    <w:p w:rsidR="00DB63B2" w:rsidRDefault="00C40C04">
      <w:pPr>
        <w:pBdr>
          <w:top w:val="nil"/>
          <w:left w:val="nil"/>
          <w:bottom w:val="nil"/>
          <w:right w:val="nil"/>
        </w:pBdr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/>
          <w:color w:val="494949"/>
          <w:sz w:val="22"/>
        </w:rPr>
        <w:t>SHARC+</w:t>
      </w:r>
      <w:r>
        <w:rPr>
          <w:rFonts w:ascii="微软雅黑" w:eastAsia="微软雅黑" w:hAnsi="微软雅黑" w:cs="微软雅黑"/>
          <w:color w:val="494949"/>
          <w:sz w:val="22"/>
        </w:rPr>
        <w:t>内核：</w:t>
      </w:r>
    </w:p>
    <w:p w:rsidR="00DB63B2" w:rsidRDefault="00C40C04">
      <w:pPr>
        <w:pBdr>
          <w:top w:val="nil"/>
          <w:left w:val="nil"/>
          <w:bottom w:val="nil"/>
          <w:right w:val="nil"/>
        </w:pBdr>
        <w:rPr>
          <w:rFonts w:ascii="微软雅黑" w:eastAsia="微软雅黑" w:hAnsi="微软雅黑" w:cs="微软雅黑"/>
          <w:color w:val="494949"/>
          <w:sz w:val="22"/>
        </w:rPr>
      </w:pPr>
      <w:r>
        <w:rPr>
          <w:rFonts w:ascii="微软雅黑" w:eastAsia="微软雅黑" w:hAnsi="微软雅黑" w:cs="微软雅黑"/>
          <w:color w:val="494949"/>
          <w:sz w:val="22"/>
        </w:rPr>
        <w:t>SHARC+</w:t>
      </w:r>
      <w:r>
        <w:rPr>
          <w:rFonts w:ascii="微软雅黑" w:eastAsia="微软雅黑" w:hAnsi="微软雅黑" w:cs="微软雅黑"/>
          <w:color w:val="494949"/>
          <w:sz w:val="22"/>
        </w:rPr>
        <w:t>内核包含两个用作</w:t>
      </w:r>
      <w:r>
        <w:rPr>
          <w:rFonts w:ascii="微软雅黑" w:eastAsia="微软雅黑" w:hAnsi="微软雅黑" w:cs="微软雅黑"/>
          <w:color w:val="FF0000"/>
          <w:sz w:val="22"/>
        </w:rPr>
        <w:t>单指令、多数据</w:t>
      </w:r>
      <w:r>
        <w:rPr>
          <w:rFonts w:ascii="微软雅黑" w:eastAsia="微软雅黑" w:hAnsi="微软雅黑" w:cs="微软雅黑"/>
          <w:color w:val="FF0000"/>
          <w:sz w:val="22"/>
        </w:rPr>
        <w:t xml:space="preserve"> (SIMD) </w:t>
      </w:r>
      <w:r>
        <w:rPr>
          <w:rFonts w:ascii="微软雅黑" w:eastAsia="微软雅黑" w:hAnsi="微软雅黑" w:cs="微软雅黑"/>
          <w:color w:val="FF0000"/>
          <w:sz w:val="22"/>
        </w:rPr>
        <w:t>引擎</w:t>
      </w:r>
      <w:r>
        <w:rPr>
          <w:rFonts w:ascii="微软雅黑" w:eastAsia="微软雅黑" w:hAnsi="微软雅黑" w:cs="微软雅黑"/>
          <w:color w:val="494949"/>
          <w:sz w:val="22"/>
        </w:rPr>
        <w:t>的计算处理器元件，分别称为</w:t>
      </w:r>
      <w:r>
        <w:rPr>
          <w:rFonts w:ascii="微软雅黑" w:eastAsia="微软雅黑" w:hAnsi="微软雅黑" w:cs="微软雅黑"/>
          <w:color w:val="494949"/>
          <w:sz w:val="22"/>
        </w:rPr>
        <w:t>PEx</w:t>
      </w:r>
      <w:r>
        <w:rPr>
          <w:rFonts w:ascii="微软雅黑" w:eastAsia="微软雅黑" w:hAnsi="微软雅黑" w:cs="微软雅黑"/>
          <w:color w:val="494949"/>
          <w:sz w:val="22"/>
        </w:rPr>
        <w:t>和</w:t>
      </w:r>
      <w:r>
        <w:rPr>
          <w:rFonts w:ascii="微软雅黑" w:eastAsia="微软雅黑" w:hAnsi="微软雅黑" w:cs="微软雅黑"/>
          <w:color w:val="494949"/>
          <w:sz w:val="22"/>
        </w:rPr>
        <w:t>PEy</w:t>
      </w:r>
      <w:r>
        <w:rPr>
          <w:rFonts w:ascii="微软雅黑" w:eastAsia="微软雅黑" w:hAnsi="微软雅黑" w:cs="微软雅黑"/>
          <w:color w:val="494949"/>
          <w:sz w:val="22"/>
        </w:rPr>
        <w:t>，各元件均由</w:t>
      </w:r>
      <w:r>
        <w:rPr>
          <w:rFonts w:ascii="微软雅黑" w:eastAsia="微软雅黑" w:hAnsi="微软雅黑" w:cs="微软雅黑"/>
          <w:color w:val="494949"/>
          <w:sz w:val="22"/>
        </w:rPr>
        <w:t>ALU</w:t>
      </w:r>
      <w:r>
        <w:rPr>
          <w:rFonts w:ascii="微软雅黑" w:eastAsia="微软雅黑" w:hAnsi="微软雅黑" w:cs="微软雅黑"/>
          <w:color w:val="494949"/>
          <w:sz w:val="22"/>
        </w:rPr>
        <w:t>、乘法器、移位器和寄存器文件组成。</w:t>
      </w:r>
      <w:r>
        <w:rPr>
          <w:rFonts w:ascii="微软雅黑" w:eastAsia="微软雅黑" w:hAnsi="微软雅黑" w:cs="微软雅黑"/>
          <w:color w:val="494949"/>
          <w:sz w:val="22"/>
        </w:rPr>
        <w:t>PEx</w:t>
      </w:r>
      <w:r>
        <w:rPr>
          <w:rFonts w:ascii="微软雅黑" w:eastAsia="微软雅黑" w:hAnsi="微软雅黑" w:cs="微软雅黑"/>
          <w:color w:val="494949"/>
          <w:sz w:val="22"/>
        </w:rPr>
        <w:t>始终有效，</w:t>
      </w:r>
      <w:r>
        <w:rPr>
          <w:rFonts w:ascii="微软雅黑" w:eastAsia="微软雅黑" w:hAnsi="微软雅黑" w:cs="微软雅黑"/>
          <w:color w:val="494949"/>
          <w:sz w:val="22"/>
        </w:rPr>
        <w:t>PEy</w:t>
      </w:r>
      <w:r>
        <w:rPr>
          <w:rFonts w:ascii="微软雅黑" w:eastAsia="微软雅黑" w:hAnsi="微软雅黑" w:cs="微软雅黑"/>
          <w:color w:val="494949"/>
          <w:sz w:val="22"/>
        </w:rPr>
        <w:t>通过将</w:t>
      </w:r>
      <w:r>
        <w:rPr>
          <w:rFonts w:ascii="微软雅黑" w:eastAsia="微软雅黑" w:hAnsi="微软雅黑" w:cs="微软雅黑"/>
          <w:color w:val="494949"/>
          <w:sz w:val="22"/>
        </w:rPr>
        <w:t>MODE1</w:t>
      </w:r>
      <w:r>
        <w:rPr>
          <w:rFonts w:ascii="微软雅黑" w:eastAsia="微软雅黑" w:hAnsi="微软雅黑" w:cs="微软雅黑"/>
          <w:color w:val="494949"/>
          <w:sz w:val="22"/>
        </w:rPr>
        <w:t>寄存器的</w:t>
      </w:r>
      <w:r>
        <w:rPr>
          <w:rFonts w:ascii="微软雅黑" w:eastAsia="微软雅黑" w:hAnsi="微软雅黑" w:cs="微软雅黑"/>
          <w:color w:val="494949"/>
          <w:sz w:val="22"/>
        </w:rPr>
        <w:t>PEYEN</w:t>
      </w:r>
      <w:r>
        <w:rPr>
          <w:rFonts w:ascii="微软雅黑" w:eastAsia="微软雅黑" w:hAnsi="微软雅黑" w:cs="微软雅黑"/>
          <w:color w:val="494949"/>
          <w:sz w:val="22"/>
        </w:rPr>
        <w:t>模式位设为</w:t>
      </w:r>
      <w:r>
        <w:rPr>
          <w:rFonts w:ascii="微软雅黑" w:eastAsia="微软雅黑" w:hAnsi="微软雅黑" w:cs="微软雅黑"/>
          <w:color w:val="494949"/>
          <w:sz w:val="22"/>
        </w:rPr>
        <w:t>1</w:t>
      </w:r>
      <w:r>
        <w:rPr>
          <w:rFonts w:ascii="微软雅黑" w:eastAsia="微软雅黑" w:hAnsi="微软雅黑" w:cs="微软雅黑"/>
          <w:color w:val="494949"/>
          <w:sz w:val="22"/>
        </w:rPr>
        <w:t>来使能。</w:t>
      </w:r>
      <w:r>
        <w:rPr>
          <w:rFonts w:ascii="微软雅黑" w:eastAsia="微软雅黑" w:hAnsi="微软雅黑" w:cs="微软雅黑"/>
          <w:color w:val="494949"/>
          <w:sz w:val="22"/>
        </w:rPr>
        <w:t>SIMD</w:t>
      </w:r>
      <w:r>
        <w:rPr>
          <w:rFonts w:ascii="微软雅黑" w:eastAsia="微软雅黑" w:hAnsi="微软雅黑" w:cs="微软雅黑"/>
          <w:color w:val="494949"/>
          <w:sz w:val="22"/>
        </w:rPr>
        <w:t>模式允许处理器在两个处理元件中执行同一指令，但各处理元件处理不同的数据。这种架构对于执行计算密集型</w:t>
      </w:r>
      <w:r>
        <w:rPr>
          <w:rFonts w:ascii="微软雅黑" w:eastAsia="微软雅黑" w:hAnsi="微软雅黑" w:cs="微软雅黑"/>
          <w:color w:val="494949"/>
          <w:sz w:val="22"/>
        </w:rPr>
        <w:t>DSP</w:t>
      </w:r>
      <w:r>
        <w:rPr>
          <w:rFonts w:ascii="微软雅黑" w:eastAsia="微软雅黑" w:hAnsi="微软雅黑" w:cs="微软雅黑"/>
          <w:color w:val="494949"/>
          <w:sz w:val="22"/>
        </w:rPr>
        <w:t>算法非常有效。</w:t>
      </w:r>
    </w:p>
    <w:p w:rsidR="00DB63B2" w:rsidRDefault="00DB63B2">
      <w:pPr>
        <w:pBdr>
          <w:top w:val="nil"/>
          <w:left w:val="nil"/>
          <w:bottom w:val="nil"/>
          <w:right w:val="nil"/>
        </w:pBdr>
        <w:rPr>
          <w:rFonts w:ascii="微软雅黑" w:eastAsia="微软雅黑" w:hAnsi="微软雅黑" w:cs="微软雅黑"/>
          <w:color w:val="494949"/>
          <w:sz w:val="22"/>
        </w:rPr>
      </w:pPr>
    </w:p>
    <w:p w:rsidR="00DB63B2" w:rsidRDefault="00DB63B2">
      <w:pPr>
        <w:pBdr>
          <w:top w:val="nil"/>
          <w:left w:val="nil"/>
          <w:bottom w:val="nil"/>
          <w:right w:val="nil"/>
        </w:pBdr>
        <w:rPr>
          <w:rFonts w:ascii="微软雅黑" w:eastAsia="微软雅黑" w:hAnsi="微软雅黑" w:cs="微软雅黑"/>
          <w:color w:val="494949"/>
          <w:sz w:val="22"/>
        </w:rPr>
      </w:pPr>
    </w:p>
    <w:p w:rsidR="00DB63B2" w:rsidRDefault="00DB63B2">
      <w:pPr>
        <w:pBdr>
          <w:top w:val="nil"/>
          <w:left w:val="nil"/>
          <w:bottom w:val="nil"/>
          <w:right w:val="nil"/>
        </w:pBdr>
        <w:rPr>
          <w:rFonts w:ascii="微软雅黑" w:eastAsia="微软雅黑" w:hAnsi="微软雅黑" w:cs="微软雅黑"/>
          <w:color w:val="494949"/>
          <w:sz w:val="22"/>
        </w:rPr>
      </w:pPr>
    </w:p>
    <w:p w:rsidR="00DB63B2" w:rsidRDefault="00DB63B2">
      <w:pPr>
        <w:pBdr>
          <w:top w:val="nil"/>
          <w:left w:val="nil"/>
          <w:bottom w:val="nil"/>
          <w:right w:val="nil"/>
        </w:pBdr>
        <w:rPr>
          <w:rFonts w:ascii="微软雅黑" w:eastAsia="微软雅黑" w:hAnsi="微软雅黑" w:cs="微软雅黑"/>
          <w:sz w:val="22"/>
        </w:rPr>
      </w:pPr>
    </w:p>
    <w:sectPr w:rsidR="00DB63B2">
      <w:pgSz w:w="11906" w:h="16838"/>
      <w:pgMar w:top="1440" w:right="1797" w:bottom="1440" w:left="1797" w:header="709" w:footer="992" w:gutter="0"/>
      <w:cols w:space="1701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0C04" w:rsidRDefault="00C40C04" w:rsidP="00D1510B">
      <w:r>
        <w:separator/>
      </w:r>
    </w:p>
  </w:endnote>
  <w:endnote w:type="continuationSeparator" w:id="0">
    <w:p w:rsidR="00C40C04" w:rsidRDefault="00C40C04" w:rsidP="00D15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0C04" w:rsidRDefault="00C40C04" w:rsidP="00D1510B">
      <w:r>
        <w:separator/>
      </w:r>
    </w:p>
  </w:footnote>
  <w:footnote w:type="continuationSeparator" w:id="0">
    <w:p w:rsidR="00C40C04" w:rsidRDefault="00C40C04" w:rsidP="00D151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B66EE"/>
    <w:multiLevelType w:val="multilevel"/>
    <w:tmpl w:val="0FC434E0"/>
    <w:lvl w:ilvl="0">
      <w:start w:val="1"/>
      <w:numFmt w:val="decimal"/>
      <w:lvlText w:val="%1."/>
      <w:lvlJc w:val="left"/>
      <w:pPr>
        <w:ind w:left="420" w:hanging="420"/>
      </w:pPr>
      <w:rPr>
        <w:rFonts w:ascii="微软雅黑" w:eastAsia="微软雅黑" w:hAnsi="微软雅黑" w:cs="微软雅黑"/>
        <w:b w:val="0"/>
        <w:color w:val="494949"/>
        <w:sz w:val="22"/>
      </w:r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3B2"/>
    <w:rsid w:val="00C40C04"/>
    <w:rsid w:val="00D1510B"/>
    <w:rsid w:val="00DB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BFB8081-485F-4EE8-804A-A1A10A906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</w:style>
  <w:style w:type="paragraph" w:styleId="a4">
    <w:name w:val="header"/>
    <w:basedOn w:val="a"/>
    <w:link w:val="a5"/>
    <w:uiPriority w:val="99"/>
    <w:unhideWhenUsed/>
    <w:rsid w:val="00D151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510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51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510B"/>
    <w:rPr>
      <w:sz w:val="18"/>
      <w:szCs w:val="18"/>
    </w:rPr>
  </w:style>
  <w:style w:type="paragraph" w:customStyle="1" w:styleId="a8">
    <w:name w:val="石墨文档正文"/>
    <w:qFormat/>
    <w:rsid w:val="00D1510B"/>
    <w:rPr>
      <w:rFonts w:ascii="Arial Unicode MS" w:hAnsi="Arial Unicode MS" w:cs="Arial Unicode MS"/>
      <w:kern w:val="0"/>
      <w:sz w:val="22"/>
      <w:szCs w:val="22"/>
    </w:rPr>
  </w:style>
  <w:style w:type="paragraph" w:customStyle="1" w:styleId="3">
    <w:name w:val="石墨文档标题 3"/>
    <w:next w:val="a8"/>
    <w:uiPriority w:val="9"/>
    <w:unhideWhenUsed/>
    <w:qFormat/>
    <w:rsid w:val="00D1510B"/>
    <w:pPr>
      <w:spacing w:before="260" w:after="260"/>
      <w:outlineLvl w:val="3"/>
    </w:pPr>
    <w:rPr>
      <w:rFonts w:ascii="Arial Unicode MS" w:hAnsi="Arial Unicode MS" w:cs="Arial Unicode MS"/>
      <w:b/>
      <w:bCs/>
      <w:kern w:val="0"/>
      <w:sz w:val="26"/>
      <w:szCs w:val="26"/>
    </w:rPr>
  </w:style>
  <w:style w:type="paragraph" w:customStyle="1" w:styleId="4">
    <w:name w:val="石墨文档标题 4"/>
    <w:next w:val="a8"/>
    <w:uiPriority w:val="9"/>
    <w:unhideWhenUsed/>
    <w:qFormat/>
    <w:rsid w:val="00D1510B"/>
    <w:pPr>
      <w:spacing w:before="260" w:after="260"/>
      <w:outlineLvl w:val="4"/>
    </w:pPr>
    <w:rPr>
      <w:rFonts w:ascii="Arial Unicode MS" w:hAnsi="Arial Unicode MS" w:cs="Arial Unicode MS"/>
      <w:b/>
      <w:bCs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Text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Noto Sans JP"/>
        <a:font script="Hang" typeface="맑은 고딕"/>
        <a:font script="Hans" typeface="微软雅黑"/>
        <a:font script="Hant" typeface="微软雅黑"/>
        <a:font script="Arab" typeface="Arial"/>
      </a:majorFont>
      <a:minorFont>
        <a:latin typeface="Arial"/>
        <a:ea typeface=""/>
        <a:cs typeface=""/>
        <a:font script="Jpan" typeface="Noto Sans JP"/>
        <a:font script="Hang" typeface="맑은 고딕"/>
        <a:font script="Hans" typeface="微软雅黑"/>
        <a:font script="Hant" typeface="微软雅黑"/>
        <a:font script="Arab"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wei han</cp:lastModifiedBy>
  <cp:revision>2</cp:revision>
  <dcterms:created xsi:type="dcterms:W3CDTF">2026-06-08T23:07:00Z</dcterms:created>
  <dcterms:modified xsi:type="dcterms:W3CDTF">2026-06-08T23:07:00Z</dcterms:modified>
</cp:coreProperties>
</file>