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第三课｜AI投资方法与交易框架</w:t>
      </w:r>
    </w:p>
    <w:p>
      <w:pPr>
        <w:jc w:val="center"/>
      </w:pPr>
      <w:r>
        <w:rPr>
          <w:color w:val="595959"/>
          <w:sz w:val="24"/>
        </w:rPr>
        <w:t>王川群线下闭门会 · 课程整理版｜按课件逻辑整理，不作额外发散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before="140" w:after="140"/>
            </w:pPr>
            <w:r>
              <w:rPr>
                <w:b/>
                <w:color w:val="17365D"/>
              </w:rPr>
              <w:t>课程主线：识势而动，明道而行，精术而成。真正可持续的投资，需要“势、道、术”统一。</w:t>
            </w:r>
          </w:p>
        </w:tc>
      </w:tr>
    </w:tbl>
    <w:p/>
    <w:p>
      <w:pPr>
        <w:spacing w:after="120" w:line="324" w:lineRule="auto"/>
      </w:pPr>
      <w:r>
        <w:t>本课不是单独讨论某一只股票，而是把产业趋势、商业模式、基本面验证、估值位置和技术交易连接成一套投资判断框架。核心问题是：方向对不等于投资一定赚钱；产业景气也不等于所有公司都受益；即便公司优秀，价格过高同样可能造成亏损。</w:t>
      </w:r>
    </w:p>
    <w:p>
      <w:pPr>
        <w:pStyle w:val="Heading1"/>
      </w:pPr>
      <w:r>
        <w:t>一、识势、明道、精术：投资判断的三层框架</w:t>
      </w:r>
    </w:p>
    <w:p>
      <w:pPr>
        <w:spacing w:after="120" w:line="324" w:lineRule="auto"/>
      </w:pPr>
      <w:r>
        <w:t>“势”解决方向问题，“道”解决公司与商业模式问题，“术”解决价格、仓位和交易时点问题。三者缺一不可。</w:t>
      </w:r>
    </w:p>
    <w:p>
      <w:pPr>
        <w:pStyle w:val="ListBullet"/>
        <w:spacing w:after="60" w:line="300" w:lineRule="auto"/>
      </w:pPr>
      <w:r>
        <w:t>有势无道：容易追风口、接泡沫。赛道热，但公司缺乏业绩支撑，最终可能只是阶段性炒作。</w:t>
      </w:r>
    </w:p>
    <w:p>
      <w:pPr>
        <w:pStyle w:val="ListBullet"/>
        <w:spacing w:after="60" w:line="300" w:lineRule="auto"/>
      </w:pPr>
      <w:r>
        <w:t>有道无势：公司可能很好，但行业增长空间有限。课件以茅台、五粮液为例，强调好公司仍需要观察增长空间。</w:t>
      </w:r>
    </w:p>
    <w:p>
      <w:pPr>
        <w:pStyle w:val="ListBullet"/>
        <w:spacing w:after="60" w:line="300" w:lineRule="auto"/>
      </w:pPr>
      <w:r>
        <w:t>有势有道无术：方向和标的都对，也可能因为估值太贵、仓位太重而亏钱。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before="140" w:after="140"/>
            </w:pPr>
            <w:r>
              <w:rPr>
                <w:b/>
                <w:color w:val="17365D"/>
              </w:rPr>
              <w:t>投资不是只回答“买什么”，还要回答“为什么是它、现在贵不贵、什么时候行动、错了怎么办”。</w:t>
            </w:r>
          </w:p>
        </w:tc>
      </w:tr>
    </w:tbl>
    <w:p/>
    <w:p>
      <w:pPr>
        <w:pStyle w:val="Heading1"/>
      </w:pPr>
      <w:r>
        <w:t>二、存量博弈：资金会集中，但局部抢跑不等于全面泡沫</w:t>
      </w:r>
    </w:p>
    <w:p>
      <w:pPr>
        <w:spacing w:after="120" w:line="324" w:lineRule="auto"/>
      </w:pPr>
      <w:r>
        <w:t>瓶颈选股法、板块内部资金争夺、大科技“血包”等现象，本质上都是阶段性的存量博弈。资金总量有限时，市场会在不同板块和细分环节之间重新分配。</w:t>
      </w:r>
    </w:p>
    <w:p>
      <w:pPr>
        <w:spacing w:after="120" w:line="324" w:lineRule="auto"/>
      </w:pPr>
      <w:r>
        <w:t>课件的判断是：存量博弈之下，整体未必存在全面泡沫，更常见的是局部价格抢跑。因此研究重点不能只看股价涨幅，而要沿着硬件资本开支去寻找真正的产业天花板。</w:t>
      </w:r>
    </w:p>
    <w:p>
      <w:pPr>
        <w:pStyle w:val="ListBullet"/>
        <w:spacing w:after="60" w:line="300" w:lineRule="auto"/>
      </w:pPr>
      <w:r>
        <w:t>上游观察顺序可概括为：产能 → 库存 → 价格。</w:t>
      </w:r>
    </w:p>
    <w:p>
      <w:pPr>
        <w:pStyle w:val="ListBullet"/>
        <w:spacing w:after="60" w:line="300" w:lineRule="auto"/>
      </w:pPr>
      <w:r>
        <w:t>中游云厂商重点看：CapEx → 自由现金流 → ROIC。</w:t>
      </w:r>
    </w:p>
    <w:p>
      <w:pPr>
        <w:pStyle w:val="ListBullet"/>
        <w:spacing w:after="60" w:line="300" w:lineRule="auto"/>
      </w:pPr>
      <w:r>
        <w:t>下游应用重点看：AI渗透率 → 付费率 → ARPU/利润。</w:t>
      </w:r>
    </w:p>
    <w:p>
      <w:pPr>
        <w:pStyle w:val="Heading1"/>
      </w:pPr>
      <w:r>
        <w:t>三、扩产能否对冲价格下跌：存储行业的压力测试思维</w:t>
      </w:r>
    </w:p>
    <w:p>
      <w:pPr>
        <w:spacing w:after="120" w:line="324" w:lineRule="auto"/>
      </w:pPr>
      <w:r>
        <w:t>课件用美光、SK海力士、三星存储、闪迪、西部数据做模型测算，讨论一个关键问题：当存储价格下降时，公司能否依靠扩产和销量增长维持收入与利润。模型假设新增产能全部卖出，并对DRAM/HBM/HDD与NAND分别设置成本下降压力测试。</w:t>
      </w:r>
    </w:p>
    <w:p>
      <w:pPr>
        <w:spacing w:after="120" w:line="324" w:lineRule="auto"/>
      </w:pPr>
      <w:r>
        <w:t>模型给出的方向性结论是：除西部数据外，多数公司仅依靠扩产，很难完全抵消价格大幅下跌对收入和利润的冲击；海力士在五年维度相对更有缓冲，但前提仍是HBM需求持续强劲、竞争格局没有恶化。闪迪对价格最敏感。西部数据因毛利率和业务结构不同，模型中抗压能力更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before="140" w:after="140"/>
            </w:pPr>
            <w:r>
              <w:rPr>
                <w:b/>
                <w:color w:val="17365D"/>
              </w:rPr>
              <w:t>这页的重点不是记住某个精确预测值，而是建立压力测试意识：周期股不能只看“量”，必须同时看价格、成本、产品结构和利润弹性。</w:t>
            </w:r>
          </w:p>
        </w:tc>
      </w:tr>
    </w:tbl>
    <w:p/>
    <w:p>
      <w:pPr>
        <w:pStyle w:val="Heading1"/>
      </w:pPr>
      <w:r>
        <w:t>四、从存量走向增量：AI Agent改变互联网的工作路径</w:t>
      </w:r>
    </w:p>
    <w:p>
      <w:pPr>
        <w:spacing w:after="120" w:line="324" w:lineRule="auto"/>
      </w:pPr>
      <w:r>
        <w:t>AI的下一阶段增量，不只是“更多人使用聊天机器人”，而是从“人点网页”转向“Agent执行任务”。传统互联网由人打开网页、访问少数网站、比较并完成任务；Agentic Internet中，人提出意图后，Agent会拆解任务、搜索、调用API/模型/数据库、访问大量网络服务、推理并执行操作。</w:t>
      </w:r>
    </w:p>
    <w:p>
      <w:pPr>
        <w:spacing w:after="120" w:line="324" w:lineRule="auto"/>
      </w:pPr>
      <w:r>
        <w:t>因此，Agent时代的增长单位可能从MAU进一步转向“任务数 × Agent步骤数 × 机器请求数”。课件引用Cloudflare相关观察：Bot/Agent流量正在快速增加，机器请求、推理和调用次数可能显著高于传统人工浏览。</w:t>
      </w:r>
    </w:p>
    <w:p>
      <w:pPr>
        <w:pStyle w:val="Heading2"/>
      </w:pPr>
      <w:r>
        <w:t>Agent需求更容易落地的场景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7365D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3249"/>
            <w:shd w:fill="17365D"/>
          </w:tcPr>
          <w:p>
            <w:r>
              <w:rPr>
                <w:b/>
                <w:color w:val="FFFFFF"/>
              </w:rPr>
              <w:t>AI主要工作</w:t>
            </w:r>
          </w:p>
        </w:tc>
        <w:tc>
          <w:tcPr>
            <w:tcW w:type="dxa" w:w="3249"/>
            <w:shd w:fill="17365D"/>
          </w:tcPr>
          <w:p>
            <w:r>
              <w:rPr>
                <w:b/>
                <w:color w:val="FFFFFF"/>
              </w:rPr>
              <w:t>直接价值</w:t>
            </w:r>
          </w:p>
        </w:tc>
      </w:tr>
      <w:tr>
        <w:tc>
          <w:tcPr>
            <w:tcW w:type="dxa" w:w="3249"/>
            <w:vAlign w:val="center"/>
          </w:tcPr>
          <w:p>
            <w:r>
              <w:t>企业知识库助手</w:t>
            </w:r>
          </w:p>
        </w:tc>
        <w:tc>
          <w:tcPr>
            <w:tcW w:type="dxa" w:w="3249"/>
            <w:vAlign w:val="center"/>
          </w:tcPr>
          <w:p>
            <w:r>
              <w:t>企业文档、制度、SOP、历史案例问答</w:t>
            </w:r>
          </w:p>
        </w:tc>
        <w:tc>
          <w:tcPr>
            <w:tcW w:type="dxa" w:w="3249"/>
            <w:vAlign w:val="center"/>
          </w:tcPr>
          <w:p>
            <w:r>
              <w:t>降低培训成本，提高员工效率</w:t>
            </w:r>
          </w:p>
        </w:tc>
      </w:tr>
      <w:tr>
        <w:tc>
          <w:tcPr>
            <w:tcW w:type="dxa" w:w="3249"/>
            <w:vAlign w:val="center"/>
          </w:tcPr>
          <w:p>
            <w:r>
              <w:t>客服 AI Agent</w:t>
            </w:r>
          </w:p>
        </w:tc>
        <w:tc>
          <w:tcPr>
            <w:tcW w:type="dxa" w:w="3249"/>
            <w:vAlign w:val="center"/>
          </w:tcPr>
          <w:p>
            <w:r>
              <w:t>自动回答、处理订单、创建工单、投诉分类</w:t>
            </w:r>
          </w:p>
        </w:tc>
        <w:tc>
          <w:tcPr>
            <w:tcW w:type="dxa" w:w="3249"/>
            <w:vAlign w:val="center"/>
          </w:tcPr>
          <w:p>
            <w:r>
              <w:t>降低客服成本，提高响应速度</w:t>
            </w:r>
          </w:p>
        </w:tc>
      </w:tr>
      <w:tr>
        <w:tc>
          <w:tcPr>
            <w:tcW w:type="dxa" w:w="3249"/>
            <w:vAlign w:val="center"/>
          </w:tcPr>
          <w:p>
            <w:r>
              <w:t>销售 AI 助手</w:t>
            </w:r>
          </w:p>
        </w:tc>
        <w:tc>
          <w:tcPr>
            <w:tcW w:type="dxa" w:w="3249"/>
            <w:vAlign w:val="center"/>
          </w:tcPr>
          <w:p>
            <w:r>
              <w:t>分析客户、提醒跟进、生成方案、预测成交</w:t>
            </w:r>
          </w:p>
        </w:tc>
        <w:tc>
          <w:tcPr>
            <w:tcW w:type="dxa" w:w="3249"/>
            <w:vAlign w:val="center"/>
          </w:tcPr>
          <w:p>
            <w:r>
              <w:t>提升销售效率和转化率</w:t>
            </w:r>
          </w:p>
        </w:tc>
      </w:tr>
      <w:tr>
        <w:tc>
          <w:tcPr>
            <w:tcW w:type="dxa" w:w="3249"/>
            <w:vAlign w:val="center"/>
          </w:tcPr>
          <w:p>
            <w:r>
              <w:t>CRM 客户运营 AI</w:t>
            </w:r>
          </w:p>
        </w:tc>
        <w:tc>
          <w:tcPr>
            <w:tcW w:type="dxa" w:w="3249"/>
            <w:vAlign w:val="center"/>
          </w:tcPr>
          <w:p>
            <w:r>
              <w:t>用户画像、流失预测、精准营销</w:t>
            </w:r>
          </w:p>
        </w:tc>
        <w:tc>
          <w:tcPr>
            <w:tcW w:type="dxa" w:w="3249"/>
            <w:vAlign w:val="center"/>
          </w:tcPr>
          <w:p>
            <w:r>
              <w:t>提高复购率和客户终身价值</w:t>
            </w:r>
          </w:p>
        </w:tc>
      </w:tr>
      <w:tr>
        <w:tc>
          <w:tcPr>
            <w:tcW w:type="dxa" w:w="3249"/>
            <w:vAlign w:val="center"/>
          </w:tcPr>
          <w:p>
            <w:r>
              <w:t>财务 AI</w:t>
            </w:r>
          </w:p>
        </w:tc>
        <w:tc>
          <w:tcPr>
            <w:tcW w:type="dxa" w:w="3249"/>
            <w:vAlign w:val="center"/>
          </w:tcPr>
          <w:p>
            <w:r>
              <w:t>发票、报销、对账、异常识别、财务分析</w:t>
            </w:r>
          </w:p>
        </w:tc>
        <w:tc>
          <w:tcPr>
            <w:tcW w:type="dxa" w:w="3249"/>
            <w:vAlign w:val="center"/>
          </w:tcPr>
          <w:p>
            <w:r>
              <w:t>降低后台成本，提高准确率</w:t>
            </w:r>
          </w:p>
        </w:tc>
      </w:tr>
      <w:tr>
        <w:tc>
          <w:tcPr>
            <w:tcW w:type="dxa" w:w="3249"/>
            <w:vAlign w:val="center"/>
          </w:tcPr>
          <w:p>
            <w:r>
              <w:t>合同审查 AI</w:t>
            </w:r>
          </w:p>
        </w:tc>
        <w:tc>
          <w:tcPr>
            <w:tcW w:type="dxa" w:w="3249"/>
            <w:vAlign w:val="center"/>
          </w:tcPr>
          <w:p>
            <w:r>
              <w:t>条款提取、风险提示、合同比较</w:t>
            </w:r>
          </w:p>
        </w:tc>
        <w:tc>
          <w:tcPr>
            <w:tcW w:type="dxa" w:w="3249"/>
            <w:vAlign w:val="center"/>
          </w:tcPr>
          <w:p>
            <w:r>
              <w:t>降低法务成本，提高效率</w:t>
            </w:r>
          </w:p>
        </w:tc>
      </w:tr>
      <w:tr>
        <w:tc>
          <w:tcPr>
            <w:tcW w:type="dxa" w:w="3249"/>
            <w:vAlign w:val="center"/>
          </w:tcPr>
          <w:p>
            <w:r>
              <w:t>招聘 AI</w:t>
            </w:r>
          </w:p>
        </w:tc>
        <w:tc>
          <w:tcPr>
            <w:tcW w:type="dxa" w:w="3249"/>
            <w:vAlign w:val="center"/>
          </w:tcPr>
          <w:p>
            <w:r>
              <w:t>简历筛选、候选人匹配、面试总结</w:t>
            </w:r>
          </w:p>
        </w:tc>
        <w:tc>
          <w:tcPr>
            <w:tcW w:type="dxa" w:w="3249"/>
            <w:vAlign w:val="center"/>
          </w:tcPr>
          <w:p>
            <w:r>
              <w:t>降低招聘成本</w:t>
            </w:r>
          </w:p>
        </w:tc>
      </w:tr>
      <w:tr>
        <w:tc>
          <w:tcPr>
            <w:tcW w:type="dxa" w:w="3249"/>
            <w:vAlign w:val="center"/>
          </w:tcPr>
          <w:p>
            <w:r>
              <w:t>数据分析 AI</w:t>
            </w:r>
          </w:p>
        </w:tc>
        <w:tc>
          <w:tcPr>
            <w:tcW w:type="dxa" w:w="3249"/>
            <w:vAlign w:val="center"/>
          </w:tcPr>
          <w:p>
            <w:r>
              <w:t>自然语言查数据、自动生成经营分析</w:t>
            </w:r>
          </w:p>
        </w:tc>
        <w:tc>
          <w:tcPr>
            <w:tcW w:type="dxa" w:w="3249"/>
            <w:vAlign w:val="center"/>
          </w:tcPr>
          <w:p>
            <w:r>
              <w:t>提升决策效率</w:t>
            </w:r>
          </w:p>
        </w:tc>
      </w:tr>
    </w:tbl>
    <w:p/>
    <w:p>
      <w:pPr>
        <w:spacing w:after="120" w:line="324" w:lineRule="auto"/>
      </w:pPr>
      <w:r>
        <w:t>课件总结的优质场景特征包括：高频重复、需要读取大量信息、有明确判断规则、结果可验证、AI能够直接执行下一步、错误可以撤回或人工复核，并且在使用过程中能够沉淀专有数据。</w:t>
      </w:r>
    </w:p>
    <w:p>
      <w:pPr>
        <w:pStyle w:val="Heading1"/>
      </w:pPr>
      <w:r>
        <w:t>五、AI原生增量场景：不是把旧软件加一个聊天框</w:t>
      </w:r>
    </w:p>
    <w:p>
      <w:pPr>
        <w:spacing w:after="120" w:line="324" w:lineRule="auto"/>
      </w:pPr>
      <w:r>
        <w:t>课件进一步讨论了AI原生场景，包括意图交易所、机器客户市场、一次性软件、按结果购买的专家服务、个人决策数字孪生、企业决策沙盘等。共同点是：AI改变的不只是效率，而可能重构产品形态、交易方式和商业模式。</w:t>
      </w:r>
    </w:p>
    <w:p>
      <w:pPr>
        <w:pStyle w:val="ListBullet"/>
        <w:spacing w:after="60" w:line="300" w:lineRule="auto"/>
      </w:pPr>
      <w:r>
        <w:t>意图交易所：用户表达需求，商家反向报价、组合方案或竞标，把大量搜索比较转化为交易。</w:t>
      </w:r>
    </w:p>
    <w:p>
      <w:pPr>
        <w:pStyle w:val="ListBullet"/>
        <w:spacing w:after="60" w:line="300" w:lineRule="auto"/>
      </w:pPr>
      <w:r>
        <w:t>机器客户市场：AI Agent自动购买数据、API、算力、软件与服务，支付、身份、权限、审计成为基础设施。</w:t>
      </w:r>
    </w:p>
    <w:p>
      <w:pPr>
        <w:pStyle w:val="ListBullet"/>
        <w:spacing w:after="60" w:line="300" w:lineRule="auto"/>
      </w:pPr>
      <w:r>
        <w:t>一次性软件：针对一次任务现场生成表单、看板、工作流和界面，商业模式可能转向按任务、按使用量或订阅。</w:t>
      </w:r>
    </w:p>
    <w:p>
      <w:pPr>
        <w:pStyle w:val="ListBullet"/>
        <w:spacing w:after="60" w:line="300" w:lineRule="auto"/>
      </w:pPr>
      <w:r>
        <w:t>按结果购买的专家服务：购买的不是“咨询时间”，而是一次合同检查、估值或市场调查等可验证结果。</w:t>
      </w:r>
    </w:p>
    <w:p>
      <w:pPr>
        <w:pStyle w:val="ListBullet"/>
        <w:spacing w:after="60" w:line="300" w:lineRule="auto"/>
      </w:pPr>
      <w:r>
        <w:t>个人数字孪生与企业决策沙盘：通过长期数据、行为反馈和真实结果不断校准，辅助模拟投资、消费、经营等决策。</w:t>
      </w:r>
    </w:p>
    <w:p>
      <w:pPr>
        <w:pStyle w:val="Heading1"/>
      </w:pPr>
      <w:r>
        <w:t>六、AI产业链：上游看供给，中游看资本回报，下游看渗透</w:t>
      </w:r>
    </w:p>
    <w:p>
      <w:pPr>
        <w:spacing w:after="120" w:line="324" w:lineRule="auto"/>
      </w:pPr>
      <w:r>
        <w:t>课件把AI产业链划分为上游晶片与基础建设、中游云端供应商、下游应用。上游包括记忆体、半导体、先进封装、GPU/ASIC、CPU，以及载板、散热、通讯、被动元件、服务器等；中游是CSP与Neocloud的数据中心；下游包括生成式AI、代理AI、边缘AI、实体AI、消费性应用与车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before="140" w:after="140"/>
            </w:pPr>
            <w:r>
              <w:rPr>
                <w:b/>
                <w:color w:val="17365D"/>
              </w:rPr>
              <w:t>对应的研究抓手非常明确：上游看库存和价格；中游看自由现金流与投资回报率；下游看AI渗透率。</w:t>
            </w:r>
          </w:p>
        </w:tc>
      </w:tr>
    </w:tbl>
    <w:p/>
    <w:p>
      <w:pPr>
        <w:spacing w:after="120" w:line="324" w:lineRule="auto"/>
      </w:pPr>
      <w:r>
        <w:t>产业链地图进一步覆盖基础设施层、模型层、平台层、应用层、行业解决方案、终端层以及数据供应、安全合规、隐私计算、AI治理与投资生态等支撑层。它强调的是AI并非单一芯片产业，而是从底层算力一直延伸到最终行业应用的完整生态。</w:t>
      </w:r>
    </w:p>
    <w:p>
      <w:pPr>
        <w:pStyle w:val="Heading1"/>
      </w:pPr>
      <w:r>
        <w:t>七、云计算商业模式：收入增长必须最终转化为利润与现金流</w:t>
      </w:r>
    </w:p>
    <w:p>
      <w:pPr>
        <w:spacing w:after="120" w:line="324" w:lineRule="auto"/>
      </w:pPr>
      <w:r>
        <w:t>课件以AWS、Google Cloud和Microsoft Intelligent Cloud为例，说明三大云厂商的云业务已经具备较强盈利能力。重点不是只看云收入增速，而是观察云业务利润率、对集团利润贡献，以及新增利润中有多少来自云业务。</w:t>
      </w:r>
    </w:p>
    <w:p>
      <w:pPr>
        <w:spacing w:after="120" w:line="324" w:lineRule="auto"/>
      </w:pPr>
      <w:r>
        <w:t>课件给出的核心判断是：云业务的营业利润模式已经基本跑通，但AI资本开支仍高，后续还需要继续验证自由现金流和资本回报率。换句话说，AI基础设施投资不能永远只靠“需求很强”来解释，最终必须落到收入确认、利润和现金回报。</w:t>
      </w:r>
    </w:p>
    <w:p>
      <w:pPr>
        <w:pStyle w:val="Heading1"/>
      </w:pPr>
      <w:r>
        <w:t>八、2026资本开支：绝对规模与资本压力是两件事</w:t>
      </w:r>
    </w:p>
    <w:p>
      <w:pPr>
        <w:spacing w:after="120" w:line="324" w:lineRule="auto"/>
      </w:pPr>
      <w:r>
        <w:t>课件将三大云与CoreWeave、Nebius放在一起比较。Amazon、Alphabet、Microsoft的绝对CapEx规模最大，但它们有成熟业务和现金流支撑；独立算力公司虽然绝对投入更小，但CapEx相对收入的比例更高，融资和资本压力更重。</w:t>
      </w:r>
    </w:p>
    <w:p>
      <w:pPr>
        <w:spacing w:after="120" w:line="324" w:lineRule="auto"/>
      </w:pPr>
      <w:r>
        <w:t>其中课件估算：CoreWeave 2026年CapEx约350–390亿美元、收入约124–132亿美元，CapEx/Revenue约2.9倍；Nebius 2026年CapEx约200–250亿美元、收入约30–34亿美元，CapEx/Revenue约7倍。课件同时指出CoreWeave当前在可用电力、已签约电力和客户积压订单方面的可见度相对更强。以上均为课件截至2026年8月采用的公司指引或中值口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before="140" w:after="140"/>
            </w:pPr>
            <w:r>
              <w:rPr>
                <w:b/>
                <w:color w:val="17365D"/>
              </w:rPr>
              <w:t>绝对金额看三大云最大；资本压力看独立算力商更重。分析AI CapEx不能只比较“花了多少钱”，还要比较它相对收入、现金流和融资能力有多重。</w:t>
            </w:r>
          </w:p>
        </w:tc>
      </w:tr>
    </w:tbl>
    <w:p/>
    <w:p>
      <w:pPr>
        <w:pStyle w:val="Heading1"/>
      </w:pPr>
      <w:r>
        <w:t>九、AI Factory：基础设施正在被当作长期资产来定价</w:t>
      </w:r>
    </w:p>
    <w:p>
      <w:pPr>
        <w:spacing w:after="120" w:line="324" w:lineRule="auto"/>
      </w:pPr>
      <w:r>
        <w:t>课件引用AI Factory相关材料，讨论AI计算平台逐渐成为一种可投资资产类别。核心逻辑是：AI工厂并非单纯购买GPU，而是包含计算、网络、系统软件、AI框架和开发生态的一整套基础设施；随着软件效率提高，同一批硬件在生命周期内可以承载更多工作负载。</w:t>
      </w:r>
    </w:p>
    <w:p>
      <w:pPr>
        <w:spacing w:after="120" w:line="324" w:lineRule="auto"/>
      </w:pPr>
      <w:r>
        <w:t>因此，基础设施的估值逻辑可能从“一次性设备采购”转向“可持续产生服务收入的资产”。但这也意味着资本回报必须建立在持续利用率、服务收入和设备生命周期之上，不能只依据资产价格上涨。</w:t>
      </w:r>
    </w:p>
    <w:p>
      <w:pPr>
        <w:pStyle w:val="Heading1"/>
      </w:pPr>
      <w:r>
        <w:t>十、AI应用收入能否覆盖基础设施投入：最终要看经济闭环</w:t>
      </w:r>
    </w:p>
    <w:p>
      <w:pPr>
        <w:spacing w:after="120" w:line="324" w:lineRule="auto"/>
      </w:pPr>
      <w:r>
        <w:t>课件用2026—2030年的压力测试讨论AI应用收入与AI基础设施CapEx的平衡。设定的核心假设是：如果应用端毛利率约50%，那么终端收入需要达到约2倍CapEx，才有能力覆盖全部基础设施投入。</w:t>
      </w:r>
    </w:p>
    <w:p>
      <w:pPr>
        <w:spacing w:after="120" w:line="324" w:lineRule="auto"/>
      </w:pPr>
      <w:r>
        <w:t>课件测算中，AI基础设施CapEx从2026年的约7650亿美元上升至2030年的约1.579万亿美元；相应的2倍CapEx压力线从约1.53万亿美元升至约3.158万亿美元。与此同时，课件引用Gartner口径估算直接AI商业化收入与AI Software收入，并据此观察覆盖率。</w:t>
      </w:r>
    </w:p>
    <w:p>
      <w:pPr>
        <w:spacing w:after="120" w:line="324" w:lineRule="auto"/>
      </w:pPr>
      <w:r>
        <w:t>核心不是把2030年的单点预测当成事实，而是提出验证问题：应用层收入增长能否持续快于基础设施CapEx增长？如果不能，资本开支的长期回报就需要重新评估。</w:t>
      </w:r>
    </w:p>
    <w:p>
      <w:pPr>
        <w:pStyle w:val="Heading1"/>
      </w:pPr>
      <w:r>
        <w:t>十一、Anthropic案例：ARR很高，不等于可以直接套SaaS估值</w:t>
      </w:r>
    </w:p>
    <w:p>
      <w:pPr>
        <w:spacing w:after="120" w:line="324" w:lineRule="auto"/>
      </w:pPr>
      <w:r>
        <w:t>课件截至2026年8月整理的Anthropic数据强调“口径问题”：headline ARR、run-rate与实际年度收入并非同一个概念。课件显示官方确认的2026年5月run-rate超过470亿美元，Q2实际收入超过115亿美元、对应年化约460亿美元；第三方对7月ARR的跟踪约为700—800亿美元，需要谨慎看待。</w:t>
      </w:r>
    </w:p>
    <w:p>
      <w:pPr>
        <w:spacing w:after="120" w:line="324" w:lineRule="auto"/>
      </w:pPr>
      <w:r>
        <w:t>收入结构上，课件判断API/token consumption仍是核心来源，Claude Code是重要增长动力，订阅及其他业务占比相对较低，但各部分存在重叠，不能机械相加。</w:t>
      </w:r>
    </w:p>
    <w:p>
      <w:pPr>
        <w:spacing w:after="120" w:line="324" w:lineRule="auto"/>
      </w:pPr>
      <w:r>
        <w:t>更重要的是毛利率。纯API或成熟推理业务可以有较高毛利率，但公司整体毛利率会受到训练成本、免费用户、闲置/冗余算力以及AWS/GCP渠道分成等压力。因此Anthropic不能简单按照传统SaaS的ARR倍数估值，真正需要跟踪的是综合毛利率能否持续改善，以及每新增1美元收入所需要的边际算力成本是否下降。</w:t>
      </w:r>
    </w:p>
    <w:p>
      <w:pPr>
        <w:pStyle w:val="Heading1"/>
      </w:pPr>
      <w:r>
        <w:t>十二、Azure案例：从“需求强”转向“产能与收入确认”</w:t>
      </w:r>
    </w:p>
    <w:p>
      <w:pPr>
        <w:spacing w:after="120" w:line="324" w:lineRule="auto"/>
      </w:pPr>
      <w:r>
        <w:t>Azure的课件重点是收入增速重新加速，同时数据中心产能同比增长明显提升。分析不能只停留在“AI需求很强”，而要进一步看新增产能何时转化为可确认收入。</w:t>
      </w:r>
    </w:p>
    <w:p>
      <w:pPr>
        <w:pStyle w:val="ListBullet"/>
        <w:spacing w:after="60" w:line="300" w:lineRule="auto"/>
      </w:pPr>
      <w:r>
        <w:t>Azure同比增速从FY24 Q1约27%逐步提升，课件显示FY26 Q3约43%，下一季度指引约45%。</w:t>
      </w:r>
    </w:p>
    <w:p>
      <w:pPr>
        <w:pStyle w:val="ListBullet"/>
        <w:spacing w:after="60" w:line="300" w:lineRule="auto"/>
      </w:pPr>
      <w:r>
        <w:t>数据中心产能同比增幅在课件序列中从20%、28%、35%、55%、85%进一步升至120%+。</w:t>
      </w:r>
    </w:p>
    <w:p>
      <w:pPr>
        <w:pStyle w:val="ListBullet"/>
        <w:spacing w:after="60" w:line="300" w:lineRule="auto"/>
      </w:pPr>
      <w:r>
        <w:t>商业RPO反映已签约但尚未确认收入的合同余额，可作为未来收入准备的观察指标。</w:t>
      </w:r>
    </w:p>
    <w:p>
      <w:pPr>
        <w:pStyle w:val="ListBullet"/>
        <w:spacing w:after="60" w:line="300" w:lineRule="auto"/>
      </w:pPr>
      <w:r>
        <w:t>M365席位与Copilot付费席位继续增长，说明AI当前更多是增强既有软件生态，而非立即替代席位。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before="140" w:after="140"/>
            </w:pPr>
            <w:r>
              <w:rPr>
                <w:b/>
                <w:color w:val="17365D"/>
              </w:rPr>
              <w:t>需求只是第一步。真正需要验证的是：产能 → 使用率 → 收入确认 → 利润 → 自由现金流。</w:t>
            </w:r>
          </w:p>
        </w:tc>
      </w:tr>
    </w:tbl>
    <w:p/>
    <w:p>
      <w:pPr>
        <w:pStyle w:val="Heading1"/>
      </w:pPr>
      <w:r>
        <w:t>十三、投资里最常见的十类逻辑漏洞</w:t>
      </w:r>
    </w:p>
    <w:p>
      <w:pPr>
        <w:spacing w:after="120" w:line="324" w:lineRule="auto"/>
      </w:pPr>
      <w:r>
        <w:t>课程把投资错误进一步抽象为十种常见推理偏差。重点不是避免所有偏差，而是主动识别“从正确事实推导错误结论”的过程。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7365D"/>
          </w:tcPr>
          <w:p>
            <w:r>
              <w:rPr>
                <w:b/>
                <w:color w:val="FFFFFF"/>
              </w:rPr>
              <w:t>逻辑漏洞</w:t>
            </w:r>
          </w:p>
        </w:tc>
        <w:tc>
          <w:tcPr>
            <w:tcW w:type="dxa" w:w="3249"/>
            <w:shd w:fill="17365D"/>
          </w:tcPr>
          <w:p>
            <w:r>
              <w:rPr>
                <w:b/>
                <w:color w:val="FFFFFF"/>
              </w:rPr>
              <w:t>典型错误</w:t>
            </w:r>
          </w:p>
        </w:tc>
        <w:tc>
          <w:tcPr>
            <w:tcW w:type="dxa" w:w="3249"/>
            <w:shd w:fill="17365D"/>
          </w:tcPr>
          <w:p>
            <w:r>
              <w:rPr>
                <w:b/>
                <w:color w:val="FFFFFF"/>
              </w:rPr>
              <w:t>正确检查方式</w:t>
            </w:r>
          </w:p>
        </w:tc>
      </w:tr>
      <w:tr>
        <w:tc>
          <w:tcPr>
            <w:tcW w:type="dxa" w:w="3249"/>
            <w:vAlign w:val="center"/>
          </w:tcPr>
          <w:p>
            <w:r>
              <w:t>必要当充分</w:t>
            </w:r>
          </w:p>
        </w:tc>
        <w:tc>
          <w:tcPr>
            <w:tcW w:type="dxa" w:w="3249"/>
            <w:vAlign w:val="center"/>
          </w:tcPr>
          <w:p>
            <w:r>
              <w:t>行业高增长＝公司一定高增长</w:t>
            </w:r>
          </w:p>
        </w:tc>
        <w:tc>
          <w:tcPr>
            <w:tcW w:type="dxa" w:w="3249"/>
            <w:vAlign w:val="center"/>
          </w:tcPr>
          <w:p>
            <w:r>
              <w:t>行业景气只是必要条件，还要看份额、竞争力、盈利模式</w:t>
            </w:r>
          </w:p>
        </w:tc>
      </w:tr>
      <w:tr>
        <w:tc>
          <w:tcPr>
            <w:tcW w:type="dxa" w:w="3249"/>
            <w:vAlign w:val="center"/>
          </w:tcPr>
          <w:p>
            <w:r>
              <w:t>肯定后件</w:t>
            </w:r>
          </w:p>
        </w:tc>
        <w:tc>
          <w:tcPr>
            <w:tcW w:type="dxa" w:w="3249"/>
            <w:vAlign w:val="center"/>
          </w:tcPr>
          <w:p>
            <w:r>
              <w:t>高毛利＝一定有护城河</w:t>
            </w:r>
          </w:p>
        </w:tc>
        <w:tc>
          <w:tcPr>
            <w:tcW w:type="dxa" w:w="3249"/>
            <w:vAlign w:val="center"/>
          </w:tcPr>
          <w:p>
            <w:r>
              <w:t>高毛利可能是阶段性的，要验证可持续性</w:t>
            </w:r>
          </w:p>
        </w:tc>
      </w:tr>
      <w:tr>
        <w:tc>
          <w:tcPr>
            <w:tcW w:type="dxa" w:w="3249"/>
            <w:vAlign w:val="center"/>
          </w:tcPr>
          <w:p>
            <w:r>
              <w:t>相关当因果</w:t>
            </w:r>
          </w:p>
        </w:tc>
        <w:tc>
          <w:tcPr>
            <w:tcW w:type="dxa" w:w="3249"/>
            <w:vAlign w:val="center"/>
          </w:tcPr>
          <w:p>
            <w:r>
              <w:t>CapEx上升后收入增长＝CapEx导致收入增长</w:t>
            </w:r>
          </w:p>
        </w:tc>
        <w:tc>
          <w:tcPr>
            <w:tcW w:type="dxa" w:w="3249"/>
            <w:vAlign w:val="center"/>
          </w:tcPr>
          <w:p>
            <w:r>
              <w:t>相关性不等于因果，寻找机制与反事实</w:t>
            </w:r>
          </w:p>
        </w:tc>
      </w:tr>
      <w:tr>
        <w:tc>
          <w:tcPr>
            <w:tcW w:type="dxa" w:w="3249"/>
            <w:vAlign w:val="center"/>
          </w:tcPr>
          <w:p>
            <w:r>
              <w:t>单因子归因</w:t>
            </w:r>
          </w:p>
        </w:tc>
        <w:tc>
          <w:tcPr>
            <w:tcW w:type="dxa" w:w="3249"/>
            <w:vAlign w:val="center"/>
          </w:tcPr>
          <w:p>
            <w:r>
              <w:t>股价跌＝利率上升</w:t>
            </w:r>
          </w:p>
        </w:tc>
        <w:tc>
          <w:tcPr>
            <w:tcW w:type="dxa" w:w="3249"/>
            <w:vAlign w:val="center"/>
          </w:tcPr>
          <w:p>
            <w:r>
              <w:t>价格由盈利、估值、资金与情绪共同决定</w:t>
            </w:r>
          </w:p>
        </w:tc>
      </w:tr>
      <w:tr>
        <w:tc>
          <w:tcPr>
            <w:tcW w:type="dxa" w:w="3249"/>
            <w:vAlign w:val="center"/>
          </w:tcPr>
          <w:p>
            <w:r>
              <w:t>线性外推</w:t>
            </w:r>
          </w:p>
        </w:tc>
        <w:tc>
          <w:tcPr>
            <w:tcW w:type="dxa" w:w="3249"/>
            <w:vAlign w:val="center"/>
          </w:tcPr>
          <w:p>
            <w:r>
              <w:t>最近几个季度强＝未来多年都强</w:t>
            </w:r>
          </w:p>
        </w:tc>
        <w:tc>
          <w:tcPr>
            <w:tcW w:type="dxa" w:w="3249"/>
            <w:vAlign w:val="center"/>
          </w:tcPr>
          <w:p>
            <w:r>
              <w:t>基数、竞争、渗透率和回报递减会破坏线性趋势</w:t>
            </w:r>
          </w:p>
        </w:tc>
      </w:tr>
      <w:tr>
        <w:tc>
          <w:tcPr>
            <w:tcW w:type="dxa" w:w="3249"/>
            <w:vAlign w:val="center"/>
          </w:tcPr>
          <w:p>
            <w:r>
              <w:t>忽略基准概率</w:t>
            </w:r>
          </w:p>
        </w:tc>
        <w:tc>
          <w:tcPr>
            <w:tcW w:type="dxa" w:w="3249"/>
            <w:vAlign w:val="center"/>
          </w:tcPr>
          <w:p>
            <w:r>
              <w:t>看到一个赢家就类推同类公司</w:t>
            </w:r>
          </w:p>
        </w:tc>
        <w:tc>
          <w:tcPr>
            <w:tcW w:type="dxa" w:w="3249"/>
            <w:vAlign w:val="center"/>
          </w:tcPr>
          <w:p>
            <w:r>
              <w:t>先看历史成功率，再看个体差异</w:t>
            </w:r>
          </w:p>
        </w:tc>
      </w:tr>
      <w:tr>
        <w:tc>
          <w:tcPr>
            <w:tcW w:type="dxa" w:w="3249"/>
            <w:vAlign w:val="center"/>
          </w:tcPr>
          <w:p>
            <w:r>
              <w:t>幸存者偏差</w:t>
            </w:r>
          </w:p>
        </w:tc>
        <w:tc>
          <w:tcPr>
            <w:tcW w:type="dxa" w:w="3249"/>
            <w:vAlign w:val="center"/>
          </w:tcPr>
          <w:p>
            <w:r>
              <w:t>只研究赢家并复制路径</w:t>
            </w:r>
          </w:p>
        </w:tc>
        <w:tc>
          <w:tcPr>
            <w:tcW w:type="dxa" w:w="3249"/>
            <w:vAlign w:val="center"/>
          </w:tcPr>
          <w:p>
            <w:r>
              <w:t>同时研究失败样本</w:t>
            </w:r>
          </w:p>
        </w:tc>
      </w:tr>
      <w:tr>
        <w:tc>
          <w:tcPr>
            <w:tcW w:type="dxa" w:w="3249"/>
            <w:vAlign w:val="center"/>
          </w:tcPr>
          <w:p>
            <w:r>
              <w:t>结果偏差</w:t>
            </w:r>
          </w:p>
        </w:tc>
        <w:tc>
          <w:tcPr>
            <w:tcW w:type="dxa" w:w="3249"/>
            <w:vAlign w:val="center"/>
          </w:tcPr>
          <w:p>
            <w:r>
              <w:t>赚钱＝判断正确；亏钱＝方法错误</w:t>
            </w:r>
          </w:p>
        </w:tc>
        <w:tc>
          <w:tcPr>
            <w:tcW w:type="dxa" w:w="3249"/>
            <w:vAlign w:val="center"/>
          </w:tcPr>
          <w:p>
            <w:r>
              <w:t>决策质量与短期结果分开评价</w:t>
            </w:r>
          </w:p>
        </w:tc>
      </w:tr>
      <w:tr>
        <w:tc>
          <w:tcPr>
            <w:tcW w:type="dxa" w:w="3249"/>
            <w:vAlign w:val="center"/>
          </w:tcPr>
          <w:p>
            <w:r>
              <w:t>循环论证</w:t>
            </w:r>
          </w:p>
        </w:tc>
        <w:tc>
          <w:tcPr>
            <w:tcW w:type="dxa" w:w="3249"/>
            <w:vAlign w:val="center"/>
          </w:tcPr>
          <w:p>
            <w:r>
              <w:t>股价涨证明公司优秀，公司优秀证明股价应涨</w:t>
            </w:r>
          </w:p>
        </w:tc>
        <w:tc>
          <w:tcPr>
            <w:tcW w:type="dxa" w:w="3249"/>
            <w:vAlign w:val="center"/>
          </w:tcPr>
          <w:p>
            <w:r>
              <w:t>回到财报、订单、定价权、留存率、现金流等独立证据</w:t>
            </w:r>
          </w:p>
        </w:tc>
      </w:tr>
      <w:tr>
        <w:tc>
          <w:tcPr>
            <w:tcW w:type="dxa" w:w="3249"/>
            <w:vAlign w:val="center"/>
          </w:tcPr>
          <w:p>
            <w:r>
              <w:t>偷换概念</w:t>
            </w:r>
          </w:p>
        </w:tc>
        <w:tc>
          <w:tcPr>
            <w:tcW w:type="dxa" w:w="3249"/>
            <w:vAlign w:val="center"/>
          </w:tcPr>
          <w:p>
            <w:r>
              <w:t>收入增长＝高质量增长</w:t>
            </w:r>
          </w:p>
        </w:tc>
        <w:tc>
          <w:tcPr>
            <w:tcW w:type="dxa" w:w="3249"/>
            <w:vAlign w:val="center"/>
          </w:tcPr>
          <w:p>
            <w:r>
              <w:t>看利润率、现金流和资本回报是否同步改善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before="140" w:after="140"/>
            </w:pPr>
            <w:r>
              <w:rPr>
                <w:b/>
                <w:color w:val="17365D"/>
              </w:rPr>
              <w:t>上半部分：从“看见现象”走向“拆解前提”；下半部分：从“听故事”走向“看证据”。</w:t>
            </w:r>
          </w:p>
        </w:tc>
      </w:tr>
    </w:tbl>
    <w:p/>
    <w:p>
      <w:pPr>
        <w:pStyle w:val="Heading1"/>
      </w:pPr>
      <w:r>
        <w:t>十四、技能成长曲线：寻找可复制、可积累的能力</w:t>
      </w:r>
    </w:p>
    <w:p>
      <w:pPr>
        <w:spacing w:after="120" w:line="324" w:lineRule="auto"/>
      </w:pPr>
      <w:r>
        <w:t>课件将技能分为“可复制”和“不可复制”两类。不可复制技能通常起效快，但很快进入平台期，边际收益递减、长期天花板较低；可复制技能前期慢，却能够形成知识、经验、资源与影响力的叠加，后期可能进入指数式增长。</w:t>
      </w:r>
    </w:p>
    <w:p>
      <w:pPr>
        <w:spacing w:after="120" w:line="324" w:lineRule="auto"/>
      </w:pPr>
      <w:r>
        <w:t>对应到投资研究，真正有长期复利价值的不是某一次猜中行情，而是能够反复使用的产业研究、财务分析、数据验证、估值、交易纪律和复盘体系。</w:t>
      </w:r>
    </w:p>
    <w:p>
      <w:pPr>
        <w:pStyle w:val="Heading1"/>
      </w:pPr>
      <w:r>
        <w:t>十五、技术分析的本质：统计学，而不是预测术</w:t>
      </w:r>
    </w:p>
    <w:p>
      <w:pPr>
        <w:spacing w:after="120" w:line="324" w:lineRule="auto"/>
      </w:pPr>
      <w:r>
        <w:t>课件把技术分析理解为统计规律。分形、树状结构、螺旋等自然形态说明局部与整体可能存在相似结构；映射到市场，就是通过大量历史样本寻找具有统计意义的价格、趋势与行为模式。</w:t>
      </w:r>
    </w:p>
    <w:p>
      <w:pPr>
        <w:spacing w:after="120" w:line="324" w:lineRule="auto"/>
      </w:pPr>
      <w:r>
        <w:t>因此技术分析不负责证明“未来一定怎样”，而是帮助判断当前处于什么状态、赔率和风险如何变化，并与基本面判断共同使用。</w:t>
      </w:r>
    </w:p>
    <w:p>
      <w:pPr>
        <w:pStyle w:val="Heading1"/>
      </w:pPr>
      <w:r>
        <w:t>十六、过热与恐慌：用乖离率衡量价格偏离</w:t>
      </w:r>
    </w:p>
    <w:p>
      <w:pPr>
        <w:spacing w:after="120" w:line="324" w:lineRule="auto"/>
      </w:pPr>
      <w:r>
        <w:t>乖离率公式：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before="140" w:after="140"/>
            </w:pPr>
            <w:r>
              <w:rPr>
                <w:b/>
                <w:color w:val="17365D"/>
              </w:rPr>
              <w:t>乖离率 =（当前价格 − 移动平均线）÷ 移动平均线 × 100%</w:t>
            </w:r>
          </w:p>
        </w:tc>
      </w:tr>
    </w:tbl>
    <w:p/>
    <w:p>
      <w:pPr>
        <w:spacing w:after="120" w:line="324" w:lineRule="auto"/>
      </w:pPr>
      <w:r>
        <w:t>MA60、MA120、MA200可以粗略理解为过去60日、120日、200日市场平均持仓成本的参考。正乖离率越大，意味着潜在获利盘越重；负乖离率越大，则意味着潜在亏损盘越重。RSI等指标可以作为辅助判断。</w:t>
      </w:r>
    </w:p>
    <w:p>
      <w:pPr>
        <w:spacing w:after="120" w:line="324" w:lineRule="auto"/>
      </w:pPr>
      <w:r>
        <w:t>课件给出的“逃命公式”是：极端乖离 + 动能背离 + 趋势破位 + 盈利上修放缓。它强调的不是单一指标触发卖出，而是多个风险信号共振。</w:t>
      </w:r>
    </w:p>
    <w:p>
      <w:pPr>
        <w:pStyle w:val="Heading1"/>
      </w:pPr>
      <w:r>
        <w:t>十七、乖离率 × 盈利能力：九宫格投资框架</w:t>
      </w:r>
    </w:p>
    <w:p>
      <w:pPr>
        <w:spacing w:after="120" w:line="324" w:lineRule="auto"/>
      </w:pPr>
      <w:r>
        <w:t>乖离率回答“价格走了多远”，盈利能力回答“价值走了多远”，技术趋势决定“什么时候行动”。九宫格把三档价格位置与三种盈利变化组合起来。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7365D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36"/>
            <w:shd w:fill="17365D"/>
          </w:tcPr>
          <w:p>
            <w:r>
              <w:rPr>
                <w:b/>
                <w:color w:val="FFFFFF"/>
              </w:rPr>
              <w:t>盈利能力增强</w:t>
            </w:r>
          </w:p>
        </w:tc>
        <w:tc>
          <w:tcPr>
            <w:tcW w:type="dxa" w:w="2436"/>
            <w:shd w:fill="17365D"/>
          </w:tcPr>
          <w:p>
            <w:r>
              <w:rPr>
                <w:b/>
                <w:color w:val="FFFFFF"/>
              </w:rPr>
              <w:t>盈利能力不变</w:t>
            </w:r>
          </w:p>
        </w:tc>
        <w:tc>
          <w:tcPr>
            <w:tcW w:type="dxa" w:w="2436"/>
            <w:shd w:fill="17365D"/>
          </w:tcPr>
          <w:p>
            <w:r>
              <w:rPr>
                <w:b/>
                <w:color w:val="FFFFFF"/>
              </w:rPr>
              <w:t>盈利能力转弱</w:t>
            </w:r>
          </w:p>
        </w:tc>
      </w:tr>
      <w:tr>
        <w:tc>
          <w:tcPr>
            <w:tcW w:type="dxa" w:w="2436"/>
            <w:vAlign w:val="center"/>
          </w:tcPr>
          <w:p>
            <w:r>
              <w:t>正乖离率极大</w:t>
            </w:r>
          </w:p>
        </w:tc>
        <w:tc>
          <w:tcPr>
            <w:tcW w:type="dxa" w:w="2436"/>
            <w:vAlign w:val="center"/>
          </w:tcPr>
          <w:p>
            <w:r>
              <w:t>高乖离 + 强盈利：上涨未必是泡沫，关键看盈利上修能否跟上股价</w:t>
            </w:r>
          </w:p>
        </w:tc>
        <w:tc>
          <w:tcPr>
            <w:tcW w:type="dxa" w:w="2436"/>
            <w:vAlign w:val="center"/>
          </w:tcPr>
          <w:p>
            <w:r>
              <w:t>高乖离 + 盈利不变：估值扩张与情绪驱动为主，追高风险明显上升</w:t>
            </w:r>
          </w:p>
        </w:tc>
        <w:tc>
          <w:tcPr>
            <w:tcW w:type="dxa" w:w="2436"/>
            <w:vAlign w:val="center"/>
          </w:tcPr>
          <w:p>
            <w:r>
              <w:t>高乖离 + 盈利转弱：最危险组合，容易出现估值与盈利双杀</w:t>
            </w:r>
          </w:p>
        </w:tc>
      </w:tr>
      <w:tr>
        <w:tc>
          <w:tcPr>
            <w:tcW w:type="dxa" w:w="2436"/>
            <w:vAlign w:val="center"/>
          </w:tcPr>
          <w:p>
            <w:r>
              <w:t>乖离率正常</w:t>
            </w:r>
          </w:p>
        </w:tc>
        <w:tc>
          <w:tcPr>
            <w:tcW w:type="dxa" w:w="2436"/>
            <w:vAlign w:val="center"/>
          </w:tcPr>
          <w:p>
            <w:r>
              <w:t>正常乖离 + 盈利增强：基本面改善但价格未过热，往往是健康上涨或潜在补涨结构</w:t>
            </w:r>
          </w:p>
        </w:tc>
        <w:tc>
          <w:tcPr>
            <w:tcW w:type="dxa" w:w="2436"/>
            <w:vAlign w:val="center"/>
          </w:tcPr>
          <w:p>
            <w:r>
              <w:t>正常乖离 + 盈利不变：普通状态，更多受流动性、风险偏好和行业轮动影响</w:t>
            </w:r>
          </w:p>
        </w:tc>
        <w:tc>
          <w:tcPr>
            <w:tcW w:type="dxa" w:w="2436"/>
            <w:vAlign w:val="center"/>
          </w:tcPr>
          <w:p>
            <w:r>
              <w:t>正常乖离 + 盈利转弱：容易被忽视，基本面已转弱但价格可能尚未充分反映</w:t>
            </w:r>
          </w:p>
        </w:tc>
      </w:tr>
      <w:tr>
        <w:tc>
          <w:tcPr>
            <w:tcW w:type="dxa" w:w="2436"/>
            <w:vAlign w:val="center"/>
          </w:tcPr>
          <w:p>
            <w:r>
              <w:t>负乖离率极大</w:t>
            </w:r>
          </w:p>
        </w:tc>
        <w:tc>
          <w:tcPr>
            <w:tcW w:type="dxa" w:w="2436"/>
            <w:vAlign w:val="center"/>
          </w:tcPr>
          <w:p>
            <w:r>
              <w:t>负乖离 + 盈利增强：最值得研究的反转区，市场仍在交易旧逻辑，而基本面可能已先改善</w:t>
            </w:r>
          </w:p>
        </w:tc>
        <w:tc>
          <w:tcPr>
            <w:tcW w:type="dxa" w:w="2436"/>
            <w:vAlign w:val="center"/>
          </w:tcPr>
          <w:p>
            <w:r>
              <w:t>负乖离 + 盈利不变：偏技术性超跌反弹，缺少基本面催化，更适合交易思维</w:t>
            </w:r>
          </w:p>
        </w:tc>
        <w:tc>
          <w:tcPr>
            <w:tcW w:type="dxa" w:w="2436"/>
            <w:vAlign w:val="center"/>
          </w:tcPr>
          <w:p>
            <w:r>
              <w:t>负乖离 + 盈利转弱：典型便宜陷阱，跌得多不等于有价值，盈利下修可能比股价下跌更快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before="140" w:after="140"/>
            </w:pPr>
            <w:r>
              <w:rPr>
                <w:b/>
                <w:color w:val="17365D"/>
              </w:rPr>
              <w:t>课件定义的最优组合：盈利持续增强、股价横盘消化高乖离，均线主动追上股价。最危险组合：正乖离率创历史极值、盈利上修停止，同时出现背离与趋势破位。</w:t>
            </w:r>
          </w:p>
        </w:tc>
      </w:tr>
    </w:tbl>
    <w:p/>
    <w:p>
      <w:pPr>
        <w:pStyle w:val="Heading1"/>
      </w:pPr>
      <w:r>
        <w:t>十八、第三课的完整投资决策链</w:t>
      </w:r>
    </w:p>
    <w:p>
      <w:pPr>
        <w:spacing w:after="120" w:line="324" w:lineRule="auto"/>
      </w:pPr>
      <w:r>
        <w:t>把全课内容串起来，可以形成一条非常清楚的判断顺序：</w:t>
      </w:r>
    </w:p>
    <w:p>
      <w:pPr>
        <w:pStyle w:val="ListBullet"/>
        <w:spacing w:after="60" w:line="300" w:lineRule="auto"/>
      </w:pPr>
      <w:r>
        <w:t>第一步｜识势：产业是否处于真正的增量阶段，还是存量资金的局部博弈？</w:t>
      </w:r>
    </w:p>
    <w:p>
      <w:pPr>
        <w:pStyle w:val="ListBullet"/>
        <w:spacing w:after="60" w:line="300" w:lineRule="auto"/>
      </w:pPr>
      <w:r>
        <w:t>第二步｜明道：公司是否处在正确产业环节，商业模式、竞争力和盈利机制是否成立？</w:t>
      </w:r>
    </w:p>
    <w:p>
      <w:pPr>
        <w:pStyle w:val="ListBullet"/>
        <w:spacing w:after="60" w:line="300" w:lineRule="auto"/>
      </w:pPr>
      <w:r>
        <w:t>第三步｜验证：上游看产能/库存/价格，中游看CapEx/FCF/ROIC，下游看渗透率/付费率/ARPU与利润。</w:t>
      </w:r>
    </w:p>
    <w:p>
      <w:pPr>
        <w:pStyle w:val="ListBullet"/>
        <w:spacing w:after="60" w:line="300" w:lineRule="auto"/>
      </w:pPr>
      <w:r>
        <w:t>第四步｜压力测试：不要只做乐观预测，要测试价格下降、成本变化、资本开支过重等情景下利润是否仍成立。</w:t>
      </w:r>
    </w:p>
    <w:p>
      <w:pPr>
        <w:pStyle w:val="ListBullet"/>
        <w:spacing w:after="60" w:line="300" w:lineRule="auto"/>
      </w:pPr>
      <w:r>
        <w:t>第五步｜检查逻辑：区分必要条件与充分条件、相关与因果、收入增长与高质量增长，避免用故事替代证据。</w:t>
      </w:r>
    </w:p>
    <w:p>
      <w:pPr>
        <w:pStyle w:val="ListBullet"/>
        <w:spacing w:after="60" w:line="300" w:lineRule="auto"/>
      </w:pPr>
      <w:r>
        <w:t>第六步｜判断价格位置：用乖离率、均线等观察价格是否过热或过度恐慌。</w:t>
      </w:r>
    </w:p>
    <w:p>
      <w:pPr>
        <w:pStyle w:val="ListBullet"/>
        <w:spacing w:after="60" w:line="300" w:lineRule="auto"/>
      </w:pPr>
      <w:r>
        <w:t>第七步｜结合盈利方向：价格涨跌必须与盈利上修、维持或转弱一起看。</w:t>
      </w:r>
    </w:p>
    <w:p>
      <w:pPr>
        <w:pStyle w:val="ListBullet"/>
        <w:spacing w:after="60" w:line="300" w:lineRule="auto"/>
      </w:pPr>
      <w:r>
        <w:t>第八步｜由技术趋势决定行动：基本面决定方向和价值，乖离率提示风险，趋势与背离帮助确定交易时点。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before="140" w:after="140"/>
            </w:pPr>
            <w:r>
              <w:rPr>
                <w:b/>
                <w:color w:val="17365D"/>
              </w:rPr>
              <w:t>最终框架：势决定方向，道决定标的，基本面决定价值，乖离率提示价格风险，技术趋势决定行动时点。</w:t>
            </w:r>
          </w:p>
        </w:tc>
      </w:tr>
    </w:tbl>
    <w:p/>
    <w:p>
      <w:pPr>
        <w:pStyle w:val="Heading1"/>
      </w:pPr>
      <w:r>
        <w:t>附：课程中的关键观察清单</w:t>
      </w:r>
    </w:p>
    <w:p>
      <w:pPr>
        <w:pStyle w:val="ListBullet"/>
        <w:spacing w:after="60" w:line="300" w:lineRule="auto"/>
      </w:pPr>
      <w:r>
        <w:t>AI上游：产能、库存、价格、成本下降、产品结构。</w:t>
      </w:r>
    </w:p>
    <w:p>
      <w:pPr>
        <w:pStyle w:val="ListBullet"/>
        <w:spacing w:after="60" w:line="300" w:lineRule="auto"/>
      </w:pPr>
      <w:r>
        <w:t>云厂商/Neocloud：CapEx、收入确认、利用率、自由现金流、ROIC、电力与订单可见度。</w:t>
      </w:r>
    </w:p>
    <w:p>
      <w:pPr>
        <w:pStyle w:val="ListBullet"/>
        <w:spacing w:after="60" w:line="300" w:lineRule="auto"/>
      </w:pPr>
      <w:r>
        <w:t>AI应用：渗透率、付费率、ARPU、毛利率、边际算力成本。</w:t>
      </w:r>
    </w:p>
    <w:p>
      <w:pPr>
        <w:pStyle w:val="ListBullet"/>
        <w:spacing w:after="60" w:line="300" w:lineRule="auto"/>
      </w:pPr>
      <w:r>
        <w:t>Agent：任务数、Agent步骤数、机器请求数，以及能否形成真实业务闭环。</w:t>
      </w:r>
    </w:p>
    <w:p>
      <w:pPr>
        <w:pStyle w:val="ListBullet"/>
        <w:spacing w:after="60" w:line="300" w:lineRule="auto"/>
      </w:pPr>
      <w:r>
        <w:t>交易层面：MA60/120/200乖离率、RSI辅助、动能背离、趋势破位、盈利预期修正。</w:t>
      </w:r>
    </w:p>
    <w:p>
      <w:pPr>
        <w:spacing w:after="120" w:line="324" w:lineRule="auto"/>
      </w:pPr>
      <w:r>
        <w:t>说明：本文按现场课件内容整理。涉及2026—2030年预测、公司未来CapEx、ARR、收入结构和压力测试等数字，均保留课件的“预测/估算/模型”属性，不视为已实现事实。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王川群线下闭门会 · 第三课课程整理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