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5A5A5A"/>
          <w:sz w:val="30"/>
        </w:rPr>
        <w:t>王川群线下闭门会</w:t>
      </w:r>
    </w:p>
    <w:p>
      <w:pPr>
        <w:spacing w:before="360"/>
        <w:jc w:val="center"/>
      </w:pPr>
      <w:r>
        <w:rPr>
          <w:b/>
          <w:color w:val="8B1E2D"/>
          <w:sz w:val="56"/>
        </w:rPr>
        <w:t>第二课课程整理</w:t>
      </w:r>
    </w:p>
    <w:p>
      <w:pPr>
        <w:jc w:val="center"/>
      </w:pPr>
      <w:r>
        <w:rPr>
          <w:b/>
          <w:sz w:val="36"/>
        </w:rPr>
        <w:t>AI产业趋势与下一阶段投资方向</w:t>
      </w:r>
    </w:p>
    <w:p>
      <w:pPr>
        <w:spacing w:before="700"/>
        <w:jc w:val="center"/>
      </w:pPr>
      <w:r>
        <w:rPr>
          <w:color w:val="6E6E6E"/>
          <w:sz w:val="20"/>
        </w:rPr>
        <w:t>基于现场课件照片整理｜聚焦课程逻辑，不作过度外延</w:t>
      </w:r>
    </w:p>
    <w:p>
      <w:pPr>
        <w:spacing w:before="2500"/>
        <w:jc w:val="center"/>
      </w:pPr>
      <w:r>
        <w:rPr>
          <w:b/>
          <w:sz w:val="22"/>
        </w:rPr>
        <w:t>整理：偏锋</w:t>
      </w:r>
    </w:p>
    <w:p>
      <w:r>
        <w:br w:type="page"/>
      </w:r>
    </w:p>
    <w:p>
      <w:pPr>
        <w:pStyle w:val="Heading1"/>
      </w:pPr>
      <w:r>
        <w:t>一、课程核心判断</w:t>
      </w:r>
    </w:p>
    <w:p>
      <w:pPr>
        <w:spacing w:before="0" w:after="120" w:line="324" w:lineRule="auto"/>
      </w:pPr>
      <w:r>
        <w:t>这堂课的主线不是围绕单一公司或单一芯片展开，而是在回答一个更大的问题：AI产业的增量正在从早期“训练算力+GPU”向更广泛的计算、封装、存储、软件和物理世界扩散。</w:t>
      </w:r>
    </w:p>
    <w:p>
      <w:pPr>
        <w:spacing w:before="80" w:after="160"/>
        <w:ind w:left="340" w:right="227"/>
      </w:pPr>
      <w:r>
        <w:rPr>
          <w:b/>
          <w:color w:val="8B1E2D"/>
        </w:rPr>
        <w:t>核心链条：算力商业化 → GPU与ASIC共同扩张 → 先进封装继续增长 → Agent提升CPU与存储需求 → 软件价值重构 → Physical AI打开下一阶段应用空间。</w:t>
      </w:r>
    </w:p>
    <w:p>
      <w:pPr>
        <w:pStyle w:val="Heading1"/>
      </w:pPr>
      <w:r>
        <w:t>二、AI算力需求仍在扩张，算力开始体现明确商业价值</w:t>
      </w:r>
    </w:p>
    <w:p>
      <w:pPr>
        <w:spacing w:before="0" w:after="120" w:line="324" w:lineRule="auto"/>
      </w:pPr>
      <w:r>
        <w:t>课件首先从AI算力中心的经济模型切入。案例中，算力中心通过向大型AI公司出租GPU获得长期租赁收入：月度租金收入约21.7亿美元，对应年化收入约260.4亿美元；数据中心建设总投入约400亿美元，年度运营成本约1.9亿美元。若仅以租金收入覆盖建设投入，静态回本周期约18.43个月，即约1.54年。</w:t>
      </w:r>
    </w:p>
    <w:p>
      <w:pPr>
        <w:spacing w:before="80" w:after="160"/>
        <w:ind w:left="340" w:right="227"/>
      </w:pPr>
      <w:r>
        <w:rPr>
          <w:b/>
          <w:color w:val="8B1E2D"/>
        </w:rPr>
        <w:t>这里要表达的重点：AI数据中心虽然属于重资产基础设施，但在高利用率、高租赁价格和长期合同成立的情况下，资本回收速度可以非常快。</w:t>
      </w:r>
    </w:p>
    <w:p>
      <w:pPr>
        <w:spacing w:before="0" w:after="120" w:line="324" w:lineRule="auto"/>
      </w:pPr>
      <w:r>
        <w:t>与此同时，课件展示AIDC租赁价格明显重估。2025年一批算力合同的隐含年化收入约为1000万—1800万美元/MW，而2026年新合同已经出现约3000万—5000万美元/MW的水平。</w:t>
      </w:r>
    </w:p>
    <w:p>
      <w:pPr>
        <w:spacing w:before="0" w:after="120" w:line="324" w:lineRule="auto"/>
      </w:pPr>
      <w:r>
        <w:t>因此课程用了两个维度交叉验证算力需求：一是AI基础设施仍在承接巨额资本投入；二是算力本身的市场租赁价格上升。两者共同指向算力供需仍然偏紧，而不是只有资本开支单边增长。</w:t>
      </w:r>
    </w:p>
    <w:p>
      <w:pPr>
        <w:pStyle w:val="Heading1"/>
      </w:pPr>
      <w:r>
        <w:t>三、先进封装继续高速增长，需求来源从单一GPU向多类AI芯片扩散</w:t>
      </w:r>
    </w:p>
    <w:p>
      <w:pPr>
        <w:spacing w:before="0" w:after="120" w:line="324" w:lineRule="auto"/>
      </w:pPr>
      <w:r>
        <w:t>第二部分聚焦CoWoS。课件强调的不是单纯“产能继续增长”，而是2026—2027年的客户结构进一步扩散。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客户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2026E需求（K wafers）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2027E需求（K wafers）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2027E同比</w:t>
            </w:r>
          </w:p>
        </w:tc>
      </w:tr>
      <w:tr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NVIDIA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780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1,222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+57%</w:t>
            </w:r>
          </w:p>
        </w:tc>
      </w:tr>
      <w:tr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Broadcom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484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+61%</w:t>
            </w:r>
          </w:p>
        </w:tc>
      </w:tr>
      <w:tr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AMD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530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+308%</w:t>
            </w:r>
          </w:p>
        </w:tc>
      </w:tr>
      <w:tr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MediaTek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Marvell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+276%</w:t>
            </w:r>
          </w:p>
        </w:tc>
      </w:tr>
      <w:tr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GUC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2464"/>
            <w:vAlign w:val="center"/>
          </w:tcPr>
          <w:p>
            <w:pPr>
              <w:jc w:val="center"/>
            </w:pPr>
            <w:r>
              <w:rPr>
                <w:sz w:val="18"/>
              </w:rPr>
              <w:t>+329%</w:t>
            </w:r>
          </w:p>
        </w:tc>
      </w:tr>
    </w:tbl>
    <w:p>
      <w:pPr>
        <w:spacing w:before="0" w:after="120" w:line="324" w:lineRule="auto"/>
      </w:pPr>
      <w:r>
        <w:t>课件给出的CoWoS总需求增速在2027E约为93%。因此真正重要的变化不是某一家GPU厂商继续增长，而是越来越多AI芯片进入先进封装体系。</w:t>
      </w:r>
    </w:p>
    <w:p>
      <w:pPr>
        <w:spacing w:before="80" w:after="160"/>
        <w:ind w:left="340" w:right="227"/>
      </w:pPr>
      <w:r>
        <w:rPr>
          <w:b/>
          <w:color w:val="8B1E2D"/>
        </w:rPr>
        <w:t>AI芯片多元化 → 更多芯片消耗先进封装 → CoWoS客户基础扩大 → 先进封装需求继续高速增长。</w:t>
      </w:r>
    </w:p>
    <w:p>
      <w:pPr>
        <w:pStyle w:val="Heading1"/>
      </w:pPr>
      <w:r>
        <w:t>四、AI芯片格局从GPU主导走向“GPU + ASIC”共同扩张</w:t>
      </w:r>
    </w:p>
    <w:p>
      <w:pPr>
        <w:spacing w:before="0" w:after="120" w:line="324" w:lineRule="auto"/>
      </w:pPr>
      <w:r>
        <w:t>课件直接提出“AI ASIC明年出货量会超过GPU”。按照J.P. Morgan研究数据，GPU和ASIC/XPU都在增长，但ASIC/XPU的增速更快。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类别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2026E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2027E</w:t>
            </w:r>
          </w:p>
        </w:tc>
      </w:tr>
      <w:tr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GPU出货量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6.8M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9.5M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10.9M</w:t>
            </w:r>
          </w:p>
        </w:tc>
      </w:tr>
      <w:tr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ASIC/XPU出货量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3.3M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6.8M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12.5M</w:t>
            </w:r>
          </w:p>
        </w:tc>
      </w:tr>
      <w:tr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ASIC/XPU占比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32%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42%</w:t>
            </w:r>
          </w:p>
        </w:tc>
        <w:tc>
          <w:tcPr>
            <w:tcW w:type="dxa" w:w="2464"/>
          </w:tcPr>
          <w:p>
            <w:pPr>
              <w:jc w:val="center"/>
            </w:pPr>
            <w:r>
              <w:rPr>
                <w:sz w:val="18"/>
              </w:rPr>
              <w:t>53%</w:t>
            </w:r>
          </w:p>
        </w:tc>
      </w:tr>
    </w:tbl>
    <w:p>
      <w:pPr>
        <w:spacing w:before="0" w:after="120" w:line="324" w:lineRule="auto"/>
      </w:pPr>
      <w:r>
        <w:t>这并不意味着GPU需求衰退。GPU出货量仍从2025年的约6.8M增长至2027年的约10.9M；变化在于ASIC/XPU增长更快，并在2027E达到约12.5M，数量上超过GPU。</w:t>
      </w:r>
    </w:p>
    <w:p>
      <w:pPr>
        <w:spacing w:before="80" w:after="160"/>
        <w:ind w:left="340" w:right="227"/>
      </w:pPr>
      <w:r>
        <w:rPr>
          <w:b/>
          <w:color w:val="8B1E2D"/>
        </w:rPr>
        <w:t>准确理解：不是“ASIC替代GPU”，而是AI算力市场整体扩容，同时定制ASIC在特定工作负载中的渗透率快速提高。</w:t>
      </w:r>
    </w:p>
    <w:p>
      <w:pPr>
        <w:pStyle w:val="Heading1"/>
      </w:pPr>
      <w:r>
        <w:t>五、ASIC快速增长的重要原因：特定场景下更高的性价比</w:t>
      </w:r>
    </w:p>
    <w:p>
      <w:pPr>
        <w:spacing w:before="0" w:after="120" w:line="324" w:lineRule="auto"/>
      </w:pPr>
      <w:r>
        <w:t>课件以Google TPU与NVIDIA B200/B300进行对比。数据中，B200的FP8算力约4500 TFLOPS、ASP约3.5万美元；B300约5000 TFLOPS、ASP约4万美元；Google/Broadcom TPU7x Ironwood约4614 TFLOPS、ASP约1.3万美元。</w:t>
      </w:r>
    </w:p>
    <w:p>
      <w:pPr>
        <w:spacing w:before="0" w:after="120" w:line="324" w:lineRule="auto"/>
      </w:pPr>
      <w:r>
        <w:t>课件计算的TFLOPS/$分别约为：B200 0.13、B300 0.13、TPU 0.35；TFLOPS/W分别约为4.50、4.17和4.61。</w:t>
      </w:r>
    </w:p>
    <w:p>
      <w:pPr>
        <w:spacing w:before="80" w:after="160"/>
        <w:ind w:left="340" w:right="227"/>
      </w:pPr>
      <w:r>
        <w:rPr>
          <w:b/>
          <w:color w:val="8B1E2D"/>
        </w:rPr>
        <w:t>课程要证明的不是ASIC在所有维度全面超过GPU，而是在适配的AI工作负载中，ASIC可以用更低成本获得较高的计算效率。</w:t>
      </w:r>
    </w:p>
    <w:p>
      <w:pPr>
        <w:spacing w:before="0" w:after="120" w:line="324" w:lineRule="auto"/>
      </w:pPr>
      <w:r>
        <w:t>这与前面的ASIC出货量预测形成闭环：AI需求扩大后，大型平台为了降低单位算力成本，会增加自研或定制ASIC的使用。</w:t>
      </w:r>
    </w:p>
    <w:p>
      <w:pPr>
        <w:pStyle w:val="Heading1"/>
      </w:pPr>
      <w:r>
        <w:t>六、Agent推动CPU需求重新加速</w:t>
      </w:r>
    </w:p>
    <w:p>
      <w:pPr>
        <w:spacing w:before="0" w:after="120" w:line="324" w:lineRule="auto"/>
      </w:pPr>
      <w:r>
        <w:t>课程随后把计算需求从GPU/ASIC进一步扩展到CPU。Agent与传统LLM的核心区别，是计算流程从“一次Prompt→一次Response”转向“一次任务→N次模型调用+M次工具调用”。这使CPU侧的预处理、后处理、调度和执行工作明显增加。</w:t>
      </w:r>
    </w:p>
    <w:p>
      <w:pPr>
        <w:spacing w:before="0" w:after="60" w:line="324" w:lineRule="auto"/>
        <w:ind w:left="283"/>
      </w:pPr>
      <w:r>
        <w:t>• Tool Calling：API、数据库、代码执行等工具调用最终需要CPU参与执行。</w:t>
      </w:r>
    </w:p>
    <w:p>
      <w:pPr>
        <w:spacing w:before="0" w:after="60" w:line="324" w:lineRule="auto"/>
        <w:ind w:left="283"/>
      </w:pPr>
      <w:r>
        <w:t>• 长上下文管理：Agent需要更长的上下文和状态维护，CPU+DDR5在此类场景承担更多工作。</w:t>
      </w:r>
    </w:p>
    <w:p>
      <w:pPr>
        <w:spacing w:before="0" w:after="60" w:line="324" w:lineRule="auto"/>
        <w:ind w:left="283"/>
      </w:pPr>
      <w:r>
        <w:t>• 安全沙箱与隔离：多个Agent实例需要独立执行环境、内存和权限管理。</w:t>
      </w:r>
    </w:p>
    <w:p>
      <w:pPr>
        <w:spacing w:before="0" w:after="60" w:line="324" w:lineRule="auto"/>
        <w:ind w:left="283"/>
      </w:pPr>
      <w:r>
        <w:t>• Multi-Agent协作：任务调度、状态机、消息队列、通信、结果聚合和冲突解决依赖CPU。</w:t>
      </w:r>
    </w:p>
    <w:p>
      <w:pPr>
        <w:spacing w:before="0" w:after="60" w:line="324" w:lineRule="auto"/>
        <w:ind w:left="283"/>
      </w:pPr>
      <w:r>
        <w:t>• RAG检索：Agent频繁触发检索，使CPU侧检索和数据处理负载增加。</w:t>
      </w:r>
    </w:p>
    <w:p>
      <w:pPr>
        <w:spacing w:before="0" w:after="60" w:line="324" w:lineRule="auto"/>
        <w:ind w:left="283"/>
      </w:pPr>
      <w:r>
        <w:t>• 工作负载形态变化：从大Batch、少交互，转向高频、小任务、多步骤的动态执行。</w:t>
      </w:r>
    </w:p>
    <w:p>
      <w:pPr>
        <w:spacing w:before="80" w:after="160"/>
        <w:ind w:left="340" w:right="227"/>
      </w:pPr>
      <w:r>
        <w:rPr>
          <w:b/>
          <w:color w:val="8B1E2D"/>
        </w:rPr>
        <w:t>Agent时代的新增算力并不只属于GPU。AI从“生成答案”走向“执行任务”以后，CPU在整个系统中的调度和执行价值重新上升。</w:t>
      </w:r>
    </w:p>
    <w:p>
      <w:pPr>
        <w:pStyle w:val="Heading1"/>
      </w:pPr>
      <w:r>
        <w:t>七、Agent把存储需求从HBM扩展到DDR、eSSD与CXL</w:t>
      </w:r>
    </w:p>
    <w:p>
      <w:pPr>
        <w:spacing w:before="0" w:after="120" w:line="324" w:lineRule="auto"/>
      </w:pPr>
      <w:r>
        <w:t>这部分与CPU逻辑直接相连。RBC Capital Markets的课件图将AI工作负载划分为三个阶段：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阶段</w:t>
            </w:r>
          </w:p>
        </w:tc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典型存储结构</w:t>
            </w:r>
          </w:p>
        </w:tc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相对Memory Demand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Pre-Training（2022–2023）</w:t>
            </w:r>
          </w:p>
        </w:tc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HBM为主</w:t>
            </w:r>
          </w:p>
        </w:tc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约1X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Inference / RAG（2024）</w:t>
            </w:r>
          </w:p>
        </w:tc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HBM + DDR5，Vector DB带动eSSD</w:t>
            </w:r>
          </w:p>
        </w:tc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约2X</w:t>
            </w:r>
          </w:p>
        </w:tc>
      </w:tr>
      <w:tr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Agentic AI（2025–2026）</w:t>
            </w:r>
          </w:p>
        </w:tc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HBM + DDR + eSSD + CXL</w:t>
            </w:r>
          </w:p>
        </w:tc>
        <w:tc>
          <w:tcPr>
            <w:tcW w:type="dxa" w:w="3286"/>
          </w:tcPr>
          <w:p>
            <w:pPr>
              <w:jc w:val="center"/>
            </w:pPr>
            <w:r>
              <w:rPr>
                <w:sz w:val="18"/>
              </w:rPr>
              <w:t>约6X</w:t>
            </w:r>
          </w:p>
        </w:tc>
      </w:tr>
    </w:tbl>
    <w:p>
      <w:pPr>
        <w:spacing w:before="0" w:after="120" w:line="324" w:lineRule="auto"/>
      </w:pPr>
      <w:r>
        <w:t>训练阶段主要围绕模型权重和HBM；进入推理/RAG后，KV Cache增长，DDR与企业级SSD开始承担更多数据；进入Agentic AI后，长期状态、数据库、向量检索和更大的KV Cache进一步提高整个存储层级的需求。</w:t>
      </w:r>
    </w:p>
    <w:p>
      <w:pPr>
        <w:spacing w:before="80" w:after="160"/>
        <w:ind w:left="340" w:right="227"/>
      </w:pPr>
      <w:r>
        <w:rPr>
          <w:b/>
          <w:color w:val="8B1E2D"/>
        </w:rPr>
        <w:t>AI对存储的拉动正在从“HBM单点需求”扩展成“HBM + DRAM + SSD + CXL”的系统性需求。</w:t>
      </w:r>
    </w:p>
    <w:p>
      <w:pPr>
        <w:pStyle w:val="Heading1"/>
      </w:pPr>
      <w:r>
        <w:t>八、存储仍是强周期行业，但AI可能抬高需求中枢</w:t>
      </w:r>
    </w:p>
    <w:p>
      <w:pPr>
        <w:spacing w:before="0" w:after="120" w:line="324" w:lineRule="auto"/>
      </w:pPr>
      <w:r>
        <w:t>课件回顾全球半导体不同板块的历史销售增速，指出存储相较其他半导体板块周期振幅最大，是半导体周期性的重要呈现因素。历史增速顶部大致出现在2000、2004、2010、2017、2021年，平均约5年一轮。</w:t>
      </w:r>
    </w:p>
    <w:p>
      <w:pPr>
        <w:spacing w:before="0" w:after="120" w:line="324" w:lineRule="auto"/>
      </w:pPr>
      <w:r>
        <w:t>因此课程并没有否认存储周期，而是在周期框架上叠加AI这个新的结构变量。另一张“人均视角看存储趋势”的图显示，从PC、Mobile、Tablets、Cloud、5G Phones到AI Agents，每一次主要计算范式迁移都伴随全球互联网用户对应DRAM需求上升。课件对AI Agents之后的预测进一步加速，并标注未来5年可能约5X。</w:t>
      </w:r>
    </w:p>
    <w:p>
      <w:pPr>
        <w:spacing w:before="80" w:after="160"/>
        <w:ind w:left="340" w:right="227"/>
      </w:pPr>
      <w:r>
        <w:rPr>
          <w:b/>
          <w:color w:val="8B1E2D"/>
        </w:rPr>
        <w:t>完整逻辑：存储周期不会消失，但AI Agent可能带来新的结构性需求，使下一阶段存储需求中枢上移。</w:t>
      </w:r>
    </w:p>
    <w:p>
      <w:pPr>
        <w:pStyle w:val="Heading1"/>
      </w:pPr>
      <w:r>
        <w:t>九、大模型重构软件行业：价值从通用功能转向数据、专业能力和流程</w:t>
      </w:r>
    </w:p>
    <w:p>
      <w:pPr>
        <w:spacing w:before="0" w:after="120" w:line="324" w:lineRule="auto"/>
      </w:pPr>
      <w:r>
        <w:t>课程随后从硬件转向软件。课件提出，大模型能力快速迭代会不断拓展传统软件的应用边界，并影响原有SaaS行业的按席位收费和定价模式。模型竞争本身也非常残酷，领先优势如果无法维持，产品价值可能迅速被重新定价。</w:t>
      </w:r>
    </w:p>
    <w:p>
      <w:pPr>
        <w:spacing w:before="0" w:after="120" w:line="324" w:lineRule="auto"/>
      </w:pPr>
      <w:r>
        <w:t>但这并不等于软件行业整体失去价值。课件给出的受益方向更具体：拥有垂直领域专业能力、独有数据以及深度嵌入企业流程的公司，仍可能形成难以被通用模型直接替代的壁垒。</w:t>
      </w:r>
    </w:p>
    <w:p>
      <w:pPr>
        <w:spacing w:before="80" w:after="160"/>
        <w:ind w:left="340" w:right="227"/>
      </w:pPr>
      <w:r>
        <w:rPr>
          <w:b/>
          <w:color w:val="8B1E2D"/>
        </w:rPr>
        <w:t>软件行业的价值分配正在重构：通用能力更容易被模型商品化，而专业数据、行业Know-how与Workflow的重要性上升。</w:t>
      </w:r>
    </w:p>
    <w:p>
      <w:pPr>
        <w:pStyle w:val="Heading1"/>
      </w:pPr>
      <w:r>
        <w:t>十、Physical AI：AI从数字世界进入现实世界</w:t>
      </w:r>
    </w:p>
    <w:p>
      <w:pPr>
        <w:spacing w:before="0" w:after="120" w:line="324" w:lineRule="auto"/>
      </w:pPr>
      <w:r>
        <w:t>课程最后把AI的应用边界从生成式AI推向Physical AI。课件中的定义是：Physical AI能够在物理世界中感知、理解、推理并自主执行。相较生成式AI主要处理数字信息，Physical AI需要理解三维世界中的空间关系和物理行为，并与现实环境发生交互。</w:t>
      </w:r>
    </w:p>
    <w:p>
      <w:pPr>
        <w:spacing w:before="0" w:after="120" w:line="324" w:lineRule="auto"/>
      </w:pPr>
      <w:r>
        <w:t>因此Physical AI不是单一的机器人概念，而是模型、感知、计算、执行机构与训练环境共同构成的系统。课件用人形机器人产业链展示了这一结构，包括Brains/VLA models、Senses/Nervous System、Motors、Reducers &amp; Gearing、Ball Screws、Bearings、Encoders、Training Ground以及安全系统等环节。</w:t>
      </w:r>
    </w:p>
    <w:p>
      <w:pPr>
        <w:spacing w:before="80" w:after="160"/>
        <w:ind w:left="340" w:right="227"/>
      </w:pPr>
      <w:r>
        <w:rPr>
          <w:b/>
          <w:color w:val="8B1E2D"/>
        </w:rPr>
        <w:t>生成式AI解决数字世界的智能化，Physical AI进一步把智能延伸到现实世界。</w:t>
      </w:r>
    </w:p>
    <w:p>
      <w:pPr>
        <w:pStyle w:val="Heading1"/>
      </w:pPr>
      <w:r>
        <w:t>十一、第二课完整逻辑链</w:t>
      </w:r>
    </w:p>
    <w:p>
      <w:pPr>
        <w:spacing w:before="0" w:after="80" w:line="324" w:lineRule="auto"/>
      </w:pPr>
      <w:r>
        <w:rPr>
          <w:b/>
          <w:color w:val="8B1E2D"/>
        </w:rPr>
        <w:t xml:space="preserve">1. </w:t>
      </w:r>
      <w:r>
        <w:t>AI算力需求仍然旺盛，算力租赁价格上升，数据中心经济性开始显现；</w:t>
      </w:r>
    </w:p>
    <w:p>
      <w:pPr>
        <w:spacing w:before="0" w:after="80" w:line="324" w:lineRule="auto"/>
      </w:pPr>
      <w:r>
        <w:rPr>
          <w:b/>
          <w:color w:val="8B1E2D"/>
        </w:rPr>
        <w:t xml:space="preserve">2. </w:t>
      </w:r>
      <w:r>
        <w:t>AI基础设施继续扩张，先进封装需求同步增加；</w:t>
      </w:r>
    </w:p>
    <w:p>
      <w:pPr>
        <w:spacing w:before="0" w:after="80" w:line="324" w:lineRule="auto"/>
      </w:pPr>
      <w:r>
        <w:rPr>
          <w:b/>
          <w:color w:val="8B1E2D"/>
        </w:rPr>
        <w:t xml:space="preserve">3. </w:t>
      </w:r>
      <w:r>
        <w:t>AI芯片结构从GPU主导走向GPU与ASIC共同扩张；</w:t>
      </w:r>
    </w:p>
    <w:p>
      <w:pPr>
        <w:spacing w:before="0" w:after="80" w:line="324" w:lineRule="auto"/>
      </w:pPr>
      <w:r>
        <w:rPr>
          <w:b/>
          <w:color w:val="8B1E2D"/>
        </w:rPr>
        <w:t xml:space="preserve">4. </w:t>
      </w:r>
      <w:r>
        <w:t>ASIC凭借特定场景下的性价比加速渗透，并带来新的CoWoS需求；</w:t>
      </w:r>
    </w:p>
    <w:p>
      <w:pPr>
        <w:spacing w:before="0" w:after="80" w:line="324" w:lineRule="auto"/>
      </w:pPr>
      <w:r>
        <w:rPr>
          <w:b/>
          <w:color w:val="8B1E2D"/>
        </w:rPr>
        <w:t xml:space="preserve">5. </w:t>
      </w:r>
      <w:r>
        <w:t>AI从Chatbot进入Agent后，计算流程变得多步骤、高频调用，CPU重新获得增量需求；</w:t>
      </w:r>
    </w:p>
    <w:p>
      <w:pPr>
        <w:spacing w:before="0" w:after="80" w:line="324" w:lineRule="auto"/>
      </w:pPr>
      <w:r>
        <w:rPr>
          <w:b/>
          <w:color w:val="8B1E2D"/>
        </w:rPr>
        <w:t xml:space="preserve">6. </w:t>
      </w:r>
      <w:r>
        <w:t>Agent同时推动存储从HBM扩展到DDR、eSSD和CXL；</w:t>
      </w:r>
    </w:p>
    <w:p>
      <w:pPr>
        <w:spacing w:before="0" w:after="80" w:line="324" w:lineRule="auto"/>
      </w:pPr>
      <w:r>
        <w:rPr>
          <w:b/>
          <w:color w:val="8B1E2D"/>
        </w:rPr>
        <w:t xml:space="preserve">7. </w:t>
      </w:r>
      <w:r>
        <w:t>存储依然具有强周期属性，但AI可能抬升长期需求中枢；</w:t>
      </w:r>
    </w:p>
    <w:p>
      <w:pPr>
        <w:spacing w:before="0" w:after="80" w:line="324" w:lineRule="auto"/>
      </w:pPr>
      <w:r>
        <w:rPr>
          <w:b/>
          <w:color w:val="8B1E2D"/>
        </w:rPr>
        <w:t xml:space="preserve">8. </w:t>
      </w:r>
      <w:r>
        <w:t>大模型继续重构传统软件与SaaS的价值分配；</w:t>
      </w:r>
    </w:p>
    <w:p>
      <w:pPr>
        <w:spacing w:before="0" w:after="80" w:line="324" w:lineRule="auto"/>
      </w:pPr>
      <w:r>
        <w:rPr>
          <w:b/>
          <w:color w:val="8B1E2D"/>
        </w:rPr>
        <w:t xml:space="preserve">9. </w:t>
      </w:r>
      <w:r>
        <w:t>AI最终从数字世界进一步进入Physical AI与机器人。</w:t>
      </w:r>
    </w:p>
    <w:p>
      <w:pPr>
        <w:spacing w:before="80" w:after="160"/>
        <w:ind w:left="340" w:right="227"/>
      </w:pPr>
      <w:r>
        <w:rPr>
          <w:b/>
          <w:color w:val="8B1E2D"/>
        </w:rPr>
        <w:t>一句话总结：AI产业正在从“GPU驱动的训练时代”，逐步进入“GPU + ASIC + CPU + Memory + Agent + 软件 + Physical AI”共同扩张的新阶段。</w:t>
      </w:r>
    </w:p>
    <w:p>
      <w:pPr>
        <w:pStyle w:val="Heading1"/>
      </w:pPr>
      <w:r>
        <w:t>十二、课程数据口径说明</w:t>
      </w:r>
    </w:p>
    <w:p>
      <w:pPr>
        <w:spacing w:before="0" w:after="120" w:line="324" w:lineRule="auto"/>
      </w:pPr>
      <w:r>
        <w:t>本文严格依据现场课件照片整理。课件中部分数据来源标注为J.P. Morgan Research、RBC Capital Markets及公司报告；部分2026E/2027E数据属于研究机构预测值，不应与公司已实现财务数据混同。本文保留课程原有逻辑与关键数字，不额外扩展未经课件呈现的产业结论。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王川群线下闭门会｜第二课课程整理｜偏锋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B1E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8B1E2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