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ContentType="application/vnd.openxmlformats-officedocument.theme+xml" PartName="/word/theme/theme1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Mode="Internal" Target="/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16se w16cid w16 w16cex w16sdtdh wp14">
  <w:body>
    <w:p>
      <w:pPr>
        <w:autoSpaceDE w:val="1"/>
        <w:autoSpaceDN w:val="1"/>
        <w:rPr>
          <w:b w:val="0"/>
          <w:color w:val="auto"/>
          <w:dstrike w:val="0"/>
          <w:i w:val="0"/>
          <w:kern w:val="2"/>
          <w:lang w:val="en-US" w:bidi="en-US"/>
          <w:rFonts w:asciiTheme="minorHAnsi" w:hAnsiTheme="minorHAnsi" w:eastAsiaTheme="minorEastAsia" w:cstheme="minorBidi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>
          <w:b w:val="0"/>
          <w:color w:val="auto"/>
          <w:dstrike w:val="0"/>
          <w:i w:val="0"/>
          <w:kern w:val="2"/>
          <w:lang w:val="en-US" w:bidi="en-US"/>
          <w:rFonts w:asciiTheme="minorHAnsi" w:hAnsiTheme="minorHAnsi" w:eastAsiaTheme="minorEastAsia" w:cstheme="minorBidi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  <w:t>1面向对象设计思想</w:t>
      </w:r>
    </w:p>
    <w:p>
      <w:pPr>
        <w:autoSpaceDE w:val="1"/>
        <w:autoSpaceDN w:val="1"/>
        <w:rPr>
          <w:b w:val="0"/>
          <w:color w:val="auto"/>
          <w:dstrike w:val="0"/>
          <w:i w:val="0"/>
          <w:lang w:val="en-US" w:bidi="en-US"/>
          <w:rFonts w:asciiTheme="minorHAnsi" w:hAnsiTheme="minorHAnsi" w:eastAsiaTheme="minorEastAsia" w:cstheme="minorBidi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>
          <w:b w:val="0"/>
          <w:color w:val="auto"/>
          <w:dstrike w:val="0"/>
          <w:i w:val="0"/>
          <w:kern w:val="2"/>
          <w:lang w:val="en-US" w:bidi="en-US"/>
          <w:rFonts w:asciiTheme="minorHAnsi" w:hAnsiTheme="minorHAnsi" w:eastAsiaTheme="minorEastAsia" w:cstheme="minorBidi"/>
          <w:spacing w:val="0"/>
          <w:strike w:val="0"/>
          <w:sz w:val="21"/>
          <w:szCs w:val="21"/>
          <w:u w:val="none"/>
          <w:vertAlign w:val="baseline"/>
          <w:w w:val="100"/>
        </w:rPr>
        <w:t>1）平台模块开发的总指导方针；</w:t>
      </w:r>
    </w:p>
    <w:p>
      <w:pPr>
        <w:autoSpaceDE w:val="1"/>
        <w:autoSpaceDN w:val="1"/>
        <w:rPr>
          <w:b w:val="0"/>
          <w:color w:val="auto"/>
          <w:dstrike w:val="0"/>
          <w:i w:val="0"/>
          <w:lang w:val="en-US" w:bidi="en-US"/>
          <w:rFonts w:asciiTheme="minorHAnsi" w:hAnsiTheme="minorHAnsi" w:eastAsiaTheme="minorEastAsia" w:cstheme="minorBidi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>
          <w:b w:val="0"/>
          <w:color w:val="auto"/>
          <w:dstrike w:val="0"/>
          <w:i w:val="0"/>
          <w:kern w:val="2"/>
          <w:lang w:val="en-US" w:bidi="en-US"/>
          <w:rFonts w:asciiTheme="minorHAnsi" w:hAnsiTheme="minorHAnsi" w:eastAsiaTheme="minorEastAsia" w:cstheme="minorBidi"/>
          <w:spacing w:val="0"/>
          <w:strike w:val="0"/>
          <w:sz w:val="21"/>
          <w:szCs w:val="21"/>
          <w:u w:val="none"/>
          <w:vertAlign w:val="baseline"/>
          <w:w w:val="100"/>
        </w:rPr>
        <w:t>2）协调开发，没有壁垒，适合大型项目协同开发</w:t>
      </w:r>
    </w:p>
    <w:p>
      <w:pPr>
        <w:autoSpaceDE w:val="1"/>
        <w:autoSpaceDN w:val="1"/>
        <w:ind w:firstLine="315"/>
        <w:rPr>
          <w:b w:val="0"/>
          <w:color w:val="auto"/>
          <w:dstrike w:val="0"/>
          <w:i w:val="0"/>
          <w:lang w:val="en-US" w:bidi="en-US"/>
          <w:rFonts w:asciiTheme="minorHAnsi" w:hAnsiTheme="minorHAnsi" w:eastAsiaTheme="minorEastAsia" w:cstheme="minorBidi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>
          <w:b w:val="0"/>
          <w:color w:val="auto"/>
          <w:dstrike w:val="0"/>
          <w:i w:val="0"/>
          <w:kern w:val="2"/>
          <w:lang w:val="en-US" w:bidi="en-US"/>
          <w:rFonts w:asciiTheme="minorHAnsi" w:hAnsiTheme="minorHAnsi" w:eastAsiaTheme="minorEastAsia" w:cstheme="minorBidi"/>
          <w:spacing w:val="0"/>
          <w:strike w:val="0"/>
          <w:sz w:val="21"/>
          <w:szCs w:val="21"/>
          <w:u w:val="none"/>
          <w:vertAlign w:val="baseline"/>
          <w:w w:val="100"/>
        </w:rPr>
        <w:t>模块内部修改，不影响模块间接口的对接</w:t>
      </w:r>
    </w:p>
    <w:p>
      <w:pPr>
        <w:autoSpaceDE w:val="1"/>
        <w:autoSpaceDN w:val="1"/>
        <w:ind w:firstLine="315"/>
        <w:rPr>
          <w:b w:val="0"/>
          <w:color w:val="auto"/>
          <w:dstrike w:val="0"/>
          <w:i w:val="0"/>
          <w:lang w:val="en-US" w:bidi="en-US"/>
          <w:rFonts w:asciiTheme="minorHAnsi" w:hAnsiTheme="minorHAnsi" w:eastAsiaTheme="minorEastAsia" w:cstheme="minorBidi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>
          <w:b w:val="0"/>
          <w:color w:val="auto"/>
          <w:dstrike w:val="0"/>
          <w:i w:val="0"/>
          <w:kern w:val="2"/>
          <w:lang w:val="en-US" w:bidi="en-US"/>
          <w:rFonts w:asciiTheme="minorHAnsi" w:hAnsiTheme="minorHAnsi" w:eastAsiaTheme="minorEastAsia" w:cstheme="minorBidi"/>
          <w:spacing w:val="0"/>
          <w:strike w:val="0"/>
          <w:sz w:val="21"/>
          <w:szCs w:val="21"/>
          <w:u w:val="none"/>
          <w:vertAlign w:val="baseline"/>
          <w:w w:val="100"/>
        </w:rPr>
        <w:t>开发风格设计思路统一，项目维护成本低</w:t>
      </w:r>
    </w:p>
    <w:p>
      <w:pPr>
        <w:autoSpaceDE w:val="1"/>
        <w:autoSpaceDN w:val="1"/>
        <w:rPr>
          <w:b w:val="0"/>
          <w:color w:val="auto"/>
          <w:dstrike w:val="0"/>
          <w:i w:val="0"/>
          <w:lang w:val="en-US" w:bidi="en-US"/>
          <w:rFonts w:asciiTheme="minorHAnsi" w:hAnsiTheme="minorHAnsi" w:eastAsiaTheme="minorEastAsia" w:cstheme="minorBidi"/>
          <w:spacing w:val="0"/>
          <w:strike w:val="0"/>
          <w:sz w:val="21"/>
          <w:szCs w:val="21"/>
          <w:u w:val="none"/>
          <w:vertAlign w:val="baseline"/>
          <w:w w:val="100"/>
        </w:rPr>
      </w:pPr>
    </w:p>
    <w:p>
      <w:pPr>
        <w:autoSpaceDE w:val="1"/>
        <w:autoSpaceDN w:val="1"/>
        <w:rPr>
          <w:b w:val="1"/>
          <w:color w:val="auto"/>
          <w:dstrike w:val="0"/>
          <w:i w:val="0"/>
          <w:kern w:val="2"/>
          <w:lang w:val="en-US" w:bidi="en-US"/>
          <w:rFonts w:asciiTheme="minorHAnsi" w:hAnsiTheme="minorHAnsi" w:eastAsiaTheme="minorEastAsia" w:cstheme="minorBidi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>
          <w:b w:val="0"/>
          <w:color w:val="auto"/>
          <w:dstrike w:val="0"/>
          <w:i w:val="0"/>
          <w:kern w:val="2"/>
          <w:lang w:val="en-US" w:bidi="en-US"/>
          <w:rFonts w:asciiTheme="minorHAnsi" w:hAnsiTheme="minorHAnsi" w:eastAsiaTheme="minorEastAsia" w:cstheme="minorBidi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  <w:t xml:space="preserve">2 </w:t>
      </w:r>
      <w:r>
        <w:rPr>
          <w:b w:val="0"/>
          <w:color w:val="19439c"/>
          <w:dstrike w:val="0"/>
          <w:i w:val="0"/>
          <w:kern w:val="2"/>
          <w:rFonts w:asciiTheme="minorHAnsi" w:hAnsiTheme="minorHAnsi" w:eastAsiaTheme="minorEastAsia" w:cstheme="minorBidi"/>
          <w:spacing w:val="0"/>
          <w:strike w:val="0"/>
          <w:sz w:val="21"/>
          <w:szCs w:val="21"/>
          <w:u w:val="none"/>
          <w:vertAlign w:val="baseline"/>
          <w:w w:val="100"/>
        </w:rPr>
        <w:t>23种</w:t>
      </w:r>
      <w:r>
        <w:rPr>
          <w:b w:val="0"/>
          <w:color w:val="19439c"/>
          <w:dstrike w:val="0"/>
          <w:i w:val="0"/>
          <w:kern w:val="2"/>
          <w:lang w:val="en-US" w:bidi="en-US"/>
          <w:rFonts w:asciiTheme="minorHAnsi" w:hAnsiTheme="minorHAnsi" w:eastAsiaTheme="minorEastAsia" w:cstheme="minorBidi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  <w:t>设计模式</w:t>
      </w:r>
      <w:r>
        <w:rPr>
          <w:b w:val="0"/>
          <w:color w:val="auto"/>
          <w:dstrike w:val="0"/>
          <w:i w:val="0"/>
          <w:kern w:val="2"/>
          <w:rFonts w:asciiTheme="minorHAnsi" w:hAnsiTheme="minorHAnsi" w:eastAsiaTheme="minorEastAsia" w:cstheme="minorBidi"/>
          <w:spacing w:val="0"/>
          <w:strike w:val="0"/>
          <w:sz w:val="21"/>
          <w:szCs w:val="21"/>
          <w:u w:val="none"/>
          <w:vertAlign w:val="baseline"/>
          <w:w w:val="100"/>
        </w:rPr>
        <w:t>：</w:t>
      </w:r>
      <w:r>
        <w:rPr>
          <w:b w:val="1"/>
          <w:color w:val="auto"/>
          <w:dstrike w:val="0"/>
          <w:i w:val="0"/>
          <w:kern w:val="2"/>
          <w:lang w:val="en-US" w:bidi="en-US"/>
          <w:rFonts w:asciiTheme="minorHAnsi" w:hAnsiTheme="minorHAnsi" w:eastAsiaTheme="minorEastAsia" w:cstheme="minorBidi"/>
          <w:spacing w:val="0"/>
          <w:strike w:val="0"/>
          <w:sz w:val="21"/>
          <w:szCs w:val="21"/>
          <w:u w:val="none"/>
          <w:vertAlign w:val="baseline"/>
          <w:w w:val="100"/>
        </w:rPr>
        <w:t>目的是为了可重用代码，提高代码的可扩展性和可维护性，并且降低代码的耦合度</w:t>
      </w:r>
    </w:p>
    <w:p>
      <w:pPr>
        <w:autoSpaceDE w:val="1"/>
        <w:autoSpaceDN w:val="1"/>
        <w:rPr>
          <w:b w:val="0"/>
          <w:color w:val="auto"/>
          <w:dstrike w:val="0"/>
          <w:i w:val="0"/>
          <w:kern w:val="2"/>
          <w:rFonts w:asciiTheme="minorHAnsi" w:hAnsiTheme="minorHAnsi" w:eastAsiaTheme="minorEastAsia" w:cstheme="minorBidi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>
          <w:b w:val="0"/>
          <w:color w:val="auto"/>
          <w:dstrike w:val="0"/>
          <w:i w:val="0"/>
          <w:kern w:val="2"/>
          <w:lang w:val="en-US" w:bidi="en-US"/>
          <w:rFonts w:asciiTheme="minorHAnsi" w:hAnsiTheme="minorHAnsi" w:eastAsiaTheme="minorEastAsia" w:cstheme="minorBidi"/>
          <w:rtl w:val="0"/>
          <w:spacing w:val="0"/>
          <w:strike w:val="0"/>
          <w:sz w:val="21"/>
          <w:szCs w:val="21"/>
          <w:u w:val="none"/>
          <w:vertAlign w:val="baseline"/>
          <w:w w:val="100"/>
        </w:rPr>
        <w:t>1）</w:t>
      </w:r>
      <w:r>
        <w:rPr>
          <w:b w:val="0"/>
          <w:color w:val="auto"/>
          <w:dstrike w:val="0"/>
          <w:i w:val="0"/>
          <w:kern w:val="2"/>
          <w:rFonts w:asciiTheme="minorHAnsi" w:hAnsiTheme="minorHAnsi" w:eastAsiaTheme="minorEastAsia" w:cstheme="minorBidi"/>
          <w:spacing w:val="0"/>
          <w:strike w:val="0"/>
          <w:sz w:val="21"/>
          <w:szCs w:val="21"/>
          <w:u w:val="none"/>
          <w:vertAlign w:val="baseline"/>
          <w:w w:val="100"/>
        </w:rPr>
        <w:t>硬件代理模式：</w:t>
      </w:r>
      <w:r>
        <w:rPr>
          <w:b w:val="0"/>
          <w:color w:val="auto"/>
          <w:dstrike w:val="0"/>
          <w:i w:val="0"/>
          <w:kern w:val="2"/>
          <w:lang w:val="en-US" w:bidi="en-US"/>
          <w:rFonts w:asciiTheme="minorHAnsi" w:hAnsiTheme="minorHAnsi" w:eastAsiaTheme="minorEastAsia" w:cstheme="minorBidi"/>
          <w:spacing w:val="0"/>
          <w:strike w:val="0"/>
          <w:sz w:val="21"/>
          <w:szCs w:val="21"/>
          <w:u w:val="none"/>
          <w:vertAlign w:val="baseline"/>
          <w:w w:val="100"/>
        </w:rPr>
        <w:t>目前平台接口统一，UART驱动不同平台无缝衔接；</w:t>
      </w:r>
    </w:p>
    <w:p>
      <w:pPr>
        <w:autoSpaceDE w:val="1"/>
        <w:autoSpaceDN w:val="1"/>
        <w:rPr>
          <w:b w:val="0"/>
          <w:color w:val="auto"/>
          <w:dstrike w:val="0"/>
          <w:i w:val="0"/>
          <w:lang w:val="en-US" w:bidi="en-US"/>
          <w:rFonts w:asciiTheme="minorHAnsi" w:hAnsiTheme="minorHAnsi" w:eastAsiaTheme="minorEastAsia" w:cstheme="minorBidi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>
          <w:b w:val="0"/>
          <w:color w:val="auto"/>
          <w:dstrike w:val="0"/>
          <w:i w:val="0"/>
          <w:kern w:val="2"/>
          <w:lang w:val="en-US" w:bidi="en-US"/>
          <w:rFonts w:asciiTheme="minorHAnsi" w:hAnsiTheme="minorHAnsi" w:eastAsiaTheme="minorEastAsia" w:cstheme="minorBidi"/>
          <w:spacing w:val="0"/>
          <w:strike w:val="0"/>
          <w:sz w:val="21"/>
          <w:szCs w:val="21"/>
          <w:u w:val="none"/>
          <w:vertAlign w:val="baseline"/>
          <w:w w:val="100"/>
        </w:rPr>
        <w:t>2）工厂模式：是许多设计模式的基础；设计应当依懒抽象，而不是具体；应当对接口编程，而不是具体实现；</w:t>
      </w:r>
    </w:p>
    <w:p>
      <w:pPr>
        <w:autoSpaceDE w:val="1"/>
        <w:autoSpaceDN w:val="1"/>
        <w:rPr>
          <w:b w:val="0"/>
          <w:color w:val="auto"/>
          <w:dstrike w:val="0"/>
          <w:i w:val="0"/>
          <w:lang w:val="en-US" w:bidi="en-US"/>
          <w:rFonts w:asciiTheme="minorHAnsi" w:hAnsiTheme="minorHAnsi" w:eastAsiaTheme="minorEastAsia" w:cstheme="minorBidi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>
          <w:b w:val="0"/>
          <w:color w:val="auto"/>
          <w:dstrike w:val="0"/>
          <w:i w:val="0"/>
          <w:kern w:val="2"/>
          <w:lang w:val="en-US" w:bidi="en-US"/>
          <w:rFonts w:asciiTheme="minorHAnsi" w:hAnsiTheme="minorHAnsi" w:eastAsiaTheme="minorEastAsia" w:cstheme="minorBidi"/>
          <w:spacing w:val="0"/>
          <w:strike w:val="0"/>
          <w:sz w:val="21"/>
          <w:szCs w:val="21"/>
          <w:u w:val="none"/>
          <w:vertAlign w:val="baseline"/>
          <w:w w:val="100"/>
        </w:rPr>
        <w:t>3）</w:t>
      </w:r>
    </w:p>
    <w:p>
      <w:pPr>
        <w:autoSpaceDE w:val="1"/>
        <w:autoSpaceDN w:val="1"/>
        <w:rPr>
          <w:b w:val="0"/>
          <w:color w:val="auto"/>
          <w:dstrike w:val="0"/>
          <w:i w:val="0"/>
          <w:lang w:val="en-US" w:bidi="en-US"/>
          <w:rFonts w:asciiTheme="minorHAnsi" w:hAnsiTheme="minorHAnsi" w:eastAsiaTheme="minorEastAsia" w:cstheme="minorBidi"/>
          <w:spacing w:val="0"/>
          <w:strike w:val="0"/>
          <w:sz w:val="21"/>
          <w:szCs w:val="21"/>
          <w:u w:val="none"/>
          <w:vertAlign w:val="baseline"/>
          <w:w w:val="100"/>
        </w:rPr>
      </w:pPr>
    </w:p>
    <w:p>
      <w:pPr>
        <w:autoSpaceDE w:val="1"/>
        <w:autoSpaceDN w:val="1"/>
        <w:rPr>
          <w:b w:val="0"/>
          <w:color w:val="auto"/>
          <w:dstrike w:val="0"/>
          <w:i w:val="0"/>
          <w:lang w:val="en-US" w:bidi="en-US"/>
          <w:rFonts w:asciiTheme="minorHAnsi" w:hAnsiTheme="minorHAnsi" w:eastAsiaTheme="minorEastAsia" w:cstheme="minorBidi"/>
          <w:spacing w:val="0"/>
          <w:strike w:val="0"/>
          <w:sz w:val="21"/>
          <w:szCs w:val="21"/>
          <w:u w:val="none"/>
          <w:vertAlign w:val="baseline"/>
          <w:w w:val="100"/>
        </w:rPr>
      </w:pPr>
    </w:p>
    <w:p>
      <w:pPr>
        <w:autoSpaceDE w:val="1"/>
        <w:autoSpaceDN w:val="1"/>
        <w:rPr>
          <w:b w:val="0"/>
          <w:color w:val="auto"/>
          <w:dstrike w:val="0"/>
          <w:i w:val="0"/>
          <w:lang w:val="en-US" w:bidi="en-US"/>
          <w:rFonts w:asciiTheme="minorHAnsi" w:hAnsiTheme="minorHAnsi" w:eastAsiaTheme="minorEastAsia" w:cstheme="minorBidi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>
          <w:b w:val="0"/>
          <w:color w:val="auto"/>
          <w:dstrike w:val="0"/>
          <w:i w:val="0"/>
          <w:kern w:val="2"/>
          <w:lang w:val="en-US" w:bidi="en-US"/>
          <w:rFonts w:asciiTheme="minorHAnsi" w:hAnsiTheme="minorHAnsi" w:eastAsiaTheme="minorEastAsia" w:cstheme="minorBidi"/>
          <w:spacing w:val="0"/>
          <w:strike w:val="0"/>
          <w:sz w:val="21"/>
          <w:szCs w:val="21"/>
          <w:u w:val="none"/>
          <w:vertAlign w:val="baseline"/>
          <w:w w:val="100"/>
        </w:rPr>
        <w:t xml:space="preserve">3 </w:t>
      </w:r>
    </w:p>
    <w:p>
      <w:pPr>
        <w:autoSpaceDE w:val="1"/>
        <w:autoSpaceDN w:val="1"/>
        <w:rPr>
          <w:b w:val="0"/>
          <w:color w:val="auto"/>
          <w:dstrike w:val="0"/>
          <w:i w:val="0"/>
          <w:rFonts w:asciiTheme="minorHAnsi" w:hAnsiTheme="minorHAnsi" w:eastAsiaTheme="minorEastAsia" w:cstheme="minorBidi"/>
          <w:spacing w:val="0"/>
          <w:strike w:val="0"/>
          <w:sz w:val="21"/>
          <w:szCs w:val="21"/>
          <w:u w:val="none"/>
          <w:vertAlign w:val="baseline"/>
          <w:w w:val="100"/>
        </w:rPr>
      </w:pPr>
    </w:p>
    <w:p>
      <w:pPr>
        <w:autoSpaceDE w:val="1"/>
        <w:autoSpaceDN w:val="1"/>
        <w:rPr>
          <w:b w:val="0"/>
          <w:color w:val="auto"/>
          <w:dstrike w:val="0"/>
          <w:i w:val="0"/>
          <w:rFonts w:asciiTheme="minorHAnsi" w:hAnsiTheme="minorHAnsi" w:eastAsiaTheme="minorEastAsia" w:cstheme="minorBidi"/>
          <w:spacing w:val="0"/>
          <w:strike w:val="0"/>
          <w:sz w:val="21"/>
          <w:szCs w:val="21"/>
          <w:u w:val="none"/>
          <w:vertAlign w:val="baseline"/>
          <w:w w:val="100"/>
        </w:rPr>
      </w:pPr>
    </w:p>
    <w:p>
      <w:pPr>
        <w:autoSpaceDE w:val="1"/>
        <w:autoSpaceDN w:val="1"/>
        <w:jc w:val="center"/>
        <w:rPr>
          <w:b w:val="0"/>
          <w:color w:val="auto"/>
          <w:dstrike w:val="0"/>
          <w:i w:val="0"/>
          <w:rFonts w:asciiTheme="minorHAnsi" w:hAnsiTheme="minorHAnsi" w:eastAsiaTheme="minorEastAsia" w:cstheme="minorBidi"/>
          <w:spacing w:val="0"/>
          <w:strike w:val="0"/>
          <w:sz w:val="21"/>
          <w:szCs w:val="21"/>
          <w:u w:val="none"/>
          <w:vertAlign w:val="baseline"/>
          <w:w w:val="100"/>
        </w:rPr>
      </w:pPr>
      <w:r>
        <w:rPr/>
        <w:t>Acuvim项目总结</w:t>
      </w:r>
    </w:p>
    <w:p>
      <w:pPr>
        <w:pBdr>
          <w:bottom w:val="nil" w:color="000000" w:sz="4" w:space="0"/>
          <w:left w:val="nil" w:color="000000" w:sz="4" w:space="0"/>
          <w:right w:val="nil" w:color="000000" w:sz="4" w:space="0"/>
          <w:top w:val="nil" w:color="000000" w:sz="4" w:space="0"/>
        </w:pBdr>
        <w:spacing w:lineRule="auto"/>
        <w:rPr>
          <w:rFonts w:ascii="Microsoft YaHei" w:hAnsi="Microsoft YaHei" w:eastAsia="Microsoft YaHei" w:cs="Microsoft YaHei"/>
          <w:sz w:val="22"/>
        </w:rPr>
      </w:pPr>
      <w:r>
        <w:rPr>
          <w:b w:val="0"/>
          <w:color w:val="494949"/>
          <w:rFonts w:ascii="Microsoft YaHei" w:hAnsi="Microsoft YaHei" w:eastAsia="Microsoft YaHei" w:cs="Microsoft YaHei"/>
          <w:sz w:val="22"/>
        </w:rPr>
        <w:t>SHARC+内核：</w:t>
      </w:r>
    </w:p>
    <w:p>
      <w:pPr>
        <w:pBdr>
          <w:bottom w:val="nil" w:color="000000" w:sz="4" w:space="0"/>
          <w:left w:val="nil" w:color="000000" w:sz="4" w:space="0"/>
          <w:right w:val="nil" w:color="000000" w:sz="4" w:space="0"/>
          <w:top w:val="nil" w:color="000000" w:sz="4" w:space="0"/>
        </w:pBdr>
        <w:spacing w:lineRule="auto"/>
        <w:rPr>
          <w:b w:val="0"/>
          <w:color w:val="494949"/>
          <w:rFonts w:ascii="Microsoft YaHei" w:hAnsi="Microsoft YaHei" w:eastAsia="Microsoft YaHei" w:cs="Microsoft YaHei"/>
          <w:sz w:val="22"/>
        </w:rPr>
      </w:pPr>
      <w:r>
        <w:rPr>
          <w:b w:val="0"/>
          <w:color w:val="494949"/>
          <w:rFonts w:ascii="Microsoft YaHei" w:hAnsi="Microsoft YaHei" w:eastAsia="Microsoft YaHei" w:cs="Microsoft YaHei"/>
          <w:sz w:val="22"/>
        </w:rPr>
        <w:t>SHARC+内核包含两个用作</w:t>
      </w:r>
      <w:r>
        <w:rPr>
          <w:b w:val="0"/>
          <w:color w:val="ff0000"/>
          <w:rFonts w:ascii="Microsoft YaHei" w:hAnsi="Microsoft YaHei" w:eastAsia="Microsoft YaHei" w:cs="Microsoft YaHei"/>
          <w:sz w:val="22"/>
        </w:rPr>
        <w:t xml:space="preserve">单指令、多数据 (SIMD) 引擎</w:t>
      </w:r>
      <w:r>
        <w:rPr>
          <w:b w:val="0"/>
          <w:color w:val="494949"/>
          <w:rFonts w:ascii="Microsoft YaHei" w:hAnsi="Microsoft YaHei" w:eastAsia="Microsoft YaHei" w:cs="Microsoft YaHei"/>
          <w:sz w:val="22"/>
        </w:rPr>
        <w:t>的计算处理器元件，分别称为PEx和PEy，各元件均由ALU、乘法器、移位器和寄存器文件组成。PEx始终有效，PEy通过将MODE1寄存器的PEYEN模式位设为1来使能。SIMD模式允许处理器在两个处理元件中执行同一指令，但各处理元件处理不同的数据。这种架构对于执行计算密集型DSP算法非常有效。</w:t>
      </w:r>
    </w:p>
    <w:p>
      <w:pPr>
        <w:pBdr>
          <w:bottom w:val="nil" w:color="000000" w:sz="4" w:space="0"/>
          <w:left w:val="nil" w:color="000000" w:sz="4" w:space="0"/>
          <w:right w:val="nil" w:color="000000" w:sz="4" w:space="0"/>
          <w:top w:val="nil" w:color="000000" w:sz="4" w:space="0"/>
        </w:pBdr>
        <w:spacing w:lineRule="auto"/>
        <w:rPr>
          <w:b w:val="0"/>
          <w:color w:val="494949"/>
          <w:rFonts w:ascii="Microsoft YaHei" w:hAnsi="Microsoft YaHei" w:eastAsia="Microsoft YaHei" w:cs="Microsoft YaHei"/>
          <w:sz w:val="22"/>
        </w:rPr>
      </w:pPr>
    </w:p>
    <w:p>
      <w:pPr>
        <w:pBdr>
          <w:bottom w:val="nil" w:color="000000" w:sz="4" w:space="0"/>
          <w:left w:val="nil" w:color="000000" w:sz="4" w:space="0"/>
          <w:right w:val="nil" w:color="000000" w:sz="4" w:space="0"/>
          <w:top w:val="nil" w:color="000000" w:sz="4" w:space="0"/>
        </w:pBdr>
        <w:spacing w:lineRule="auto"/>
        <w:rPr>
          <w:b w:val="0"/>
          <w:color w:val="494949"/>
          <w:rFonts w:ascii="Microsoft YaHei" w:hAnsi="Microsoft YaHei" w:eastAsia="Microsoft YaHei" w:cs="Microsoft YaHei"/>
          <w:sz w:val="22"/>
        </w:rPr>
      </w:pPr>
    </w:p>
    <w:p>
      <w:pPr>
        <w:pBdr>
          <w:bottom w:val="nil" w:color="000000" w:sz="4" w:space="0"/>
          <w:left w:val="nil" w:color="000000" w:sz="4" w:space="0"/>
          <w:right w:val="nil" w:color="000000" w:sz="4" w:space="0"/>
          <w:top w:val="nil" w:color="000000" w:sz="4" w:space="0"/>
        </w:pBdr>
        <w:spacing w:lineRule="auto"/>
        <w:rPr>
          <w:b w:val="0"/>
          <w:color w:val="494949"/>
          <w:rFonts w:ascii="Microsoft YaHei" w:hAnsi="Microsoft YaHei" w:eastAsia="Microsoft YaHei" w:cs="Microsoft YaHei"/>
          <w:sz w:val="22"/>
        </w:rPr>
      </w:pPr>
    </w:p>
    <w:p>
      <w:pPr>
        <w:pBdr>
          <w:bottom w:val="nil" w:color="000000" w:sz="4" w:space="0"/>
          <w:left w:val="nil" w:color="000000" w:sz="4" w:space="0"/>
          <w:right w:val="nil" w:color="000000" w:sz="4" w:space="0"/>
          <w:top w:val="nil" w:color="000000" w:sz="4" w:space="0"/>
        </w:pBdr>
        <w:spacing w:lineRule="auto"/>
        <w:rPr>
          <w:rFonts w:ascii="Microsoft YaHei" w:hAnsi="Microsoft YaHei" w:eastAsia="Microsoft YaHei" w:cs="Microsoft YaHei"/>
          <w:sz w:val="22"/>
        </w:rPr>
      </w:pPr>
    </w:p>
    <w:sectPr>
      <w:cols w:equalWidth="1" w:num="1" w:sep="0" w:space="1701"/>
      <w:docGrid w:linePitch="387" w:type="lines"/>
      <w:pgMar w:top="1440" w:right="1797" w:bottom="1440" w:left="1797" w:header="709" w:footer="992"/>
      <w:pgNumType w:chapSep="hyphen"/>
      <w:pgSz w:h="16838" w:w="11906" w:orient="portrait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>
  <w:abstractNum w:abstractNumId="93">
    <w:lvl w:ilvl="0">
      <w:start w:val="1"/>
      <w:numFmt w:val="decimal"/>
      <w:isLgl w:val="0"/>
      <w:suff w:val="tab"/>
      <w:lvlText w:val="%1."/>
      <w:lvlJc w:val="left"/>
      <w:pPr>
        <w:ind w:hanging="420" w:left="420"/>
      </w:pPr>
      <w:rPr>
        <w:b w:val="0"/>
        <w:color w:val="494949"/>
        <w:rFonts w:ascii="Microsoft YaHei" w:hAnsi="Microsoft YaHei" w:eastAsia="Microsoft YaHei" w:cs="Microsoft YaHei"/>
        <w:sz w:val="22"/>
      </w:rPr>
    </w:lvl>
    <w:lvl w:ilvl="1">
      <w:start w:val="1"/>
      <w:numFmt w:val="lowerLetter"/>
      <w:isLgl w:val="0"/>
      <w:suff w:val="tab"/>
      <w:lvlText w:val="%2."/>
      <w:lvlJc w:val="left"/>
      <w:pPr>
        <w:ind w:hanging="420" w:left="840"/>
      </w:pPr>
    </w:lvl>
    <w:lvl w:ilvl="2">
      <w:start w:val="1"/>
      <w:numFmt w:val="lowerRoman"/>
      <w:isLgl w:val="0"/>
      <w:suff w:val="tab"/>
      <w:lvlText w:val="%3."/>
      <w:lvlJc w:val="right"/>
      <w:pPr>
        <w:ind w:hanging="420" w:left="1260"/>
      </w:pPr>
    </w:lvl>
    <w:lvl w:ilvl="3">
      <w:start w:val="1"/>
      <w:numFmt w:val="decimal"/>
      <w:isLgl w:val="0"/>
      <w:suff w:val="tab"/>
      <w:lvlText w:val="%4."/>
      <w:lvlJc w:val="left"/>
      <w:pPr>
        <w:ind w:hanging="420" w:left="1680"/>
      </w:pPr>
    </w:lvl>
    <w:lvl w:ilvl="4">
      <w:start w:val="1"/>
      <w:numFmt w:val="lowerLetter"/>
      <w:isLgl w:val="0"/>
      <w:suff w:val="tab"/>
      <w:lvlText w:val="%5."/>
      <w:lvlJc w:val="left"/>
      <w:pPr>
        <w:ind w:hanging="420" w:left="2100"/>
      </w:pPr>
    </w:lvl>
    <w:lvl w:ilvl="5">
      <w:start w:val="1"/>
      <w:numFmt w:val="lowerRoman"/>
      <w:isLgl w:val="0"/>
      <w:suff w:val="tab"/>
      <w:lvlText w:val="%6."/>
      <w:lvlJc w:val="right"/>
      <w:pPr>
        <w:ind w:hanging="420" w:left="2520"/>
      </w:pPr>
    </w:lvl>
    <w:lvl w:ilvl="6">
      <w:start w:val="1"/>
      <w:numFmt w:val="decimal"/>
      <w:isLgl w:val="0"/>
      <w:suff w:val="tab"/>
      <w:lvlText w:val="%7."/>
      <w:lvlJc w:val="left"/>
      <w:pPr>
        <w:ind w:hanging="420" w:left="2940"/>
      </w:pPr>
    </w:lvl>
    <w:lvl w:ilvl="7">
      <w:start w:val="1"/>
      <w:numFmt w:val="lowerLetter"/>
      <w:isLgl w:val="0"/>
      <w:suff w:val="tab"/>
      <w:lvlText w:val="%8."/>
      <w:lvlJc w:val="left"/>
      <w:pPr>
        <w:ind w:hanging="420" w:left="3360"/>
      </w:pPr>
    </w:lvl>
    <w:lvl w:ilvl="8">
      <w:start w:val="1"/>
      <w:numFmt w:val="lowerRoman"/>
      <w:isLgl w:val="0"/>
      <w:suff w:val="tab"/>
      <w:lvlText w:val="%9."/>
      <w:lvlJc w:val="right"/>
      <w:pPr>
        <w:ind w:hanging="420" w:left="3780"/>
      </w:pPr>
    </w:lvl>
  </w:abstractNum>
  <w:num w:numId="94">
    <w:abstractNumId w:val="93"/>
  </w:num>
</w:numbering>
</file>

<file path=word/settings.xml><?xml version="1.0" encoding="utf-8"?>
<w:settings xmlns:w="http://schemas.openxmlformats.org/wordprocessingml/2006/main" xmlns:m="http://schemas.openxmlformats.org/officeDocument/2006/math" xmlns:v="urn:schemas-microsoft-com:vml">
  <w:drawingGridVerticalSpacing w:val="156"/>
  <w:displayHorizontalDrawingGridEvery w:val="1"/>
  <w:displayVerticalDrawingGridEvery w:val="2"/>
  <w:noPunctuationKerning w:val="0"/>
  <w:characterSpacingControl w:val="compressPunctuation"/>
  <w:endnotePr>
    <w:pos w:val="docEnd"/>
  </w:endnotePr>
  <w:compat>
    <w:balanceSingleByteDoubleByteWidth w:val="1"/>
    <w:adjustLineHeightInTable w:val="1"/>
    <w:compatSetting w:name="compatibilityMode" w:uri="http://schemas.microsoft.com/office/word" w:val="15"/>
  </w:compat>
  <w:themeFontLang w:val="en-US" w:eastAsia="zh-CN" w:bidi="ar-S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<w:docDefaults>
    <w:rPrDefault>
      <w:rPr>
        <w:kern w:val="2"/>
        <w:rFonts w:asciiTheme="minorHAnsi" w:hAnsiTheme="minorHAnsi" w:eastAsiaTheme="minorEastAsia" w:cstheme="minorBidi"/>
        <w:sz w:val="21"/>
      </w:rPr>
    </w:rPrDefault>
    <w:pPrDefault/>
  </w:docDefaults>
  <w:style w:type="paragraph" w:styleId="161">
    <w:name w:val="Normal"/>
    <w:qFormat w:val="1"/>
    <w:pPr>
      <w:autoSpaceDE w:val="1"/>
      <w:autoSpaceDN w:val="1"/>
      <w:jc w:val="both"/>
      <w:widowControl w:val="0"/>
    </w:pPr>
  </w:style>
  <w:style w:type="paragraph" w:styleId="22">
    <w:name w:val="List Paragraph"/>
    <w:basedOn w:val="161"/>
    <w:uiPriority w:val="34"/>
    <w:qFormat w:val="1"/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Mode="Internal" Target="numbering.xml"/><Relationship Id="rId2" Type="http://schemas.openxmlformats.org/officeDocument/2006/relationships/settings" TargetMode="Internal" Target="settings.xml"/><Relationship Id="rId1" Type="http://schemas.openxmlformats.org/officeDocument/2006/relationships/theme" TargetMode="Internal" Target="theme/theme1.xml"/><Relationship Id="rId3" Type="http://schemas.openxmlformats.org/officeDocument/2006/relationships/styles" TargetMode="Internal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Text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Noto Sans JP"/>
        <a:font script="Hang" typeface="맑은 고딕"/>
        <a:font script="Hans" typeface="微软雅黑"/>
        <a:font script="Hant" typeface="微软雅黑"/>
        <a:font script="Arab" typeface="Arial"/>
      </a:majorFont>
      <a:minorFont>
        <a:latin typeface="Arial"/>
        <a:ea typeface=""/>
        <a:cs typeface=""/>
        <a:font script="Jpan" typeface="Noto Sans JP"/>
        <a:font script="Hang" typeface="맑은 고딕"/>
        <a:font script="Hans" typeface="微软雅黑"/>
        <a:font script="Hant" typeface="微软雅黑"/>
        <a:font script="Arab"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