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Calibri"/>
          <w:b/>
          <w:color w:val="1F3864"/>
          <w:sz w:val="44"/>
        </w:rPr>
        <w:t>Reproduction of Depth Anything V2</w:t>
      </w:r>
    </w:p>
    <w:p>
      <w:pPr>
        <w:spacing w:after="160"/>
        <w:jc w:val="center"/>
      </w:pPr>
      <w:r>
        <w:rPr>
          <w:rFonts w:ascii="Calibri" w:hAnsi="Calibri" w:cs="Calibri"/>
          <w:b w:val="0"/>
          <w:color w:val="606060"/>
          <w:sz w:val="28"/>
        </w:rPr>
        <w:t>Stage 1 — DA-2K Benchmark</w:t>
      </w:r>
    </w:p>
    <w:p>
      <w:pPr>
        <w:jc w:val="center"/>
      </w:pPr>
      <w:r>
        <w:rPr>
          <w:rFonts w:ascii="Calibri" w:hAnsi="Calibri" w:cs="Calibri"/>
          <w:b w:val="0"/>
          <w:color w:val="808080"/>
          <w:sz w:val="20"/>
        </w:rPr>
        <w:t>2026-05-19 21:30 UTC</w:t>
      </w:r>
    </w:p>
    <w:p>
      <w:pPr>
        <w:spacing w:before="280" w:after="80"/>
      </w:pPr>
      <w:r>
        <w:rPr>
          <w:rFonts w:ascii="Calibri" w:hAnsi="Calibri" w:cs="Calibri"/>
          <w:b/>
          <w:color w:val="1F3864"/>
          <w:sz w:val="36"/>
        </w:rPr>
        <w:t>1. Setup</w:t>
      </w:r>
    </w:p>
    <w:p>
      <w:r>
        <w:rPr>
          <w:rFonts w:ascii="Calibri" w:hAnsi="Calibri" w:cs="Calibri"/>
          <w:b w:val="0"/>
          <w:sz w:val="22"/>
        </w:rPr>
        <w:t>We reproduced the relative-depth evaluation of Depth Anything V2 (Yang et al., NeurIPS 2024) on the authors' own DA-2K benchmark using the publicly released student checkpoints (ViT-S, ViT-B, ViT-L). All inference was run on CPU at the paper's default 518×518 resolution. No training was performed.</w:t>
      </w:r>
    </w:p>
    <w:p>
      <w:pPr>
        <w:spacing w:before="200" w:after="80"/>
      </w:pPr>
      <w:r>
        <w:rPr>
          <w:rFonts w:ascii="Calibri" w:hAnsi="Calibri" w:cs="Calibri"/>
          <w:b/>
          <w:color w:val="2E75B6"/>
          <w:sz w:val="28"/>
        </w:rPr>
        <w:t>Environment</w:t>
      </w:r>
    </w:p>
    <w:tbl>
      <w:tblPr>
        <w:tblStyle w:val="LightGrid"/>
        <w:tblW w:type="auto" w:w="0"/>
        <w:tblLook w:firstColumn="1" w:firstRow="1" w:lastColumn="0" w:lastRow="0" w:noHBand="0" w:noVBand="1" w:val="04A0"/>
      </w:tblPr>
      <w:tblGrid>
        <w:gridCol w:w="4873"/>
        <w:gridCol w:w="4873"/>
      </w:tblGrid>
      <w:tr>
        <w:tc>
          <w:tcPr>
            <w:tcW w:type="dxa" w:w="2551"/>
            <w:vAlign w:val="center"/>
            <w:shd w:val="clear" w:color="auto" w:fill="F2F2F2"/>
          </w:tcPr>
          <w:p>
            <w:pPr>
              <w:jc w:val="left"/>
            </w:pPr>
            <w:r/>
            <w:r>
              <w:rPr>
                <w:rFonts w:ascii="Calibri" w:hAnsi="Calibri" w:cs="Calibri"/>
                <w:b/>
                <w:sz w:val="20"/>
              </w:rPr>
              <w:t>Python</w:t>
            </w:r>
          </w:p>
        </w:tc>
        <w:tc>
          <w:tcPr>
            <w:tcW w:type="dxa" w:w="6803"/>
            <w:vAlign w:val="center"/>
          </w:tcPr>
          <w:p>
            <w:pPr>
              <w:jc w:val="left"/>
            </w:pPr>
            <w:r/>
            <w:r>
              <w:rPr>
                <w:rFonts w:ascii="Consolas" w:hAnsi="Consolas" w:cs="Consolas"/>
                <w:b w:val="0"/>
                <w:sz w:val="18"/>
              </w:rPr>
              <w:t>3.13.7</w:t>
            </w:r>
          </w:p>
        </w:tc>
      </w:tr>
      <w:tr>
        <w:tc>
          <w:tcPr>
            <w:tcW w:type="dxa" w:w="2551"/>
            <w:vAlign w:val="center"/>
            <w:shd w:val="clear" w:color="auto" w:fill="F2F2F2"/>
          </w:tcPr>
          <w:p>
            <w:pPr>
              <w:jc w:val="left"/>
            </w:pPr>
            <w:r/>
            <w:r>
              <w:rPr>
                <w:rFonts w:ascii="Calibri" w:hAnsi="Calibri" w:cs="Calibri"/>
                <w:b/>
                <w:sz w:val="20"/>
              </w:rPr>
              <w:t>PyTorch</w:t>
            </w:r>
          </w:p>
        </w:tc>
        <w:tc>
          <w:tcPr>
            <w:tcW w:type="dxa" w:w="6803"/>
            <w:vAlign w:val="center"/>
          </w:tcPr>
          <w:p>
            <w:pPr>
              <w:jc w:val="left"/>
            </w:pPr>
            <w:r/>
            <w:r>
              <w:rPr>
                <w:rFonts w:ascii="Consolas" w:hAnsi="Consolas" w:cs="Consolas"/>
                <w:b w:val="0"/>
                <w:sz w:val="18"/>
              </w:rPr>
              <w:t>2.11.0+cpu</w:t>
            </w:r>
          </w:p>
        </w:tc>
      </w:tr>
      <w:tr>
        <w:tc>
          <w:tcPr>
            <w:tcW w:type="dxa" w:w="2551"/>
            <w:vAlign w:val="center"/>
            <w:shd w:val="clear" w:color="auto" w:fill="F2F2F2"/>
          </w:tcPr>
          <w:p>
            <w:pPr>
              <w:jc w:val="left"/>
            </w:pPr>
            <w:r/>
            <w:r>
              <w:rPr>
                <w:rFonts w:ascii="Calibri" w:hAnsi="Calibri" w:cs="Calibri"/>
                <w:b/>
                <w:sz w:val="20"/>
              </w:rPr>
              <w:t>Device</w:t>
            </w:r>
          </w:p>
        </w:tc>
        <w:tc>
          <w:tcPr>
            <w:tcW w:type="dxa" w:w="6803"/>
            <w:vAlign w:val="center"/>
          </w:tcPr>
          <w:p>
            <w:pPr>
              <w:jc w:val="left"/>
            </w:pPr>
            <w:r/>
            <w:r>
              <w:rPr>
                <w:rFonts w:ascii="Consolas" w:hAnsi="Consolas" w:cs="Consolas"/>
                <w:b w:val="0"/>
                <w:sz w:val="18"/>
              </w:rPr>
              <w:t>cpu</w:t>
            </w:r>
          </w:p>
        </w:tc>
      </w:tr>
      <w:tr>
        <w:tc>
          <w:tcPr>
            <w:tcW w:type="dxa" w:w="2551"/>
            <w:vAlign w:val="center"/>
            <w:shd w:val="clear" w:color="auto" w:fill="F2F2F2"/>
          </w:tcPr>
          <w:p>
            <w:pPr>
              <w:jc w:val="left"/>
            </w:pPr>
            <w:r/>
            <w:r>
              <w:rPr>
                <w:rFonts w:ascii="Calibri" w:hAnsi="Calibri" w:cs="Calibri"/>
                <w:b/>
                <w:sz w:val="20"/>
              </w:rPr>
              <w:t>Torch threads</w:t>
            </w:r>
          </w:p>
        </w:tc>
        <w:tc>
          <w:tcPr>
            <w:tcW w:type="dxa" w:w="6803"/>
            <w:vAlign w:val="center"/>
          </w:tcPr>
          <w:p>
            <w:pPr>
              <w:jc w:val="left"/>
            </w:pPr>
            <w:r/>
            <w:r>
              <w:rPr>
                <w:rFonts w:ascii="Consolas" w:hAnsi="Consolas" w:cs="Consolas"/>
                <w:b w:val="0"/>
                <w:sz w:val="18"/>
              </w:rPr>
              <w:t>4</w:t>
            </w:r>
          </w:p>
        </w:tc>
      </w:tr>
      <w:tr>
        <w:tc>
          <w:tcPr>
            <w:tcW w:type="dxa" w:w="2551"/>
            <w:vAlign w:val="center"/>
            <w:shd w:val="clear" w:color="auto" w:fill="F2F2F2"/>
          </w:tcPr>
          <w:p>
            <w:pPr>
              <w:jc w:val="left"/>
            </w:pPr>
            <w:r/>
            <w:r>
              <w:rPr>
                <w:rFonts w:ascii="Calibri" w:hAnsi="Calibri" w:cs="Calibri"/>
                <w:b/>
                <w:sz w:val="20"/>
              </w:rPr>
              <w:t>OS</w:t>
            </w:r>
          </w:p>
        </w:tc>
        <w:tc>
          <w:tcPr>
            <w:tcW w:type="dxa" w:w="6803"/>
            <w:vAlign w:val="center"/>
          </w:tcPr>
          <w:p>
            <w:pPr>
              <w:jc w:val="left"/>
            </w:pPr>
            <w:r/>
            <w:r>
              <w:rPr>
                <w:rFonts w:ascii="Consolas" w:hAnsi="Consolas" w:cs="Consolas"/>
                <w:b w:val="0"/>
                <w:sz w:val="18"/>
              </w:rPr>
              <w:t>Windows-11-10.0.26200-SP0</w:t>
            </w:r>
          </w:p>
        </w:tc>
      </w:tr>
      <w:tr>
        <w:tc>
          <w:tcPr>
            <w:tcW w:type="dxa" w:w="2551"/>
            <w:vAlign w:val="center"/>
            <w:shd w:val="clear" w:color="auto" w:fill="F2F2F2"/>
          </w:tcPr>
          <w:p>
            <w:pPr>
              <w:jc w:val="left"/>
            </w:pPr>
            <w:r/>
            <w:r>
              <w:rPr>
                <w:rFonts w:ascii="Calibri" w:hAnsi="Calibri" w:cs="Calibri"/>
                <w:b/>
                <w:sz w:val="20"/>
              </w:rPr>
              <w:t>CPU</w:t>
            </w:r>
          </w:p>
        </w:tc>
        <w:tc>
          <w:tcPr>
            <w:tcW w:type="dxa" w:w="6803"/>
            <w:vAlign w:val="center"/>
          </w:tcPr>
          <w:p>
            <w:pPr>
              <w:jc w:val="left"/>
            </w:pPr>
            <w:r/>
            <w:r>
              <w:rPr>
                <w:rFonts w:ascii="Consolas" w:hAnsi="Consolas" w:cs="Consolas"/>
                <w:b w:val="0"/>
                <w:sz w:val="18"/>
              </w:rPr>
              <w:t>Intel64 Family 6 Model 140 Stepping 2, GenuineIntel</w:t>
            </w:r>
          </w:p>
        </w:tc>
      </w:tr>
      <w:tr>
        <w:tc>
          <w:tcPr>
            <w:tcW w:type="dxa" w:w="2551"/>
            <w:vAlign w:val="center"/>
            <w:shd w:val="clear" w:color="auto" w:fill="F2F2F2"/>
          </w:tcPr>
          <w:p>
            <w:pPr>
              <w:jc w:val="left"/>
            </w:pPr>
            <w:r/>
            <w:r>
              <w:rPr>
                <w:rFonts w:ascii="Calibri" w:hAnsi="Calibri" w:cs="Calibri"/>
                <w:b/>
                <w:sz w:val="20"/>
              </w:rPr>
              <w:t>Authors' repo commit</w:t>
            </w:r>
          </w:p>
        </w:tc>
        <w:tc>
          <w:tcPr>
            <w:tcW w:type="dxa" w:w="6803"/>
            <w:vAlign w:val="center"/>
          </w:tcPr>
          <w:p>
            <w:pPr>
              <w:jc w:val="left"/>
            </w:pPr>
            <w:r/>
            <w:r>
              <w:rPr>
                <w:rFonts w:ascii="Consolas" w:hAnsi="Consolas" w:cs="Consolas"/>
                <w:b w:val="0"/>
                <w:sz w:val="18"/>
              </w:rPr>
              <w:t>a561b849ebae</w:t>
            </w:r>
          </w:p>
        </w:tc>
      </w:tr>
    </w:tbl>
    <w:p>
      <w:pPr>
        <w:spacing w:before="280" w:after="80"/>
      </w:pPr>
      <w:r>
        <w:rPr>
          <w:rFonts w:ascii="Calibri" w:hAnsi="Calibri" w:cs="Calibri"/>
          <w:b/>
          <w:color w:val="1F3864"/>
          <w:sz w:val="36"/>
        </w:rPr>
        <w:t>2. Evaluation protocol</w:t>
      </w:r>
    </w:p>
    <w:p>
      <w:r>
        <w:rPr>
          <w:rFonts w:ascii="Calibri" w:hAnsi="Calibri" w:cs="Calibri"/>
          <w:b w:val="0"/>
          <w:sz w:val="22"/>
        </w:rPr>
        <w:t>DA-2K consists of 1,000+ images annotated with 2,000+ pixel pairs. For each pair, the annotation marks which of the two pixels is closer to the camera. We do not train or fine-tune. For each pair we run the model once on the full image, read the predicted affine-invariant inverse depth at the two annotated pixel coordinates, and decide which pixel the model believes is closer using the rule:</w:t>
      </w:r>
    </w:p>
    <w:p>
      <w:pPr>
        <w:spacing w:before="40" w:after="40"/>
        <w:jc w:val="center"/>
      </w:pPr>
      <w:r>
        <w:rPr>
          <w:rFonts w:ascii="Consolas" w:hAnsi="Consolas" w:cs="Consolas"/>
          <w:b w:val="0"/>
          <w:sz w:val="20"/>
        </w:rPr>
        <w:t>model agrees with annotation  ⇔  pred(closer pixel) &gt; pred(farther pixel)</w:t>
      </w:r>
    </w:p>
    <w:p>
      <w:r>
        <w:rPr>
          <w:rFonts w:ascii="Calibri" w:hAnsi="Calibri" w:cs="Calibri"/>
          <w:b w:val="0"/>
          <w:sz w:val="22"/>
        </w:rPr>
        <w:t>The metric is overall accuracy and per-scene accuracy across the eight DA-2K scenarios. No scale-shift alignment is needed for this benchmark since the decision is purely a monotonic comparison between two model outputs on the same image.</w:t>
      </w:r>
    </w:p>
    <w:p>
      <w:pPr>
        <w:spacing w:before="200" w:after="80"/>
      </w:pPr>
      <w:r>
        <w:rPr>
          <w:rFonts w:ascii="Calibri" w:hAnsi="Calibri" w:cs="Calibri"/>
          <w:b/>
          <w:color w:val="2E75B6"/>
          <w:sz w:val="28"/>
        </w:rPr>
        <w:t>Dataset statistics</w:t>
      </w:r>
    </w:p>
    <w:tbl>
      <w:tblPr>
        <w:tblStyle w:val="LightGrid"/>
        <w:tblW w:type="auto" w:w="0"/>
        <w:tblLook w:firstColumn="1" w:firstRow="1" w:lastColumn="0" w:lastRow="0" w:noHBand="0" w:noVBand="1" w:val="04A0"/>
      </w:tblPr>
      <w:tblGrid>
        <w:gridCol w:w="4873"/>
        <w:gridCol w:w="4873"/>
      </w:tblGrid>
      <w:tr>
        <w:tc>
          <w:tcPr>
            <w:tcW w:type="dxa" w:w="2551"/>
            <w:vAlign w:val="center"/>
            <w:shd w:val="clear" w:color="auto" w:fill="F2F2F2"/>
          </w:tcPr>
          <w:p>
            <w:pPr>
              <w:jc w:val="left"/>
            </w:pPr>
            <w:r/>
            <w:r>
              <w:rPr>
                <w:rFonts w:ascii="Calibri" w:hAnsi="Calibri" w:cs="Calibri"/>
                <w:b/>
                <w:sz w:val="20"/>
              </w:rPr>
              <w:t>Source</w:t>
            </w:r>
          </w:p>
        </w:tc>
        <w:tc>
          <w:tcPr>
            <w:tcW w:type="dxa" w:w="6803"/>
            <w:vAlign w:val="center"/>
          </w:tcPr>
          <w:p>
            <w:pPr>
              <w:jc w:val="left"/>
            </w:pPr>
            <w:r/>
            <w:r>
              <w:rPr>
                <w:rFonts w:ascii="Calibri" w:hAnsi="Calibri" w:cs="Calibri"/>
                <w:b w:val="0"/>
                <w:sz w:val="20"/>
              </w:rPr>
              <w:t>depth-anything/DA-2K (Hugging Face)</w:t>
            </w:r>
          </w:p>
        </w:tc>
      </w:tr>
      <w:tr>
        <w:tc>
          <w:tcPr>
            <w:tcW w:type="dxa" w:w="2551"/>
            <w:vAlign w:val="center"/>
            <w:shd w:val="clear" w:color="auto" w:fill="F2F2F2"/>
          </w:tcPr>
          <w:p>
            <w:pPr>
              <w:jc w:val="left"/>
            </w:pPr>
            <w:r/>
            <w:r>
              <w:rPr>
                <w:rFonts w:ascii="Calibri" w:hAnsi="Calibri" w:cs="Calibri"/>
                <w:b/>
                <w:sz w:val="20"/>
              </w:rPr>
              <w:t>Images evaluated</w:t>
            </w:r>
          </w:p>
        </w:tc>
        <w:tc>
          <w:tcPr>
            <w:tcW w:type="dxa" w:w="6803"/>
            <w:vAlign w:val="center"/>
          </w:tcPr>
          <w:p>
            <w:pPr>
              <w:jc w:val="left"/>
            </w:pPr>
            <w:r/>
            <w:r>
              <w:rPr>
                <w:rFonts w:ascii="Calibri" w:hAnsi="Calibri" w:cs="Calibri"/>
                <w:b w:val="0"/>
                <w:sz w:val="20"/>
              </w:rPr>
              <w:t>1033</w:t>
            </w:r>
          </w:p>
        </w:tc>
      </w:tr>
      <w:tr>
        <w:tc>
          <w:tcPr>
            <w:tcW w:type="dxa" w:w="2551"/>
            <w:vAlign w:val="center"/>
            <w:shd w:val="clear" w:color="auto" w:fill="F2F2F2"/>
          </w:tcPr>
          <w:p>
            <w:pPr>
              <w:jc w:val="left"/>
            </w:pPr>
            <w:r/>
            <w:r>
              <w:rPr>
                <w:rFonts w:ascii="Calibri" w:hAnsi="Calibri" w:cs="Calibri"/>
                <w:b/>
                <w:sz w:val="20"/>
              </w:rPr>
              <w:t>Pixel pairs evaluated</w:t>
            </w:r>
          </w:p>
        </w:tc>
        <w:tc>
          <w:tcPr>
            <w:tcW w:type="dxa" w:w="6803"/>
            <w:vAlign w:val="center"/>
          </w:tcPr>
          <w:p>
            <w:pPr>
              <w:jc w:val="left"/>
            </w:pPr>
            <w:r/>
            <w:r>
              <w:rPr>
                <w:rFonts w:ascii="Calibri" w:hAnsi="Calibri" w:cs="Calibri"/>
                <w:b w:val="0"/>
                <w:sz w:val="20"/>
              </w:rPr>
              <w:t>2068</w:t>
            </w:r>
          </w:p>
        </w:tc>
      </w:tr>
      <w:tr>
        <w:tc>
          <w:tcPr>
            <w:tcW w:type="dxa" w:w="2551"/>
            <w:vAlign w:val="center"/>
            <w:shd w:val="clear" w:color="auto" w:fill="F2F2F2"/>
          </w:tcPr>
          <w:p>
            <w:pPr>
              <w:jc w:val="left"/>
            </w:pPr>
            <w:r/>
            <w:r>
              <w:rPr>
                <w:rFonts w:ascii="Calibri" w:hAnsi="Calibri" w:cs="Calibri"/>
                <w:b/>
                <w:sz w:val="20"/>
              </w:rPr>
              <w:t>Inference resolution</w:t>
            </w:r>
          </w:p>
        </w:tc>
        <w:tc>
          <w:tcPr>
            <w:tcW w:type="dxa" w:w="6803"/>
            <w:vAlign w:val="center"/>
          </w:tcPr>
          <w:p>
            <w:pPr>
              <w:jc w:val="left"/>
            </w:pPr>
            <w:r/>
            <w:r>
              <w:rPr>
                <w:rFonts w:ascii="Calibri" w:hAnsi="Calibri" w:cs="Calibri"/>
                <w:b w:val="0"/>
                <w:sz w:val="20"/>
              </w:rPr>
              <w:t>518 × 518</w:t>
            </w:r>
          </w:p>
        </w:tc>
      </w:tr>
      <w:tr>
        <w:tc>
          <w:tcPr>
            <w:tcW w:type="dxa" w:w="2551"/>
            <w:vAlign w:val="center"/>
            <w:shd w:val="clear" w:color="auto" w:fill="F2F2F2"/>
          </w:tcPr>
          <w:p>
            <w:pPr>
              <w:jc w:val="left"/>
            </w:pPr>
            <w:r/>
            <w:r>
              <w:rPr>
                <w:rFonts w:ascii="Calibri" w:hAnsi="Calibri" w:cs="Calibri"/>
                <w:b/>
                <w:sz w:val="20"/>
              </w:rPr>
              <w:t>Decision rule</w:t>
            </w:r>
          </w:p>
        </w:tc>
        <w:tc>
          <w:tcPr>
            <w:tcW w:type="dxa" w:w="6803"/>
            <w:vAlign w:val="center"/>
          </w:tcPr>
          <w:p>
            <w:pPr>
              <w:jc w:val="left"/>
            </w:pPr>
            <w:r/>
            <w:r>
              <w:rPr>
                <w:rFonts w:ascii="Calibri" w:hAnsi="Calibri" w:cs="Calibri"/>
                <w:b w:val="0"/>
                <w:sz w:val="20"/>
              </w:rPr>
              <w:t>argmax of predicted inverse depth</w:t>
            </w:r>
          </w:p>
        </w:tc>
      </w:tr>
    </w:tbl>
    <w:p>
      <w:pPr>
        <w:spacing w:before="280" w:after="80"/>
      </w:pPr>
      <w:r>
        <w:rPr>
          <w:rFonts w:ascii="Calibri" w:hAnsi="Calibri" w:cs="Calibri"/>
          <w:b/>
          <w:color w:val="1F3864"/>
          <w:sz w:val="36"/>
        </w:rPr>
        <w:t>3. Results</w:t>
      </w:r>
    </w:p>
    <w:p>
      <w:r>
        <w:rPr>
          <w:rFonts w:ascii="Calibri" w:hAnsi="Calibri" w:cs="Calibri"/>
          <w:b w:val="0"/>
          <w:sz w:val="22"/>
        </w:rPr>
        <w:t>Per-scene accuracy (%) for each of the three released student encoders, side by side with the numbers reported in Table 14 (Section C.1) of the paper. Δ columns show our value minus the paper's. Cells colored green are within ±0.5%, red are off by 1% or more.</w:t>
      </w:r>
    </w:p>
    <w:p>
      <w:pPr>
        <w:spacing w:before="200" w:after="80"/>
      </w:pPr>
      <w:r>
        <w:rPr>
          <w:rFonts w:ascii="Calibri" w:hAnsi="Calibri" w:cs="Calibri"/>
          <w:b/>
          <w:color w:val="2E75B6"/>
          <w:sz w:val="28"/>
        </w:rPr>
        <w:t>ViT-S  (25M parameters)</w:t>
      </w:r>
    </w:p>
    <w:tbl>
      <w:tblPr>
        <w:tblStyle w:val="LightGrid"/>
        <w:tblW w:type="auto" w:w="0"/>
        <w:jc w:val="center"/>
        <w:tblLook w:firstColumn="1" w:firstRow="1" w:lastColumn="0" w:lastRow="0" w:noHBand="0" w:noVBand="1" w:val="04A0"/>
      </w:tblPr>
      <w:tblGrid>
        <w:gridCol w:w="2436"/>
        <w:gridCol w:w="2436"/>
        <w:gridCol w:w="2436"/>
        <w:gridCol w:w="2436"/>
      </w:tblGrid>
      <w:tr>
        <w:tc>
          <w:tcPr>
            <w:tcW w:type="dxa" w:w="3685"/>
            <w:vAlign w:val="center"/>
            <w:shd w:val="clear" w:color="auto" w:fill="D5E8F0"/>
          </w:tcPr>
          <w:p>
            <w:pPr>
              <w:jc w:val="center"/>
            </w:pPr>
            <w:r/>
            <w:r>
              <w:rPr>
                <w:rFonts w:ascii="Calibri" w:hAnsi="Calibri" w:cs="Calibri"/>
                <w:b/>
                <w:sz w:val="20"/>
              </w:rPr>
              <w:t>Scene</w:t>
            </w:r>
          </w:p>
        </w:tc>
        <w:tc>
          <w:tcPr>
            <w:tcW w:type="dxa" w:w="1701"/>
            <w:vAlign w:val="center"/>
            <w:shd w:val="clear" w:color="auto" w:fill="D5E8F0"/>
          </w:tcPr>
          <w:p>
            <w:pPr>
              <w:jc w:val="center"/>
            </w:pPr>
            <w:r/>
            <w:r>
              <w:rPr>
                <w:rFonts w:ascii="Calibri" w:hAnsi="Calibri" w:cs="Calibri"/>
                <w:b/>
                <w:sz w:val="20"/>
              </w:rPr>
              <w:t>Ours (%)</w:t>
            </w:r>
          </w:p>
        </w:tc>
        <w:tc>
          <w:tcPr>
            <w:tcW w:type="dxa" w:w="1701"/>
            <w:vAlign w:val="center"/>
            <w:shd w:val="clear" w:color="auto" w:fill="D5E8F0"/>
          </w:tcPr>
          <w:p>
            <w:pPr>
              <w:jc w:val="center"/>
            </w:pPr>
            <w:r/>
            <w:r>
              <w:rPr>
                <w:rFonts w:ascii="Calibri" w:hAnsi="Calibri" w:cs="Calibri"/>
                <w:b/>
                <w:sz w:val="20"/>
              </w:rPr>
              <w:t>Paper (%)</w:t>
            </w:r>
          </w:p>
        </w:tc>
        <w:tc>
          <w:tcPr>
            <w:tcW w:type="dxa" w:w="1701"/>
            <w:vAlign w:val="center"/>
            <w:shd w:val="clear" w:color="auto" w:fill="D5E8F0"/>
          </w:tcPr>
          <w:p>
            <w:pPr>
              <w:jc w:val="center"/>
            </w:pPr>
            <w:r/>
            <w:r>
              <w:rPr>
                <w:rFonts w:ascii="Calibri" w:hAnsi="Calibri" w:cs="Calibri"/>
                <w:b/>
                <w:sz w:val="20"/>
              </w:rPr>
              <w:t>Δ (pp)</w:t>
            </w:r>
          </w:p>
        </w:tc>
      </w:tr>
      <w:tr>
        <w:tc>
          <w:tcPr>
            <w:tcW w:type="dxa" w:w="3685"/>
            <w:vAlign w:val="center"/>
          </w:tcPr>
          <w:p>
            <w:pPr>
              <w:jc w:val="left"/>
            </w:pPr>
            <w:r/>
            <w:r>
              <w:rPr>
                <w:rFonts w:ascii="Calibri" w:hAnsi="Calibri" w:cs="Calibri"/>
                <w:b w:val="0"/>
                <w:sz w:val="20"/>
              </w:rPr>
              <w:t>Indoor</w:t>
            </w:r>
          </w:p>
        </w:tc>
        <w:tc>
          <w:tcPr>
            <w:tcW w:type="dxa" w:w="1701"/>
            <w:vAlign w:val="center"/>
          </w:tcPr>
          <w:p>
            <w:pPr>
              <w:jc w:val="center"/>
            </w:pPr>
            <w:r/>
            <w:r>
              <w:rPr>
                <w:rFonts w:ascii="Calibri" w:hAnsi="Calibri" w:cs="Calibri"/>
                <w:b w:val="0"/>
                <w:sz w:val="20"/>
              </w:rPr>
              <w:t>92.62</w:t>
            </w:r>
          </w:p>
        </w:tc>
        <w:tc>
          <w:tcPr>
            <w:tcW w:type="dxa" w:w="1701"/>
            <w:vAlign w:val="center"/>
          </w:tcPr>
          <w:p>
            <w:pPr>
              <w:jc w:val="center"/>
            </w:pPr>
            <w:r/>
            <w:r>
              <w:rPr>
                <w:rFonts w:ascii="Calibri" w:hAnsi="Calibri" w:cs="Calibri"/>
                <w:b w:val="0"/>
                <w:sz w:val="20"/>
              </w:rPr>
              <w:t>92.90</w:t>
            </w:r>
          </w:p>
        </w:tc>
        <w:tc>
          <w:tcPr>
            <w:tcW w:type="dxa" w:w="1701"/>
            <w:vAlign w:val="center"/>
          </w:tcPr>
          <w:p>
            <w:pPr>
              <w:jc w:val="center"/>
            </w:pPr>
            <w:r/>
            <w:r>
              <w:rPr>
                <w:rFonts w:ascii="Calibri" w:hAnsi="Calibri" w:cs="Calibri"/>
                <w:b w:val="0"/>
                <w:color w:val="108010"/>
                <w:sz w:val="20"/>
              </w:rPr>
              <w:t>−0.28</w:t>
            </w:r>
          </w:p>
        </w:tc>
      </w:tr>
      <w:tr>
        <w:tc>
          <w:tcPr>
            <w:tcW w:type="dxa" w:w="3685"/>
            <w:vAlign w:val="center"/>
          </w:tcPr>
          <w:p>
            <w:pPr>
              <w:jc w:val="left"/>
            </w:pPr>
            <w:r/>
            <w:r>
              <w:rPr>
                <w:rFonts w:ascii="Calibri" w:hAnsi="Calibri" w:cs="Calibri"/>
                <w:b w:val="0"/>
                <w:sz w:val="20"/>
              </w:rPr>
              <w:t>Outdoor</w:t>
            </w:r>
          </w:p>
        </w:tc>
        <w:tc>
          <w:tcPr>
            <w:tcW w:type="dxa" w:w="1701"/>
            <w:vAlign w:val="center"/>
          </w:tcPr>
          <w:p>
            <w:pPr>
              <w:jc w:val="center"/>
            </w:pPr>
            <w:r/>
            <w:r>
              <w:rPr>
                <w:rFonts w:ascii="Calibri" w:hAnsi="Calibri" w:cs="Calibri"/>
                <w:b w:val="0"/>
                <w:sz w:val="20"/>
              </w:rPr>
              <w:t>93.02</w:t>
            </w:r>
          </w:p>
        </w:tc>
        <w:tc>
          <w:tcPr>
            <w:tcW w:type="dxa" w:w="1701"/>
            <w:vAlign w:val="center"/>
          </w:tcPr>
          <w:p>
            <w:pPr>
              <w:jc w:val="center"/>
            </w:pPr>
            <w:r/>
            <w:r>
              <w:rPr>
                <w:rFonts w:ascii="Calibri" w:hAnsi="Calibri" w:cs="Calibri"/>
                <w:b w:val="0"/>
                <w:sz w:val="20"/>
              </w:rPr>
              <w:t>93.00</w:t>
            </w:r>
          </w:p>
        </w:tc>
        <w:tc>
          <w:tcPr>
            <w:tcW w:type="dxa" w:w="1701"/>
            <w:vAlign w:val="center"/>
          </w:tcPr>
          <w:p>
            <w:pPr>
              <w:jc w:val="center"/>
            </w:pPr>
            <w:r/>
            <w:r>
              <w:rPr>
                <w:rFonts w:ascii="Calibri" w:hAnsi="Calibri" w:cs="Calibri"/>
                <w:b w:val="0"/>
                <w:color w:val="108010"/>
                <w:sz w:val="20"/>
              </w:rPr>
              <w:t>+0.02</w:t>
            </w:r>
          </w:p>
        </w:tc>
      </w:tr>
      <w:tr>
        <w:tc>
          <w:tcPr>
            <w:tcW w:type="dxa" w:w="3685"/>
            <w:vAlign w:val="center"/>
          </w:tcPr>
          <w:p>
            <w:pPr>
              <w:jc w:val="left"/>
            </w:pPr>
            <w:r/>
            <w:r>
              <w:rPr>
                <w:rFonts w:ascii="Calibri" w:hAnsi="Calibri" w:cs="Calibri"/>
                <w:b w:val="0"/>
                <w:sz w:val="20"/>
              </w:rPr>
              <w:t>Non-real</w:t>
            </w:r>
          </w:p>
        </w:tc>
        <w:tc>
          <w:tcPr>
            <w:tcW w:type="dxa" w:w="1701"/>
            <w:vAlign w:val="center"/>
          </w:tcPr>
          <w:p>
            <w:pPr>
              <w:jc w:val="center"/>
            </w:pPr>
            <w:r/>
            <w:r>
              <w:rPr>
                <w:rFonts w:ascii="Calibri" w:hAnsi="Calibri" w:cs="Calibri"/>
                <w:b w:val="0"/>
                <w:sz w:val="20"/>
              </w:rPr>
              <w:t>98.35</w:t>
            </w:r>
          </w:p>
        </w:tc>
        <w:tc>
          <w:tcPr>
            <w:tcW w:type="dxa" w:w="1701"/>
            <w:vAlign w:val="center"/>
          </w:tcPr>
          <w:p>
            <w:pPr>
              <w:jc w:val="center"/>
            </w:pPr>
            <w:r/>
            <w:r>
              <w:rPr>
                <w:rFonts w:ascii="Calibri" w:hAnsi="Calibri" w:cs="Calibri"/>
                <w:b w:val="0"/>
                <w:sz w:val="20"/>
              </w:rPr>
              <w:t>98.40</w:t>
            </w:r>
          </w:p>
        </w:tc>
        <w:tc>
          <w:tcPr>
            <w:tcW w:type="dxa" w:w="1701"/>
            <w:vAlign w:val="center"/>
          </w:tcPr>
          <w:p>
            <w:pPr>
              <w:jc w:val="center"/>
            </w:pPr>
            <w:r/>
            <w:r>
              <w:rPr>
                <w:rFonts w:ascii="Calibri" w:hAnsi="Calibri" w:cs="Calibri"/>
                <w:b w:val="0"/>
                <w:color w:val="108010"/>
                <w:sz w:val="20"/>
              </w:rPr>
              <w:t>−0.05</w:t>
            </w:r>
          </w:p>
        </w:tc>
      </w:tr>
      <w:tr>
        <w:tc>
          <w:tcPr>
            <w:tcW w:type="dxa" w:w="3685"/>
            <w:vAlign w:val="center"/>
          </w:tcPr>
          <w:p>
            <w:pPr>
              <w:jc w:val="left"/>
            </w:pPr>
            <w:r/>
            <w:r>
              <w:rPr>
                <w:rFonts w:ascii="Calibri" w:hAnsi="Calibri" w:cs="Calibri"/>
                <w:b w:val="0"/>
                <w:sz w:val="20"/>
              </w:rPr>
              <w:t>Transparent / Reflective</w:t>
            </w:r>
          </w:p>
        </w:tc>
        <w:tc>
          <w:tcPr>
            <w:tcW w:type="dxa" w:w="1701"/>
            <w:vAlign w:val="center"/>
          </w:tcPr>
          <w:p>
            <w:pPr>
              <w:jc w:val="center"/>
            </w:pPr>
            <w:r/>
            <w:r>
              <w:rPr>
                <w:rFonts w:ascii="Calibri" w:hAnsi="Calibri" w:cs="Calibri"/>
                <w:b w:val="0"/>
                <w:sz w:val="20"/>
              </w:rPr>
              <w:t>94.39</w:t>
            </w:r>
          </w:p>
        </w:tc>
        <w:tc>
          <w:tcPr>
            <w:tcW w:type="dxa" w:w="1701"/>
            <w:vAlign w:val="center"/>
          </w:tcPr>
          <w:p>
            <w:pPr>
              <w:jc w:val="center"/>
            </w:pPr>
            <w:r/>
            <w:r>
              <w:rPr>
                <w:rFonts w:ascii="Calibri" w:hAnsi="Calibri" w:cs="Calibri"/>
                <w:b w:val="0"/>
                <w:sz w:val="20"/>
              </w:rPr>
              <w:t>94.40</w:t>
            </w:r>
          </w:p>
        </w:tc>
        <w:tc>
          <w:tcPr>
            <w:tcW w:type="dxa" w:w="1701"/>
            <w:vAlign w:val="center"/>
          </w:tcPr>
          <w:p>
            <w:pPr>
              <w:jc w:val="center"/>
            </w:pPr>
            <w:r/>
            <w:r>
              <w:rPr>
                <w:rFonts w:ascii="Calibri" w:hAnsi="Calibri" w:cs="Calibri"/>
                <w:b w:val="0"/>
                <w:color w:val="108010"/>
                <w:sz w:val="20"/>
              </w:rPr>
              <w:t>−0.01</w:t>
            </w:r>
          </w:p>
        </w:tc>
      </w:tr>
      <w:tr>
        <w:tc>
          <w:tcPr>
            <w:tcW w:type="dxa" w:w="3685"/>
            <w:vAlign w:val="center"/>
          </w:tcPr>
          <w:p>
            <w:pPr>
              <w:jc w:val="left"/>
            </w:pPr>
            <w:r/>
            <w:r>
              <w:rPr>
                <w:rFonts w:ascii="Calibri" w:hAnsi="Calibri" w:cs="Calibri"/>
                <w:b w:val="0"/>
                <w:sz w:val="20"/>
              </w:rPr>
              <w:t>Adverse style</w:t>
            </w:r>
          </w:p>
        </w:tc>
        <w:tc>
          <w:tcPr>
            <w:tcW w:type="dxa" w:w="1701"/>
            <w:vAlign w:val="center"/>
          </w:tcPr>
          <w:p>
            <w:pPr>
              <w:jc w:val="center"/>
            </w:pPr>
            <w:r/>
            <w:r>
              <w:rPr>
                <w:rFonts w:ascii="Calibri" w:hAnsi="Calibri" w:cs="Calibri"/>
                <w:b w:val="0"/>
                <w:sz w:val="20"/>
              </w:rPr>
              <w:t>95.12</w:t>
            </w:r>
          </w:p>
        </w:tc>
        <w:tc>
          <w:tcPr>
            <w:tcW w:type="dxa" w:w="1701"/>
            <w:vAlign w:val="center"/>
          </w:tcPr>
          <w:p>
            <w:pPr>
              <w:jc w:val="center"/>
            </w:pPr>
            <w:r/>
            <w:r>
              <w:rPr>
                <w:rFonts w:ascii="Calibri" w:hAnsi="Calibri" w:cs="Calibri"/>
                <w:b w:val="0"/>
                <w:sz w:val="20"/>
              </w:rPr>
              <w:t>95.70</w:t>
            </w:r>
          </w:p>
        </w:tc>
        <w:tc>
          <w:tcPr>
            <w:tcW w:type="dxa" w:w="1701"/>
            <w:vAlign w:val="center"/>
          </w:tcPr>
          <w:p>
            <w:pPr>
              <w:jc w:val="center"/>
            </w:pPr>
            <w:r/>
            <w:r>
              <w:rPr>
                <w:rFonts w:ascii="Calibri" w:hAnsi="Calibri" w:cs="Calibri"/>
                <w:b w:val="0"/>
                <w:sz w:val="20"/>
              </w:rPr>
              <w:t>−0.58</w:t>
            </w:r>
          </w:p>
        </w:tc>
      </w:tr>
      <w:tr>
        <w:tc>
          <w:tcPr>
            <w:tcW w:type="dxa" w:w="3685"/>
            <w:vAlign w:val="center"/>
          </w:tcPr>
          <w:p>
            <w:pPr>
              <w:jc w:val="left"/>
            </w:pPr>
            <w:r/>
            <w:r>
              <w:rPr>
                <w:rFonts w:ascii="Calibri" w:hAnsi="Calibri" w:cs="Calibri"/>
                <w:b w:val="0"/>
                <w:sz w:val="20"/>
              </w:rPr>
              <w:t>Aerial</w:t>
            </w:r>
          </w:p>
        </w:tc>
        <w:tc>
          <w:tcPr>
            <w:tcW w:type="dxa" w:w="1701"/>
            <w:vAlign w:val="center"/>
          </w:tcPr>
          <w:p>
            <w:pPr>
              <w:jc w:val="center"/>
            </w:pPr>
            <w:r/>
            <w:r>
              <w:rPr>
                <w:rFonts w:ascii="Calibri" w:hAnsi="Calibri" w:cs="Calibri"/>
                <w:b w:val="0"/>
                <w:sz w:val="20"/>
              </w:rPr>
              <w:t>96.39</w:t>
            </w:r>
          </w:p>
        </w:tc>
        <w:tc>
          <w:tcPr>
            <w:tcW w:type="dxa" w:w="1701"/>
            <w:vAlign w:val="center"/>
          </w:tcPr>
          <w:p>
            <w:pPr>
              <w:jc w:val="center"/>
            </w:pPr>
            <w:r/>
            <w:r>
              <w:rPr>
                <w:rFonts w:ascii="Calibri" w:hAnsi="Calibri" w:cs="Calibri"/>
                <w:b w:val="0"/>
                <w:sz w:val="20"/>
              </w:rPr>
              <w:t>96.40</w:t>
            </w:r>
          </w:p>
        </w:tc>
        <w:tc>
          <w:tcPr>
            <w:tcW w:type="dxa" w:w="1701"/>
            <w:vAlign w:val="center"/>
          </w:tcPr>
          <w:p>
            <w:pPr>
              <w:jc w:val="center"/>
            </w:pPr>
            <w:r/>
            <w:r>
              <w:rPr>
                <w:rFonts w:ascii="Calibri" w:hAnsi="Calibri" w:cs="Calibri"/>
                <w:b w:val="0"/>
                <w:color w:val="108010"/>
                <w:sz w:val="20"/>
              </w:rPr>
              <w:t>−0.01</w:t>
            </w:r>
          </w:p>
        </w:tc>
      </w:tr>
      <w:tr>
        <w:tc>
          <w:tcPr>
            <w:tcW w:type="dxa" w:w="3685"/>
            <w:vAlign w:val="center"/>
          </w:tcPr>
          <w:p>
            <w:pPr>
              <w:jc w:val="left"/>
            </w:pPr>
            <w:r/>
            <w:r>
              <w:rPr>
                <w:rFonts w:ascii="Calibri" w:hAnsi="Calibri" w:cs="Calibri"/>
                <w:b w:val="0"/>
                <w:sz w:val="20"/>
              </w:rPr>
              <w:t>Underwater</w:t>
            </w:r>
          </w:p>
        </w:tc>
        <w:tc>
          <w:tcPr>
            <w:tcW w:type="dxa" w:w="1701"/>
            <w:vAlign w:val="center"/>
          </w:tcPr>
          <w:p>
            <w:pPr>
              <w:jc w:val="center"/>
            </w:pPr>
            <w:r/>
            <w:r>
              <w:rPr>
                <w:rFonts w:ascii="Calibri" w:hAnsi="Calibri" w:cs="Calibri"/>
                <w:b w:val="0"/>
                <w:sz w:val="20"/>
              </w:rPr>
              <w:t>99.15</w:t>
            </w:r>
          </w:p>
        </w:tc>
        <w:tc>
          <w:tcPr>
            <w:tcW w:type="dxa" w:w="1701"/>
            <w:vAlign w:val="center"/>
          </w:tcPr>
          <w:p>
            <w:pPr>
              <w:jc w:val="center"/>
            </w:pPr>
            <w:r/>
            <w:r>
              <w:rPr>
                <w:rFonts w:ascii="Calibri" w:hAnsi="Calibri" w:cs="Calibri"/>
                <w:b w:val="0"/>
                <w:sz w:val="20"/>
              </w:rPr>
              <w:t>99.20</w:t>
            </w:r>
          </w:p>
        </w:tc>
        <w:tc>
          <w:tcPr>
            <w:tcW w:type="dxa" w:w="1701"/>
            <w:vAlign w:val="center"/>
          </w:tcPr>
          <w:p>
            <w:pPr>
              <w:jc w:val="center"/>
            </w:pPr>
            <w:r/>
            <w:r>
              <w:rPr>
                <w:rFonts w:ascii="Calibri" w:hAnsi="Calibri" w:cs="Calibri"/>
                <w:b w:val="0"/>
                <w:color w:val="108010"/>
                <w:sz w:val="20"/>
              </w:rPr>
              <w:t>−0.05</w:t>
            </w:r>
          </w:p>
        </w:tc>
      </w:tr>
      <w:tr>
        <w:tc>
          <w:tcPr>
            <w:tcW w:type="dxa" w:w="3685"/>
            <w:vAlign w:val="center"/>
          </w:tcPr>
          <w:p>
            <w:pPr>
              <w:jc w:val="left"/>
            </w:pPr>
            <w:r/>
            <w:r>
              <w:rPr>
                <w:rFonts w:ascii="Calibri" w:hAnsi="Calibri" w:cs="Calibri"/>
                <w:b w:val="0"/>
                <w:sz w:val="20"/>
              </w:rPr>
              <w:t>Object</w:t>
            </w:r>
          </w:p>
        </w:tc>
        <w:tc>
          <w:tcPr>
            <w:tcW w:type="dxa" w:w="1701"/>
            <w:vAlign w:val="center"/>
          </w:tcPr>
          <w:p>
            <w:pPr>
              <w:jc w:val="center"/>
            </w:pPr>
            <w:r/>
            <w:r>
              <w:rPr>
                <w:rFonts w:ascii="Calibri" w:hAnsi="Calibri" w:cs="Calibri"/>
                <w:b w:val="0"/>
                <w:sz w:val="20"/>
              </w:rPr>
              <w:t>97.30</w:t>
            </w:r>
          </w:p>
        </w:tc>
        <w:tc>
          <w:tcPr>
            <w:tcW w:type="dxa" w:w="1701"/>
            <w:vAlign w:val="center"/>
          </w:tcPr>
          <w:p>
            <w:pPr>
              <w:jc w:val="center"/>
            </w:pPr>
            <w:r/>
            <w:r>
              <w:rPr>
                <w:rFonts w:ascii="Calibri" w:hAnsi="Calibri" w:cs="Calibri"/>
                <w:b w:val="0"/>
                <w:sz w:val="20"/>
              </w:rPr>
              <w:t>96.60</w:t>
            </w:r>
          </w:p>
        </w:tc>
        <w:tc>
          <w:tcPr>
            <w:tcW w:type="dxa" w:w="1701"/>
            <w:vAlign w:val="center"/>
          </w:tcPr>
          <w:p>
            <w:pPr>
              <w:jc w:val="center"/>
            </w:pPr>
            <w:r/>
            <w:r>
              <w:rPr>
                <w:rFonts w:ascii="Calibri" w:hAnsi="Calibri" w:cs="Calibri"/>
                <w:b w:val="0"/>
                <w:sz w:val="20"/>
              </w:rPr>
              <w:t>+0.70</w:t>
            </w:r>
          </w:p>
        </w:tc>
      </w:tr>
      <w:tr>
        <w:tc>
          <w:tcPr>
            <w:tcW w:type="dxa" w:w="3685"/>
            <w:vAlign w:val="center"/>
            <w:shd w:val="clear" w:color="auto" w:fill="F0F0F0"/>
          </w:tcPr>
          <w:p>
            <w:pPr>
              <w:jc w:val="center"/>
            </w:pPr>
            <w:r/>
            <w:r>
              <w:rPr>
                <w:rFonts w:ascii="Calibri" w:hAnsi="Calibri" w:cs="Calibri"/>
                <w:b/>
                <w:sz w:val="20"/>
              </w:rPr>
              <w:t>Overall</w:t>
            </w:r>
          </w:p>
        </w:tc>
        <w:tc>
          <w:tcPr>
            <w:tcW w:type="dxa" w:w="1701"/>
            <w:vAlign w:val="center"/>
            <w:shd w:val="clear" w:color="auto" w:fill="F0F0F0"/>
          </w:tcPr>
          <w:p>
            <w:pPr>
              <w:jc w:val="center"/>
            </w:pPr>
            <w:r/>
            <w:r>
              <w:rPr>
                <w:rFonts w:ascii="Calibri" w:hAnsi="Calibri" w:cs="Calibri"/>
                <w:b/>
                <w:sz w:val="20"/>
              </w:rPr>
              <w:t>95.16</w:t>
            </w:r>
          </w:p>
        </w:tc>
        <w:tc>
          <w:tcPr>
            <w:tcW w:type="dxa" w:w="1701"/>
            <w:vAlign w:val="center"/>
            <w:shd w:val="clear" w:color="auto" w:fill="F0F0F0"/>
          </w:tcPr>
          <w:p>
            <w:pPr>
              <w:jc w:val="center"/>
            </w:pPr>
            <w:r/>
            <w:r>
              <w:rPr>
                <w:rFonts w:ascii="Calibri" w:hAnsi="Calibri" w:cs="Calibri"/>
                <w:b/>
                <w:sz w:val="20"/>
              </w:rPr>
              <w:t>95.30</w:t>
            </w:r>
          </w:p>
        </w:tc>
        <w:tc>
          <w:tcPr>
            <w:tcW w:type="dxa" w:w="1701"/>
            <w:vAlign w:val="center"/>
            <w:shd w:val="clear" w:color="auto" w:fill="F0F0F0"/>
          </w:tcPr>
          <w:p>
            <w:pPr>
              <w:jc w:val="center"/>
            </w:pPr>
            <w:r/>
            <w:r>
              <w:rPr>
                <w:rFonts w:ascii="Calibri" w:hAnsi="Calibri" w:cs="Calibri"/>
                <w:b/>
                <w:color w:val="108010"/>
                <w:sz w:val="20"/>
              </w:rPr>
              <w:t>−0.14</w:t>
            </w:r>
          </w:p>
        </w:tc>
      </w:tr>
    </w:tbl>
    <w:p>
      <w:pPr>
        <w:spacing w:before="200" w:after="80"/>
      </w:pPr>
      <w:r>
        <w:rPr>
          <w:rFonts w:ascii="Calibri" w:hAnsi="Calibri" w:cs="Calibri"/>
          <w:b/>
          <w:color w:val="2E75B6"/>
          <w:sz w:val="28"/>
        </w:rPr>
        <w:t>ViT-B  (98M parameters)</w:t>
      </w:r>
    </w:p>
    <w:tbl>
      <w:tblPr>
        <w:tblStyle w:val="LightGrid"/>
        <w:tblW w:type="auto" w:w="0"/>
        <w:jc w:val="center"/>
        <w:tblLook w:firstColumn="1" w:firstRow="1" w:lastColumn="0" w:lastRow="0" w:noHBand="0" w:noVBand="1" w:val="04A0"/>
      </w:tblPr>
      <w:tblGrid>
        <w:gridCol w:w="2436"/>
        <w:gridCol w:w="2436"/>
        <w:gridCol w:w="2436"/>
        <w:gridCol w:w="2436"/>
      </w:tblGrid>
      <w:tr>
        <w:tc>
          <w:tcPr>
            <w:tcW w:type="dxa" w:w="3685"/>
            <w:vAlign w:val="center"/>
            <w:shd w:val="clear" w:color="auto" w:fill="D5E8F0"/>
          </w:tcPr>
          <w:p>
            <w:pPr>
              <w:jc w:val="center"/>
            </w:pPr>
            <w:r/>
            <w:r>
              <w:rPr>
                <w:rFonts w:ascii="Calibri" w:hAnsi="Calibri" w:cs="Calibri"/>
                <w:b/>
                <w:sz w:val="20"/>
              </w:rPr>
              <w:t>Scene</w:t>
            </w:r>
          </w:p>
        </w:tc>
        <w:tc>
          <w:tcPr>
            <w:tcW w:type="dxa" w:w="1701"/>
            <w:vAlign w:val="center"/>
            <w:shd w:val="clear" w:color="auto" w:fill="D5E8F0"/>
          </w:tcPr>
          <w:p>
            <w:pPr>
              <w:jc w:val="center"/>
            </w:pPr>
            <w:r/>
            <w:r>
              <w:rPr>
                <w:rFonts w:ascii="Calibri" w:hAnsi="Calibri" w:cs="Calibri"/>
                <w:b/>
                <w:sz w:val="20"/>
              </w:rPr>
              <w:t>Ours (%)</w:t>
            </w:r>
          </w:p>
        </w:tc>
        <w:tc>
          <w:tcPr>
            <w:tcW w:type="dxa" w:w="1701"/>
            <w:vAlign w:val="center"/>
            <w:shd w:val="clear" w:color="auto" w:fill="D5E8F0"/>
          </w:tcPr>
          <w:p>
            <w:pPr>
              <w:jc w:val="center"/>
            </w:pPr>
            <w:r/>
            <w:r>
              <w:rPr>
                <w:rFonts w:ascii="Calibri" w:hAnsi="Calibri" w:cs="Calibri"/>
                <w:b/>
                <w:sz w:val="20"/>
              </w:rPr>
              <w:t>Paper (%)</w:t>
            </w:r>
          </w:p>
        </w:tc>
        <w:tc>
          <w:tcPr>
            <w:tcW w:type="dxa" w:w="1701"/>
            <w:vAlign w:val="center"/>
            <w:shd w:val="clear" w:color="auto" w:fill="D5E8F0"/>
          </w:tcPr>
          <w:p>
            <w:pPr>
              <w:jc w:val="center"/>
            </w:pPr>
            <w:r/>
            <w:r>
              <w:rPr>
                <w:rFonts w:ascii="Calibri" w:hAnsi="Calibri" w:cs="Calibri"/>
                <w:b/>
                <w:sz w:val="20"/>
              </w:rPr>
              <w:t>Δ (pp)</w:t>
            </w:r>
          </w:p>
        </w:tc>
      </w:tr>
      <w:tr>
        <w:tc>
          <w:tcPr>
            <w:tcW w:type="dxa" w:w="3685"/>
            <w:vAlign w:val="center"/>
          </w:tcPr>
          <w:p>
            <w:pPr>
              <w:jc w:val="left"/>
            </w:pPr>
            <w:r/>
            <w:r>
              <w:rPr>
                <w:rFonts w:ascii="Calibri" w:hAnsi="Calibri" w:cs="Calibri"/>
                <w:b w:val="0"/>
                <w:sz w:val="20"/>
              </w:rPr>
              <w:t>Indoor</w:t>
            </w:r>
          </w:p>
        </w:tc>
        <w:tc>
          <w:tcPr>
            <w:tcW w:type="dxa" w:w="1701"/>
            <w:vAlign w:val="center"/>
          </w:tcPr>
          <w:p>
            <w:pPr>
              <w:jc w:val="center"/>
            </w:pPr>
            <w:r/>
            <w:r>
              <w:rPr>
                <w:rFonts w:ascii="Calibri" w:hAnsi="Calibri" w:cs="Calibri"/>
                <w:b w:val="0"/>
                <w:sz w:val="20"/>
              </w:rPr>
              <w:t>96.43</w:t>
            </w:r>
          </w:p>
        </w:tc>
        <w:tc>
          <w:tcPr>
            <w:tcW w:type="dxa" w:w="1701"/>
            <w:vAlign w:val="center"/>
          </w:tcPr>
          <w:p>
            <w:pPr>
              <w:jc w:val="center"/>
            </w:pPr>
            <w:r/>
            <w:r>
              <w:rPr>
                <w:rFonts w:ascii="Calibri" w:hAnsi="Calibri" w:cs="Calibri"/>
                <w:b w:val="0"/>
                <w:sz w:val="20"/>
              </w:rPr>
              <w:t>96.20</w:t>
            </w:r>
          </w:p>
        </w:tc>
        <w:tc>
          <w:tcPr>
            <w:tcW w:type="dxa" w:w="1701"/>
            <w:vAlign w:val="center"/>
          </w:tcPr>
          <w:p>
            <w:pPr>
              <w:jc w:val="center"/>
            </w:pPr>
            <w:r/>
            <w:r>
              <w:rPr>
                <w:rFonts w:ascii="Calibri" w:hAnsi="Calibri" w:cs="Calibri"/>
                <w:b w:val="0"/>
                <w:color w:val="108010"/>
                <w:sz w:val="20"/>
              </w:rPr>
              <w:t>+0.23</w:t>
            </w:r>
          </w:p>
        </w:tc>
      </w:tr>
      <w:tr>
        <w:tc>
          <w:tcPr>
            <w:tcW w:type="dxa" w:w="3685"/>
            <w:vAlign w:val="center"/>
          </w:tcPr>
          <w:p>
            <w:pPr>
              <w:jc w:val="left"/>
            </w:pPr>
            <w:r/>
            <w:r>
              <w:rPr>
                <w:rFonts w:ascii="Calibri" w:hAnsi="Calibri" w:cs="Calibri"/>
                <w:b w:val="0"/>
                <w:sz w:val="20"/>
              </w:rPr>
              <w:t>Outdoor</w:t>
            </w:r>
          </w:p>
        </w:tc>
        <w:tc>
          <w:tcPr>
            <w:tcW w:type="dxa" w:w="1701"/>
            <w:vAlign w:val="center"/>
          </w:tcPr>
          <w:p>
            <w:pPr>
              <w:jc w:val="center"/>
            </w:pPr>
            <w:r/>
            <w:r>
              <w:rPr>
                <w:rFonts w:ascii="Calibri" w:hAnsi="Calibri" w:cs="Calibri"/>
                <w:b w:val="0"/>
                <w:sz w:val="20"/>
              </w:rPr>
              <w:t>94.77</w:t>
            </w:r>
          </w:p>
        </w:tc>
        <w:tc>
          <w:tcPr>
            <w:tcW w:type="dxa" w:w="1701"/>
            <w:vAlign w:val="center"/>
          </w:tcPr>
          <w:p>
            <w:pPr>
              <w:jc w:val="center"/>
            </w:pPr>
            <w:r/>
            <w:r>
              <w:rPr>
                <w:rFonts w:ascii="Calibri" w:hAnsi="Calibri" w:cs="Calibri"/>
                <w:b w:val="0"/>
                <w:sz w:val="20"/>
              </w:rPr>
              <w:t>94.80</w:t>
            </w:r>
          </w:p>
        </w:tc>
        <w:tc>
          <w:tcPr>
            <w:tcW w:type="dxa" w:w="1701"/>
            <w:vAlign w:val="center"/>
          </w:tcPr>
          <w:p>
            <w:pPr>
              <w:jc w:val="center"/>
            </w:pPr>
            <w:r/>
            <w:r>
              <w:rPr>
                <w:rFonts w:ascii="Calibri" w:hAnsi="Calibri" w:cs="Calibri"/>
                <w:b w:val="0"/>
                <w:color w:val="108010"/>
                <w:sz w:val="20"/>
              </w:rPr>
              <w:t>−0.03</w:t>
            </w:r>
          </w:p>
        </w:tc>
      </w:tr>
      <w:tr>
        <w:tc>
          <w:tcPr>
            <w:tcW w:type="dxa" w:w="3685"/>
            <w:vAlign w:val="center"/>
          </w:tcPr>
          <w:p>
            <w:pPr>
              <w:jc w:val="left"/>
            </w:pPr>
            <w:r/>
            <w:r>
              <w:rPr>
                <w:rFonts w:ascii="Calibri" w:hAnsi="Calibri" w:cs="Calibri"/>
                <w:b w:val="0"/>
                <w:sz w:val="20"/>
              </w:rPr>
              <w:t>Non-real</w:t>
            </w:r>
          </w:p>
        </w:tc>
        <w:tc>
          <w:tcPr>
            <w:tcW w:type="dxa" w:w="1701"/>
            <w:vAlign w:val="center"/>
          </w:tcPr>
          <w:p>
            <w:pPr>
              <w:jc w:val="center"/>
            </w:pPr>
            <w:r/>
            <w:r>
              <w:rPr>
                <w:rFonts w:ascii="Calibri" w:hAnsi="Calibri" w:cs="Calibri"/>
                <w:b w:val="0"/>
                <w:sz w:val="20"/>
              </w:rPr>
              <w:t>98.68</w:t>
            </w:r>
          </w:p>
        </w:tc>
        <w:tc>
          <w:tcPr>
            <w:tcW w:type="dxa" w:w="1701"/>
            <w:vAlign w:val="center"/>
          </w:tcPr>
          <w:p>
            <w:pPr>
              <w:jc w:val="center"/>
            </w:pPr>
            <w:r/>
            <w:r>
              <w:rPr>
                <w:rFonts w:ascii="Calibri" w:hAnsi="Calibri" w:cs="Calibri"/>
                <w:b w:val="0"/>
                <w:sz w:val="20"/>
              </w:rPr>
              <w:t>98.70</w:t>
            </w:r>
          </w:p>
        </w:tc>
        <w:tc>
          <w:tcPr>
            <w:tcW w:type="dxa" w:w="1701"/>
            <w:vAlign w:val="center"/>
          </w:tcPr>
          <w:p>
            <w:pPr>
              <w:jc w:val="center"/>
            </w:pPr>
            <w:r/>
            <w:r>
              <w:rPr>
                <w:rFonts w:ascii="Calibri" w:hAnsi="Calibri" w:cs="Calibri"/>
                <w:b w:val="0"/>
                <w:color w:val="108010"/>
                <w:sz w:val="20"/>
              </w:rPr>
              <w:t>−0.02</w:t>
            </w:r>
          </w:p>
        </w:tc>
      </w:tr>
      <w:tr>
        <w:tc>
          <w:tcPr>
            <w:tcW w:type="dxa" w:w="3685"/>
            <w:vAlign w:val="center"/>
          </w:tcPr>
          <w:p>
            <w:pPr>
              <w:jc w:val="left"/>
            </w:pPr>
            <w:r/>
            <w:r>
              <w:rPr>
                <w:rFonts w:ascii="Calibri" w:hAnsi="Calibri" w:cs="Calibri"/>
                <w:b w:val="0"/>
                <w:sz w:val="20"/>
              </w:rPr>
              <w:t>Transparent / Reflective</w:t>
            </w:r>
          </w:p>
        </w:tc>
        <w:tc>
          <w:tcPr>
            <w:tcW w:type="dxa" w:w="1701"/>
            <w:vAlign w:val="center"/>
          </w:tcPr>
          <w:p>
            <w:pPr>
              <w:jc w:val="center"/>
            </w:pPr>
            <w:r/>
            <w:r>
              <w:rPr>
                <w:rFonts w:ascii="Calibri" w:hAnsi="Calibri" w:cs="Calibri"/>
                <w:b w:val="0"/>
                <w:sz w:val="20"/>
              </w:rPr>
              <w:t>96.26</w:t>
            </w:r>
          </w:p>
        </w:tc>
        <w:tc>
          <w:tcPr>
            <w:tcW w:type="dxa" w:w="1701"/>
            <w:vAlign w:val="center"/>
          </w:tcPr>
          <w:p>
            <w:pPr>
              <w:jc w:val="center"/>
            </w:pPr>
            <w:r/>
            <w:r>
              <w:rPr>
                <w:rFonts w:ascii="Calibri" w:hAnsi="Calibri" w:cs="Calibri"/>
                <w:b w:val="0"/>
                <w:sz w:val="20"/>
              </w:rPr>
              <w:t>96.30</w:t>
            </w:r>
          </w:p>
        </w:tc>
        <w:tc>
          <w:tcPr>
            <w:tcW w:type="dxa" w:w="1701"/>
            <w:vAlign w:val="center"/>
          </w:tcPr>
          <w:p>
            <w:pPr>
              <w:jc w:val="center"/>
            </w:pPr>
            <w:r/>
            <w:r>
              <w:rPr>
                <w:rFonts w:ascii="Calibri" w:hAnsi="Calibri" w:cs="Calibri"/>
                <w:b w:val="0"/>
                <w:color w:val="108010"/>
                <w:sz w:val="20"/>
              </w:rPr>
              <w:t>−0.04</w:t>
            </w:r>
          </w:p>
        </w:tc>
      </w:tr>
      <w:tr>
        <w:tc>
          <w:tcPr>
            <w:tcW w:type="dxa" w:w="3685"/>
            <w:vAlign w:val="center"/>
          </w:tcPr>
          <w:p>
            <w:pPr>
              <w:jc w:val="left"/>
            </w:pPr>
            <w:r/>
            <w:r>
              <w:rPr>
                <w:rFonts w:ascii="Calibri" w:hAnsi="Calibri" w:cs="Calibri"/>
                <w:b w:val="0"/>
                <w:sz w:val="20"/>
              </w:rPr>
              <w:t>Adverse style</w:t>
            </w:r>
          </w:p>
        </w:tc>
        <w:tc>
          <w:tcPr>
            <w:tcW w:type="dxa" w:w="1701"/>
            <w:vAlign w:val="center"/>
          </w:tcPr>
          <w:p>
            <w:pPr>
              <w:jc w:val="center"/>
            </w:pPr>
            <w:r/>
            <w:r>
              <w:rPr>
                <w:rFonts w:ascii="Calibri" w:hAnsi="Calibri" w:cs="Calibri"/>
                <w:b w:val="0"/>
                <w:sz w:val="20"/>
              </w:rPr>
              <w:t>96.65</w:t>
            </w:r>
          </w:p>
        </w:tc>
        <w:tc>
          <w:tcPr>
            <w:tcW w:type="dxa" w:w="1701"/>
            <w:vAlign w:val="center"/>
          </w:tcPr>
          <w:p>
            <w:pPr>
              <w:jc w:val="center"/>
            </w:pPr>
            <w:r/>
            <w:r>
              <w:rPr>
                <w:rFonts w:ascii="Calibri" w:hAnsi="Calibri" w:cs="Calibri"/>
                <w:b w:val="0"/>
                <w:sz w:val="20"/>
              </w:rPr>
              <w:t>96.70</w:t>
            </w:r>
          </w:p>
        </w:tc>
        <w:tc>
          <w:tcPr>
            <w:tcW w:type="dxa" w:w="1701"/>
            <w:vAlign w:val="center"/>
          </w:tcPr>
          <w:p>
            <w:pPr>
              <w:jc w:val="center"/>
            </w:pPr>
            <w:r/>
            <w:r>
              <w:rPr>
                <w:rFonts w:ascii="Calibri" w:hAnsi="Calibri" w:cs="Calibri"/>
                <w:b w:val="0"/>
                <w:color w:val="108010"/>
                <w:sz w:val="20"/>
              </w:rPr>
              <w:t>−0.05</w:t>
            </w:r>
          </w:p>
        </w:tc>
      </w:tr>
      <w:tr>
        <w:tc>
          <w:tcPr>
            <w:tcW w:type="dxa" w:w="3685"/>
            <w:vAlign w:val="center"/>
          </w:tcPr>
          <w:p>
            <w:pPr>
              <w:jc w:val="left"/>
            </w:pPr>
            <w:r/>
            <w:r>
              <w:rPr>
                <w:rFonts w:ascii="Calibri" w:hAnsi="Calibri" w:cs="Calibri"/>
                <w:b w:val="0"/>
                <w:sz w:val="20"/>
              </w:rPr>
              <w:t>Aerial</w:t>
            </w:r>
          </w:p>
        </w:tc>
        <w:tc>
          <w:tcPr>
            <w:tcW w:type="dxa" w:w="1701"/>
            <w:vAlign w:val="center"/>
          </w:tcPr>
          <w:p>
            <w:pPr>
              <w:jc w:val="center"/>
            </w:pPr>
            <w:r/>
            <w:r>
              <w:rPr>
                <w:rFonts w:ascii="Calibri" w:hAnsi="Calibri" w:cs="Calibri"/>
                <w:b w:val="0"/>
                <w:sz w:val="20"/>
              </w:rPr>
              <w:t>99.48</w:t>
            </w:r>
          </w:p>
        </w:tc>
        <w:tc>
          <w:tcPr>
            <w:tcW w:type="dxa" w:w="1701"/>
            <w:vAlign w:val="center"/>
          </w:tcPr>
          <w:p>
            <w:pPr>
              <w:jc w:val="center"/>
            </w:pPr>
            <w:r/>
            <w:r>
              <w:rPr>
                <w:rFonts w:ascii="Calibri" w:hAnsi="Calibri" w:cs="Calibri"/>
                <w:b w:val="0"/>
                <w:sz w:val="20"/>
              </w:rPr>
              <w:t>99.00</w:t>
            </w:r>
          </w:p>
        </w:tc>
        <w:tc>
          <w:tcPr>
            <w:tcW w:type="dxa" w:w="1701"/>
            <w:vAlign w:val="center"/>
          </w:tcPr>
          <w:p>
            <w:pPr>
              <w:jc w:val="center"/>
            </w:pPr>
            <w:r/>
            <w:r>
              <w:rPr>
                <w:rFonts w:ascii="Calibri" w:hAnsi="Calibri" w:cs="Calibri"/>
                <w:b w:val="0"/>
                <w:color w:val="108010"/>
                <w:sz w:val="20"/>
              </w:rPr>
              <w:t>+0.48</w:t>
            </w:r>
          </w:p>
        </w:tc>
      </w:tr>
      <w:tr>
        <w:tc>
          <w:tcPr>
            <w:tcW w:type="dxa" w:w="3685"/>
            <w:vAlign w:val="center"/>
          </w:tcPr>
          <w:p>
            <w:pPr>
              <w:jc w:val="left"/>
            </w:pPr>
            <w:r/>
            <w:r>
              <w:rPr>
                <w:rFonts w:ascii="Calibri" w:hAnsi="Calibri" w:cs="Calibri"/>
                <w:b w:val="0"/>
                <w:sz w:val="20"/>
              </w:rPr>
              <w:t>Underwater</w:t>
            </w:r>
          </w:p>
        </w:tc>
        <w:tc>
          <w:tcPr>
            <w:tcW w:type="dxa" w:w="1701"/>
            <w:vAlign w:val="center"/>
          </w:tcPr>
          <w:p>
            <w:pPr>
              <w:jc w:val="center"/>
            </w:pPr>
            <w:r/>
            <w:r>
              <w:rPr>
                <w:rFonts w:ascii="Calibri" w:hAnsi="Calibri" w:cs="Calibri"/>
                <w:b w:val="0"/>
                <w:sz w:val="20"/>
              </w:rPr>
              <w:t>100.00</w:t>
            </w:r>
          </w:p>
        </w:tc>
        <w:tc>
          <w:tcPr>
            <w:tcW w:type="dxa" w:w="1701"/>
            <w:vAlign w:val="center"/>
          </w:tcPr>
          <w:p>
            <w:pPr>
              <w:jc w:val="center"/>
            </w:pPr>
            <w:r/>
            <w:r>
              <w:rPr>
                <w:rFonts w:ascii="Calibri" w:hAnsi="Calibri" w:cs="Calibri"/>
                <w:b w:val="0"/>
                <w:sz w:val="20"/>
              </w:rPr>
              <w:t>100.00</w:t>
            </w:r>
          </w:p>
        </w:tc>
        <w:tc>
          <w:tcPr>
            <w:tcW w:type="dxa" w:w="1701"/>
            <w:vAlign w:val="center"/>
          </w:tcPr>
          <w:p>
            <w:pPr>
              <w:jc w:val="center"/>
            </w:pPr>
            <w:r/>
            <w:r>
              <w:rPr>
                <w:rFonts w:ascii="Calibri" w:hAnsi="Calibri" w:cs="Calibri"/>
                <w:b w:val="0"/>
                <w:sz w:val="20"/>
              </w:rPr>
              <w:t>±0.00</w:t>
            </w:r>
          </w:p>
        </w:tc>
      </w:tr>
      <w:tr>
        <w:tc>
          <w:tcPr>
            <w:tcW w:type="dxa" w:w="3685"/>
            <w:vAlign w:val="center"/>
          </w:tcPr>
          <w:p>
            <w:pPr>
              <w:jc w:val="left"/>
            </w:pPr>
            <w:r/>
            <w:r>
              <w:rPr>
                <w:rFonts w:ascii="Calibri" w:hAnsi="Calibri" w:cs="Calibri"/>
                <w:b w:val="0"/>
                <w:sz w:val="20"/>
              </w:rPr>
              <w:t>Object</w:t>
            </w:r>
          </w:p>
        </w:tc>
        <w:tc>
          <w:tcPr>
            <w:tcW w:type="dxa" w:w="1701"/>
            <w:vAlign w:val="center"/>
          </w:tcPr>
          <w:p>
            <w:pPr>
              <w:jc w:val="center"/>
            </w:pPr>
            <w:r/>
            <w:r>
              <w:rPr>
                <w:rFonts w:ascii="Calibri" w:hAnsi="Calibri" w:cs="Calibri"/>
                <w:b w:val="0"/>
                <w:sz w:val="20"/>
              </w:rPr>
              <w:t>97.30</w:t>
            </w:r>
          </w:p>
        </w:tc>
        <w:tc>
          <w:tcPr>
            <w:tcW w:type="dxa" w:w="1701"/>
            <w:vAlign w:val="center"/>
          </w:tcPr>
          <w:p>
            <w:pPr>
              <w:jc w:val="center"/>
            </w:pPr>
            <w:r/>
            <w:r>
              <w:rPr>
                <w:rFonts w:ascii="Calibri" w:hAnsi="Calibri" w:cs="Calibri"/>
                <w:b w:val="0"/>
                <w:sz w:val="20"/>
              </w:rPr>
              <w:t>97.30</w:t>
            </w:r>
          </w:p>
        </w:tc>
        <w:tc>
          <w:tcPr>
            <w:tcW w:type="dxa" w:w="1701"/>
            <w:vAlign w:val="center"/>
          </w:tcPr>
          <w:p>
            <w:pPr>
              <w:jc w:val="center"/>
            </w:pPr>
            <w:r/>
            <w:r>
              <w:rPr>
                <w:rFonts w:ascii="Calibri" w:hAnsi="Calibri" w:cs="Calibri"/>
                <w:b w:val="0"/>
                <w:color w:val="108010"/>
                <w:sz w:val="20"/>
              </w:rPr>
              <w:t>−0.00</w:t>
            </w:r>
          </w:p>
        </w:tc>
      </w:tr>
      <w:tr>
        <w:tc>
          <w:tcPr>
            <w:tcW w:type="dxa" w:w="3685"/>
            <w:vAlign w:val="center"/>
            <w:shd w:val="clear" w:color="auto" w:fill="F0F0F0"/>
          </w:tcPr>
          <w:p>
            <w:pPr>
              <w:jc w:val="center"/>
            </w:pPr>
            <w:r/>
            <w:r>
              <w:rPr>
                <w:rFonts w:ascii="Calibri" w:hAnsi="Calibri" w:cs="Calibri"/>
                <w:b/>
                <w:sz w:val="20"/>
              </w:rPr>
              <w:t>Overall</w:t>
            </w:r>
          </w:p>
        </w:tc>
        <w:tc>
          <w:tcPr>
            <w:tcW w:type="dxa" w:w="1701"/>
            <w:vAlign w:val="center"/>
            <w:shd w:val="clear" w:color="auto" w:fill="F0F0F0"/>
          </w:tcPr>
          <w:p>
            <w:pPr>
              <w:jc w:val="center"/>
            </w:pPr>
            <w:r/>
            <w:r>
              <w:rPr>
                <w:rFonts w:ascii="Calibri" w:hAnsi="Calibri" w:cs="Calibri"/>
                <w:b/>
                <w:sz w:val="20"/>
              </w:rPr>
              <w:t>97.05</w:t>
            </w:r>
          </w:p>
        </w:tc>
        <w:tc>
          <w:tcPr>
            <w:tcW w:type="dxa" w:w="1701"/>
            <w:vAlign w:val="center"/>
            <w:shd w:val="clear" w:color="auto" w:fill="F0F0F0"/>
          </w:tcPr>
          <w:p>
            <w:pPr>
              <w:jc w:val="center"/>
            </w:pPr>
            <w:r/>
            <w:r>
              <w:rPr>
                <w:rFonts w:ascii="Calibri" w:hAnsi="Calibri" w:cs="Calibri"/>
                <w:b/>
                <w:sz w:val="20"/>
              </w:rPr>
              <w:t>97.00</w:t>
            </w:r>
          </w:p>
        </w:tc>
        <w:tc>
          <w:tcPr>
            <w:tcW w:type="dxa" w:w="1701"/>
            <w:vAlign w:val="center"/>
            <w:shd w:val="clear" w:color="auto" w:fill="F0F0F0"/>
          </w:tcPr>
          <w:p>
            <w:pPr>
              <w:jc w:val="center"/>
            </w:pPr>
            <w:r/>
            <w:r>
              <w:rPr>
                <w:rFonts w:ascii="Calibri" w:hAnsi="Calibri" w:cs="Calibri"/>
                <w:b/>
                <w:color w:val="108010"/>
                <w:sz w:val="20"/>
              </w:rPr>
              <w:t>+0.05</w:t>
            </w:r>
          </w:p>
        </w:tc>
      </w:tr>
    </w:tbl>
    <w:p>
      <w:pPr>
        <w:spacing w:before="200" w:after="80"/>
      </w:pPr>
      <w:r>
        <w:rPr>
          <w:rFonts w:ascii="Calibri" w:hAnsi="Calibri" w:cs="Calibri"/>
          <w:b/>
          <w:color w:val="2E75B6"/>
          <w:sz w:val="28"/>
        </w:rPr>
        <w:t>ViT-L  (335M parameters)</w:t>
      </w:r>
    </w:p>
    <w:tbl>
      <w:tblPr>
        <w:tblStyle w:val="LightGrid"/>
        <w:tblW w:type="auto" w:w="0"/>
        <w:jc w:val="center"/>
        <w:tblLook w:firstColumn="1" w:firstRow="1" w:lastColumn="0" w:lastRow="0" w:noHBand="0" w:noVBand="1" w:val="04A0"/>
      </w:tblPr>
      <w:tblGrid>
        <w:gridCol w:w="2436"/>
        <w:gridCol w:w="2436"/>
        <w:gridCol w:w="2436"/>
        <w:gridCol w:w="2436"/>
      </w:tblGrid>
      <w:tr>
        <w:tc>
          <w:tcPr>
            <w:tcW w:type="dxa" w:w="3685"/>
            <w:vAlign w:val="center"/>
            <w:shd w:val="clear" w:color="auto" w:fill="D5E8F0"/>
          </w:tcPr>
          <w:p>
            <w:pPr>
              <w:jc w:val="center"/>
            </w:pPr>
            <w:r/>
            <w:r>
              <w:rPr>
                <w:rFonts w:ascii="Calibri" w:hAnsi="Calibri" w:cs="Calibri"/>
                <w:b/>
                <w:sz w:val="20"/>
              </w:rPr>
              <w:t>Scene</w:t>
            </w:r>
          </w:p>
        </w:tc>
        <w:tc>
          <w:tcPr>
            <w:tcW w:type="dxa" w:w="1701"/>
            <w:vAlign w:val="center"/>
            <w:shd w:val="clear" w:color="auto" w:fill="D5E8F0"/>
          </w:tcPr>
          <w:p>
            <w:pPr>
              <w:jc w:val="center"/>
            </w:pPr>
            <w:r/>
            <w:r>
              <w:rPr>
                <w:rFonts w:ascii="Calibri" w:hAnsi="Calibri" w:cs="Calibri"/>
                <w:b/>
                <w:sz w:val="20"/>
              </w:rPr>
              <w:t>Ours (%)</w:t>
            </w:r>
          </w:p>
        </w:tc>
        <w:tc>
          <w:tcPr>
            <w:tcW w:type="dxa" w:w="1701"/>
            <w:vAlign w:val="center"/>
            <w:shd w:val="clear" w:color="auto" w:fill="D5E8F0"/>
          </w:tcPr>
          <w:p>
            <w:pPr>
              <w:jc w:val="center"/>
            </w:pPr>
            <w:r/>
            <w:r>
              <w:rPr>
                <w:rFonts w:ascii="Calibri" w:hAnsi="Calibri" w:cs="Calibri"/>
                <w:b/>
                <w:sz w:val="20"/>
              </w:rPr>
              <w:t>Paper (%)</w:t>
            </w:r>
          </w:p>
        </w:tc>
        <w:tc>
          <w:tcPr>
            <w:tcW w:type="dxa" w:w="1701"/>
            <w:vAlign w:val="center"/>
            <w:shd w:val="clear" w:color="auto" w:fill="D5E8F0"/>
          </w:tcPr>
          <w:p>
            <w:pPr>
              <w:jc w:val="center"/>
            </w:pPr>
            <w:r/>
            <w:r>
              <w:rPr>
                <w:rFonts w:ascii="Calibri" w:hAnsi="Calibri" w:cs="Calibri"/>
                <w:b/>
                <w:sz w:val="20"/>
              </w:rPr>
              <w:t>Δ (pp)</w:t>
            </w:r>
          </w:p>
        </w:tc>
      </w:tr>
      <w:tr>
        <w:tc>
          <w:tcPr>
            <w:tcW w:type="dxa" w:w="3685"/>
            <w:vAlign w:val="center"/>
          </w:tcPr>
          <w:p>
            <w:pPr>
              <w:jc w:val="left"/>
            </w:pPr>
            <w:r/>
            <w:r>
              <w:rPr>
                <w:rFonts w:ascii="Calibri" w:hAnsi="Calibri" w:cs="Calibri"/>
                <w:b w:val="0"/>
                <w:sz w:val="20"/>
              </w:rPr>
              <w:t>Indoor</w:t>
            </w:r>
          </w:p>
        </w:tc>
        <w:tc>
          <w:tcPr>
            <w:tcW w:type="dxa" w:w="1701"/>
            <w:vAlign w:val="center"/>
          </w:tcPr>
          <w:p>
            <w:pPr>
              <w:jc w:val="center"/>
            </w:pPr>
            <w:r/>
            <w:r>
              <w:rPr>
                <w:rFonts w:ascii="Calibri" w:hAnsi="Calibri" w:cs="Calibri"/>
                <w:b w:val="0"/>
                <w:sz w:val="20"/>
              </w:rPr>
              <w:t>96.19</w:t>
            </w:r>
          </w:p>
        </w:tc>
        <w:tc>
          <w:tcPr>
            <w:tcW w:type="dxa" w:w="1701"/>
            <w:vAlign w:val="center"/>
          </w:tcPr>
          <w:p>
            <w:pPr>
              <w:jc w:val="center"/>
            </w:pPr>
            <w:r/>
            <w:r>
              <w:rPr>
                <w:rFonts w:ascii="Calibri" w:hAnsi="Calibri" w:cs="Calibri"/>
                <w:b w:val="0"/>
                <w:sz w:val="20"/>
              </w:rPr>
              <w:t>96.40</w:t>
            </w:r>
          </w:p>
        </w:tc>
        <w:tc>
          <w:tcPr>
            <w:tcW w:type="dxa" w:w="1701"/>
            <w:vAlign w:val="center"/>
          </w:tcPr>
          <w:p>
            <w:pPr>
              <w:jc w:val="center"/>
            </w:pPr>
            <w:r/>
            <w:r>
              <w:rPr>
                <w:rFonts w:ascii="Calibri" w:hAnsi="Calibri" w:cs="Calibri"/>
                <w:b w:val="0"/>
                <w:color w:val="108010"/>
                <w:sz w:val="20"/>
              </w:rPr>
              <w:t>−0.21</w:t>
            </w:r>
          </w:p>
        </w:tc>
      </w:tr>
      <w:tr>
        <w:tc>
          <w:tcPr>
            <w:tcW w:type="dxa" w:w="3685"/>
            <w:vAlign w:val="center"/>
          </w:tcPr>
          <w:p>
            <w:pPr>
              <w:jc w:val="left"/>
            </w:pPr>
            <w:r/>
            <w:r>
              <w:rPr>
                <w:rFonts w:ascii="Calibri" w:hAnsi="Calibri" w:cs="Calibri"/>
                <w:b w:val="0"/>
                <w:sz w:val="20"/>
              </w:rPr>
              <w:t>Outdoor</w:t>
            </w:r>
          </w:p>
        </w:tc>
        <w:tc>
          <w:tcPr>
            <w:tcW w:type="dxa" w:w="1701"/>
            <w:vAlign w:val="center"/>
          </w:tcPr>
          <w:p>
            <w:pPr>
              <w:jc w:val="center"/>
            </w:pPr>
            <w:r/>
            <w:r>
              <w:rPr>
                <w:rFonts w:ascii="Calibri" w:hAnsi="Calibri" w:cs="Calibri"/>
                <w:b w:val="0"/>
                <w:sz w:val="20"/>
              </w:rPr>
              <w:t>94.48</w:t>
            </w:r>
          </w:p>
        </w:tc>
        <w:tc>
          <w:tcPr>
            <w:tcW w:type="dxa" w:w="1701"/>
            <w:vAlign w:val="center"/>
          </w:tcPr>
          <w:p>
            <w:pPr>
              <w:jc w:val="center"/>
            </w:pPr>
            <w:r/>
            <w:r>
              <w:rPr>
                <w:rFonts w:ascii="Calibri" w:hAnsi="Calibri" w:cs="Calibri"/>
                <w:b w:val="0"/>
                <w:sz w:val="20"/>
              </w:rPr>
              <w:t>93.90</w:t>
            </w:r>
          </w:p>
        </w:tc>
        <w:tc>
          <w:tcPr>
            <w:tcW w:type="dxa" w:w="1701"/>
            <w:vAlign w:val="center"/>
          </w:tcPr>
          <w:p>
            <w:pPr>
              <w:jc w:val="center"/>
            </w:pPr>
            <w:r/>
            <w:r>
              <w:rPr>
                <w:rFonts w:ascii="Calibri" w:hAnsi="Calibri" w:cs="Calibri"/>
                <w:b w:val="0"/>
                <w:sz w:val="20"/>
              </w:rPr>
              <w:t>+0.58</w:t>
            </w:r>
          </w:p>
        </w:tc>
      </w:tr>
      <w:tr>
        <w:tc>
          <w:tcPr>
            <w:tcW w:type="dxa" w:w="3685"/>
            <w:vAlign w:val="center"/>
          </w:tcPr>
          <w:p>
            <w:pPr>
              <w:jc w:val="left"/>
            </w:pPr>
            <w:r/>
            <w:r>
              <w:rPr>
                <w:rFonts w:ascii="Calibri" w:hAnsi="Calibri" w:cs="Calibri"/>
                <w:b w:val="0"/>
                <w:sz w:val="20"/>
              </w:rPr>
              <w:t>Non-real</w:t>
            </w:r>
          </w:p>
        </w:tc>
        <w:tc>
          <w:tcPr>
            <w:tcW w:type="dxa" w:w="1701"/>
            <w:vAlign w:val="center"/>
          </w:tcPr>
          <w:p>
            <w:pPr>
              <w:jc w:val="center"/>
            </w:pPr>
            <w:r/>
            <w:r>
              <w:rPr>
                <w:rFonts w:ascii="Calibri" w:hAnsi="Calibri" w:cs="Calibri"/>
                <w:b w:val="0"/>
                <w:sz w:val="20"/>
              </w:rPr>
              <w:t>99.01</w:t>
            </w:r>
          </w:p>
        </w:tc>
        <w:tc>
          <w:tcPr>
            <w:tcW w:type="dxa" w:w="1701"/>
            <w:vAlign w:val="center"/>
          </w:tcPr>
          <w:p>
            <w:pPr>
              <w:jc w:val="center"/>
            </w:pPr>
            <w:r/>
            <w:r>
              <w:rPr>
                <w:rFonts w:ascii="Calibri" w:hAnsi="Calibri" w:cs="Calibri"/>
                <w:b w:val="0"/>
                <w:sz w:val="20"/>
              </w:rPr>
              <w:t>99.00</w:t>
            </w:r>
          </w:p>
        </w:tc>
        <w:tc>
          <w:tcPr>
            <w:tcW w:type="dxa" w:w="1701"/>
            <w:vAlign w:val="center"/>
          </w:tcPr>
          <w:p>
            <w:pPr>
              <w:jc w:val="center"/>
            </w:pPr>
            <w:r/>
            <w:r>
              <w:rPr>
                <w:rFonts w:ascii="Calibri" w:hAnsi="Calibri" w:cs="Calibri"/>
                <w:b w:val="0"/>
                <w:color w:val="108010"/>
                <w:sz w:val="20"/>
              </w:rPr>
              <w:t>+0.01</w:t>
            </w:r>
          </w:p>
        </w:tc>
      </w:tr>
      <w:tr>
        <w:tc>
          <w:tcPr>
            <w:tcW w:type="dxa" w:w="3685"/>
            <w:vAlign w:val="center"/>
          </w:tcPr>
          <w:p>
            <w:pPr>
              <w:jc w:val="left"/>
            </w:pPr>
            <w:r/>
            <w:r>
              <w:rPr>
                <w:rFonts w:ascii="Calibri" w:hAnsi="Calibri" w:cs="Calibri"/>
                <w:b w:val="0"/>
                <w:sz w:val="20"/>
              </w:rPr>
              <w:t>Transparent / Reflective</w:t>
            </w:r>
          </w:p>
        </w:tc>
        <w:tc>
          <w:tcPr>
            <w:tcW w:type="dxa" w:w="1701"/>
            <w:vAlign w:val="center"/>
          </w:tcPr>
          <w:p>
            <w:pPr>
              <w:jc w:val="center"/>
            </w:pPr>
            <w:r/>
            <w:r>
              <w:rPr>
                <w:rFonts w:ascii="Calibri" w:hAnsi="Calibri" w:cs="Calibri"/>
                <w:b w:val="0"/>
                <w:sz w:val="20"/>
              </w:rPr>
              <w:t>96.26</w:t>
            </w:r>
          </w:p>
        </w:tc>
        <w:tc>
          <w:tcPr>
            <w:tcW w:type="dxa" w:w="1701"/>
            <w:vAlign w:val="center"/>
          </w:tcPr>
          <w:p>
            <w:pPr>
              <w:jc w:val="center"/>
            </w:pPr>
            <w:r/>
            <w:r>
              <w:rPr>
                <w:rFonts w:ascii="Calibri" w:hAnsi="Calibri" w:cs="Calibri"/>
                <w:b w:val="0"/>
                <w:sz w:val="20"/>
              </w:rPr>
              <w:t>96.30</w:t>
            </w:r>
          </w:p>
        </w:tc>
        <w:tc>
          <w:tcPr>
            <w:tcW w:type="dxa" w:w="1701"/>
            <w:vAlign w:val="center"/>
          </w:tcPr>
          <w:p>
            <w:pPr>
              <w:jc w:val="center"/>
            </w:pPr>
            <w:r/>
            <w:r>
              <w:rPr>
                <w:rFonts w:ascii="Calibri" w:hAnsi="Calibri" w:cs="Calibri"/>
                <w:b w:val="0"/>
                <w:color w:val="108010"/>
                <w:sz w:val="20"/>
              </w:rPr>
              <w:t>−0.04</w:t>
            </w:r>
          </w:p>
        </w:tc>
      </w:tr>
      <w:tr>
        <w:tc>
          <w:tcPr>
            <w:tcW w:type="dxa" w:w="3685"/>
            <w:vAlign w:val="center"/>
          </w:tcPr>
          <w:p>
            <w:pPr>
              <w:jc w:val="left"/>
            </w:pPr>
            <w:r/>
            <w:r>
              <w:rPr>
                <w:rFonts w:ascii="Calibri" w:hAnsi="Calibri" w:cs="Calibri"/>
                <w:b w:val="0"/>
                <w:sz w:val="20"/>
              </w:rPr>
              <w:t>Adverse style</w:t>
            </w:r>
          </w:p>
        </w:tc>
        <w:tc>
          <w:tcPr>
            <w:tcW w:type="dxa" w:w="1701"/>
            <w:vAlign w:val="center"/>
          </w:tcPr>
          <w:p>
            <w:pPr>
              <w:jc w:val="center"/>
            </w:pPr>
            <w:r/>
            <w:r>
              <w:rPr>
                <w:rFonts w:ascii="Calibri" w:hAnsi="Calibri" w:cs="Calibri"/>
                <w:b w:val="0"/>
                <w:sz w:val="20"/>
              </w:rPr>
              <w:t>97.26</w:t>
            </w:r>
          </w:p>
        </w:tc>
        <w:tc>
          <w:tcPr>
            <w:tcW w:type="dxa" w:w="1701"/>
            <w:vAlign w:val="center"/>
          </w:tcPr>
          <w:p>
            <w:pPr>
              <w:jc w:val="center"/>
            </w:pPr>
            <w:r/>
            <w:r>
              <w:rPr>
                <w:rFonts w:ascii="Calibri" w:hAnsi="Calibri" w:cs="Calibri"/>
                <w:b w:val="0"/>
                <w:sz w:val="20"/>
              </w:rPr>
              <w:t>97.30</w:t>
            </w:r>
          </w:p>
        </w:tc>
        <w:tc>
          <w:tcPr>
            <w:tcW w:type="dxa" w:w="1701"/>
            <w:vAlign w:val="center"/>
          </w:tcPr>
          <w:p>
            <w:pPr>
              <w:jc w:val="center"/>
            </w:pPr>
            <w:r/>
            <w:r>
              <w:rPr>
                <w:rFonts w:ascii="Calibri" w:hAnsi="Calibri" w:cs="Calibri"/>
                <w:b w:val="0"/>
                <w:color w:val="108010"/>
                <w:sz w:val="20"/>
              </w:rPr>
              <w:t>−0.04</w:t>
            </w:r>
          </w:p>
        </w:tc>
      </w:tr>
      <w:tr>
        <w:tc>
          <w:tcPr>
            <w:tcW w:type="dxa" w:w="3685"/>
            <w:vAlign w:val="center"/>
          </w:tcPr>
          <w:p>
            <w:pPr>
              <w:jc w:val="left"/>
            </w:pPr>
            <w:r/>
            <w:r>
              <w:rPr>
                <w:rFonts w:ascii="Calibri" w:hAnsi="Calibri" w:cs="Calibri"/>
                <w:b w:val="0"/>
                <w:sz w:val="20"/>
              </w:rPr>
              <w:t>Aerial</w:t>
            </w:r>
          </w:p>
        </w:tc>
        <w:tc>
          <w:tcPr>
            <w:tcW w:type="dxa" w:w="1701"/>
            <w:vAlign w:val="center"/>
          </w:tcPr>
          <w:p>
            <w:pPr>
              <w:jc w:val="center"/>
            </w:pPr>
            <w:r/>
            <w:r>
              <w:rPr>
                <w:rFonts w:ascii="Calibri" w:hAnsi="Calibri" w:cs="Calibri"/>
                <w:b w:val="0"/>
                <w:sz w:val="20"/>
              </w:rPr>
              <w:t>99.48</w:t>
            </w:r>
          </w:p>
        </w:tc>
        <w:tc>
          <w:tcPr>
            <w:tcW w:type="dxa" w:w="1701"/>
            <w:vAlign w:val="center"/>
          </w:tcPr>
          <w:p>
            <w:pPr>
              <w:jc w:val="center"/>
            </w:pPr>
            <w:r/>
            <w:r>
              <w:rPr>
                <w:rFonts w:ascii="Calibri" w:hAnsi="Calibri" w:cs="Calibri"/>
                <w:b w:val="0"/>
                <w:sz w:val="20"/>
              </w:rPr>
              <w:t>99.50</w:t>
            </w:r>
          </w:p>
        </w:tc>
        <w:tc>
          <w:tcPr>
            <w:tcW w:type="dxa" w:w="1701"/>
            <w:vAlign w:val="center"/>
          </w:tcPr>
          <w:p>
            <w:pPr>
              <w:jc w:val="center"/>
            </w:pPr>
            <w:r/>
            <w:r>
              <w:rPr>
                <w:rFonts w:ascii="Calibri" w:hAnsi="Calibri" w:cs="Calibri"/>
                <w:b w:val="0"/>
                <w:color w:val="108010"/>
                <w:sz w:val="20"/>
              </w:rPr>
              <w:t>−0.02</w:t>
            </w:r>
          </w:p>
        </w:tc>
      </w:tr>
      <w:tr>
        <w:tc>
          <w:tcPr>
            <w:tcW w:type="dxa" w:w="3685"/>
            <w:vAlign w:val="center"/>
          </w:tcPr>
          <w:p>
            <w:pPr>
              <w:jc w:val="left"/>
            </w:pPr>
            <w:r/>
            <w:r>
              <w:rPr>
                <w:rFonts w:ascii="Calibri" w:hAnsi="Calibri" w:cs="Calibri"/>
                <w:b w:val="0"/>
                <w:sz w:val="20"/>
              </w:rPr>
              <w:t>Underwater</w:t>
            </w:r>
          </w:p>
        </w:tc>
        <w:tc>
          <w:tcPr>
            <w:tcW w:type="dxa" w:w="1701"/>
            <w:vAlign w:val="center"/>
          </w:tcPr>
          <w:p>
            <w:pPr>
              <w:jc w:val="center"/>
            </w:pPr>
            <w:r/>
            <w:r>
              <w:rPr>
                <w:rFonts w:ascii="Calibri" w:hAnsi="Calibri" w:cs="Calibri"/>
                <w:b w:val="0"/>
                <w:sz w:val="20"/>
              </w:rPr>
              <w:t>99.15</w:t>
            </w:r>
          </w:p>
        </w:tc>
        <w:tc>
          <w:tcPr>
            <w:tcW w:type="dxa" w:w="1701"/>
            <w:vAlign w:val="center"/>
          </w:tcPr>
          <w:p>
            <w:pPr>
              <w:jc w:val="center"/>
            </w:pPr>
            <w:r/>
            <w:r>
              <w:rPr>
                <w:rFonts w:ascii="Calibri" w:hAnsi="Calibri" w:cs="Calibri"/>
                <w:b w:val="0"/>
                <w:sz w:val="20"/>
              </w:rPr>
              <w:t>99.20</w:t>
            </w:r>
          </w:p>
        </w:tc>
        <w:tc>
          <w:tcPr>
            <w:tcW w:type="dxa" w:w="1701"/>
            <w:vAlign w:val="center"/>
          </w:tcPr>
          <w:p>
            <w:pPr>
              <w:jc w:val="center"/>
            </w:pPr>
            <w:r/>
            <w:r>
              <w:rPr>
                <w:rFonts w:ascii="Calibri" w:hAnsi="Calibri" w:cs="Calibri"/>
                <w:b w:val="0"/>
                <w:color w:val="108010"/>
                <w:sz w:val="20"/>
              </w:rPr>
              <w:t>−0.05</w:t>
            </w:r>
          </w:p>
        </w:tc>
      </w:tr>
      <w:tr>
        <w:tc>
          <w:tcPr>
            <w:tcW w:type="dxa" w:w="3685"/>
            <w:vAlign w:val="center"/>
          </w:tcPr>
          <w:p>
            <w:pPr>
              <w:jc w:val="left"/>
            </w:pPr>
            <w:r/>
            <w:r>
              <w:rPr>
                <w:rFonts w:ascii="Calibri" w:hAnsi="Calibri" w:cs="Calibri"/>
                <w:b w:val="0"/>
                <w:sz w:val="20"/>
              </w:rPr>
              <w:t>Object</w:t>
            </w:r>
          </w:p>
        </w:tc>
        <w:tc>
          <w:tcPr>
            <w:tcW w:type="dxa" w:w="1701"/>
            <w:vAlign w:val="center"/>
          </w:tcPr>
          <w:p>
            <w:pPr>
              <w:jc w:val="center"/>
            </w:pPr>
            <w:r/>
            <w:r>
              <w:rPr>
                <w:rFonts w:ascii="Calibri" w:hAnsi="Calibri" w:cs="Calibri"/>
                <w:b w:val="0"/>
                <w:sz w:val="20"/>
              </w:rPr>
              <w:t>97.97</w:t>
            </w:r>
          </w:p>
        </w:tc>
        <w:tc>
          <w:tcPr>
            <w:tcW w:type="dxa" w:w="1701"/>
            <w:vAlign w:val="center"/>
          </w:tcPr>
          <w:p>
            <w:pPr>
              <w:jc w:val="center"/>
            </w:pPr>
            <w:r/>
            <w:r>
              <w:rPr>
                <w:rFonts w:ascii="Calibri" w:hAnsi="Calibri" w:cs="Calibri"/>
                <w:b w:val="0"/>
                <w:sz w:val="20"/>
              </w:rPr>
              <w:t>98.00</w:t>
            </w:r>
          </w:p>
        </w:tc>
        <w:tc>
          <w:tcPr>
            <w:tcW w:type="dxa" w:w="1701"/>
            <w:vAlign w:val="center"/>
          </w:tcPr>
          <w:p>
            <w:pPr>
              <w:jc w:val="center"/>
            </w:pPr>
            <w:r/>
            <w:r>
              <w:rPr>
                <w:rFonts w:ascii="Calibri" w:hAnsi="Calibri" w:cs="Calibri"/>
                <w:b w:val="0"/>
                <w:color w:val="108010"/>
                <w:sz w:val="20"/>
              </w:rPr>
              <w:t>−0.03</w:t>
            </w:r>
          </w:p>
        </w:tc>
      </w:tr>
      <w:tr>
        <w:tc>
          <w:tcPr>
            <w:tcW w:type="dxa" w:w="3685"/>
            <w:vAlign w:val="center"/>
            <w:shd w:val="clear" w:color="auto" w:fill="F0F0F0"/>
          </w:tcPr>
          <w:p>
            <w:pPr>
              <w:jc w:val="center"/>
            </w:pPr>
            <w:r/>
            <w:r>
              <w:rPr>
                <w:rFonts w:ascii="Calibri" w:hAnsi="Calibri" w:cs="Calibri"/>
                <w:b/>
                <w:sz w:val="20"/>
              </w:rPr>
              <w:t>Overall</w:t>
            </w:r>
          </w:p>
        </w:tc>
        <w:tc>
          <w:tcPr>
            <w:tcW w:type="dxa" w:w="1701"/>
            <w:vAlign w:val="center"/>
            <w:shd w:val="clear" w:color="auto" w:fill="F0F0F0"/>
          </w:tcPr>
          <w:p>
            <w:pPr>
              <w:jc w:val="center"/>
            </w:pPr>
            <w:r/>
            <w:r>
              <w:rPr>
                <w:rFonts w:ascii="Calibri" w:hAnsi="Calibri" w:cs="Calibri"/>
                <w:b/>
                <w:sz w:val="20"/>
              </w:rPr>
              <w:t>97.10</w:t>
            </w:r>
          </w:p>
        </w:tc>
        <w:tc>
          <w:tcPr>
            <w:tcW w:type="dxa" w:w="1701"/>
            <w:vAlign w:val="center"/>
            <w:shd w:val="clear" w:color="auto" w:fill="F0F0F0"/>
          </w:tcPr>
          <w:p>
            <w:pPr>
              <w:jc w:val="center"/>
            </w:pPr>
            <w:r/>
            <w:r>
              <w:rPr>
                <w:rFonts w:ascii="Calibri" w:hAnsi="Calibri" w:cs="Calibri"/>
                <w:b/>
                <w:sz w:val="20"/>
              </w:rPr>
              <w:t>97.10</w:t>
            </w:r>
          </w:p>
        </w:tc>
        <w:tc>
          <w:tcPr>
            <w:tcW w:type="dxa" w:w="1701"/>
            <w:vAlign w:val="center"/>
            <w:shd w:val="clear" w:color="auto" w:fill="F0F0F0"/>
          </w:tcPr>
          <w:p>
            <w:pPr>
              <w:jc w:val="center"/>
            </w:pPr>
            <w:r/>
            <w:r>
              <w:rPr>
                <w:rFonts w:ascii="Calibri" w:hAnsi="Calibri" w:cs="Calibri"/>
                <w:b/>
                <w:color w:val="108010"/>
                <w:sz w:val="20"/>
              </w:rPr>
              <w:t>−0.00</w:t>
            </w:r>
          </w:p>
        </w:tc>
      </w:tr>
    </w:tbl>
    <w:p>
      <w:pPr>
        <w:spacing w:before="280" w:after="80"/>
      </w:pPr>
      <w:r>
        <w:rPr>
          <w:rFonts w:ascii="Calibri" w:hAnsi="Calibri" w:cs="Calibri"/>
          <w:b/>
          <w:color w:val="1F3864"/>
          <w:sz w:val="36"/>
        </w:rPr>
        <w:t>4. Summary across models</w:t>
      </w:r>
    </w:p>
    <w:tbl>
      <w:tblPr>
        <w:tblStyle w:val="LightGrid"/>
        <w:tblW w:type="auto" w:w="0"/>
        <w:jc w:val="center"/>
        <w:tblLook w:firstColumn="1" w:firstRow="1" w:lastColumn="0" w:lastRow="0" w:noHBand="0" w:noVBand="1" w:val="04A0"/>
      </w:tblPr>
      <w:tblGrid>
        <w:gridCol w:w="1949"/>
        <w:gridCol w:w="1949"/>
        <w:gridCol w:w="1949"/>
        <w:gridCol w:w="1949"/>
        <w:gridCol w:w="1949"/>
      </w:tblGrid>
      <w:tr>
        <w:tc>
          <w:tcPr>
            <w:tcW w:type="dxa" w:w="1587"/>
            <w:vAlign w:val="center"/>
            <w:shd w:val="clear" w:color="auto" w:fill="D5E8F0"/>
          </w:tcPr>
          <w:p>
            <w:pPr>
              <w:jc w:val="center"/>
            </w:pPr>
            <w:r/>
            <w:r>
              <w:rPr>
                <w:rFonts w:ascii="Calibri" w:hAnsi="Calibri" w:cs="Calibri"/>
                <w:b/>
                <w:sz w:val="20"/>
              </w:rPr>
              <w:t>Model</w:t>
            </w:r>
          </w:p>
        </w:tc>
        <w:tc>
          <w:tcPr>
            <w:tcW w:type="dxa" w:w="1247"/>
            <w:vAlign w:val="center"/>
            <w:shd w:val="clear" w:color="auto" w:fill="D5E8F0"/>
          </w:tcPr>
          <w:p>
            <w:pPr>
              <w:jc w:val="center"/>
            </w:pPr>
            <w:r/>
            <w:r>
              <w:rPr>
                <w:rFonts w:ascii="Calibri" w:hAnsi="Calibri" w:cs="Calibri"/>
                <w:b/>
                <w:sz w:val="20"/>
              </w:rPr>
              <w:t>Params</w:t>
            </w:r>
          </w:p>
        </w:tc>
        <w:tc>
          <w:tcPr>
            <w:tcW w:type="dxa" w:w="1701"/>
            <w:vAlign w:val="center"/>
            <w:shd w:val="clear" w:color="auto" w:fill="D5E8F0"/>
          </w:tcPr>
          <w:p>
            <w:pPr>
              <w:jc w:val="center"/>
            </w:pPr>
            <w:r/>
            <w:r>
              <w:rPr>
                <w:rFonts w:ascii="Calibri" w:hAnsi="Calibri" w:cs="Calibri"/>
                <w:b/>
                <w:sz w:val="20"/>
              </w:rPr>
              <w:t>Ours (%)</w:t>
            </w:r>
          </w:p>
        </w:tc>
        <w:tc>
          <w:tcPr>
            <w:tcW w:type="dxa" w:w="1701"/>
            <w:vAlign w:val="center"/>
            <w:shd w:val="clear" w:color="auto" w:fill="D5E8F0"/>
          </w:tcPr>
          <w:p>
            <w:pPr>
              <w:jc w:val="center"/>
            </w:pPr>
            <w:r/>
            <w:r>
              <w:rPr>
                <w:rFonts w:ascii="Calibri" w:hAnsi="Calibri" w:cs="Calibri"/>
                <w:b/>
                <w:sz w:val="20"/>
              </w:rPr>
              <w:t>Paper (%)</w:t>
            </w:r>
          </w:p>
        </w:tc>
        <w:tc>
          <w:tcPr>
            <w:tcW w:type="dxa" w:w="1701"/>
            <w:vAlign w:val="center"/>
            <w:shd w:val="clear" w:color="auto" w:fill="D5E8F0"/>
          </w:tcPr>
          <w:p>
            <w:pPr>
              <w:jc w:val="center"/>
            </w:pPr>
            <w:r/>
            <w:r>
              <w:rPr>
                <w:rFonts w:ascii="Calibri" w:hAnsi="Calibri" w:cs="Calibri"/>
                <w:b/>
                <w:sz w:val="20"/>
              </w:rPr>
              <w:t>Δ (pp)</w:t>
            </w:r>
          </w:p>
        </w:tc>
      </w:tr>
      <w:tr>
        <w:tc>
          <w:tcPr>
            <w:tcW w:type="dxa" w:w="1587"/>
            <w:vAlign w:val="center"/>
          </w:tcPr>
          <w:p>
            <w:pPr>
              <w:jc w:val="left"/>
            </w:pPr>
            <w:r/>
            <w:r>
              <w:rPr>
                <w:rFonts w:ascii="Calibri" w:hAnsi="Calibri" w:cs="Calibri"/>
                <w:b w:val="0"/>
                <w:sz w:val="20"/>
              </w:rPr>
              <w:t>ViT-S</w:t>
            </w:r>
          </w:p>
        </w:tc>
        <w:tc>
          <w:tcPr>
            <w:tcW w:type="dxa" w:w="1247"/>
            <w:vAlign w:val="center"/>
          </w:tcPr>
          <w:p>
            <w:pPr>
              <w:jc w:val="center"/>
            </w:pPr>
            <w:r/>
            <w:r>
              <w:rPr>
                <w:rFonts w:ascii="Calibri" w:hAnsi="Calibri" w:cs="Calibri"/>
                <w:b w:val="0"/>
                <w:sz w:val="20"/>
              </w:rPr>
              <w:t>25M</w:t>
            </w:r>
          </w:p>
        </w:tc>
        <w:tc>
          <w:tcPr>
            <w:tcW w:type="dxa" w:w="1701"/>
            <w:vAlign w:val="center"/>
          </w:tcPr>
          <w:p>
            <w:pPr>
              <w:jc w:val="center"/>
            </w:pPr>
            <w:r/>
            <w:r>
              <w:rPr>
                <w:rFonts w:ascii="Calibri" w:hAnsi="Calibri" w:cs="Calibri"/>
                <w:b w:val="0"/>
                <w:sz w:val="20"/>
              </w:rPr>
              <w:t>95.16</w:t>
            </w:r>
          </w:p>
        </w:tc>
        <w:tc>
          <w:tcPr>
            <w:tcW w:type="dxa" w:w="1701"/>
            <w:vAlign w:val="center"/>
          </w:tcPr>
          <w:p>
            <w:pPr>
              <w:jc w:val="center"/>
            </w:pPr>
            <w:r/>
            <w:r>
              <w:rPr>
                <w:rFonts w:ascii="Calibri" w:hAnsi="Calibri" w:cs="Calibri"/>
                <w:b w:val="0"/>
                <w:sz w:val="20"/>
              </w:rPr>
              <w:t>95.30</w:t>
            </w:r>
          </w:p>
        </w:tc>
        <w:tc>
          <w:tcPr>
            <w:tcW w:type="dxa" w:w="1701"/>
            <w:vAlign w:val="center"/>
          </w:tcPr>
          <w:p>
            <w:pPr>
              <w:jc w:val="center"/>
            </w:pPr>
            <w:r/>
            <w:r>
              <w:rPr>
                <w:rFonts w:ascii="Calibri" w:hAnsi="Calibri" w:cs="Calibri"/>
                <w:b w:val="0"/>
                <w:color w:val="108010"/>
                <w:sz w:val="20"/>
              </w:rPr>
              <w:t>−0.14</w:t>
            </w:r>
          </w:p>
        </w:tc>
      </w:tr>
      <w:tr>
        <w:tc>
          <w:tcPr>
            <w:tcW w:type="dxa" w:w="1587"/>
            <w:vAlign w:val="center"/>
          </w:tcPr>
          <w:p>
            <w:pPr>
              <w:jc w:val="left"/>
            </w:pPr>
            <w:r/>
            <w:r>
              <w:rPr>
                <w:rFonts w:ascii="Calibri" w:hAnsi="Calibri" w:cs="Calibri"/>
                <w:b w:val="0"/>
                <w:sz w:val="20"/>
              </w:rPr>
              <w:t>ViT-B</w:t>
            </w:r>
          </w:p>
        </w:tc>
        <w:tc>
          <w:tcPr>
            <w:tcW w:type="dxa" w:w="1247"/>
            <w:vAlign w:val="center"/>
          </w:tcPr>
          <w:p>
            <w:pPr>
              <w:jc w:val="center"/>
            </w:pPr>
            <w:r/>
            <w:r>
              <w:rPr>
                <w:rFonts w:ascii="Calibri" w:hAnsi="Calibri" w:cs="Calibri"/>
                <w:b w:val="0"/>
                <w:sz w:val="20"/>
              </w:rPr>
              <w:t>98M</w:t>
            </w:r>
          </w:p>
        </w:tc>
        <w:tc>
          <w:tcPr>
            <w:tcW w:type="dxa" w:w="1701"/>
            <w:vAlign w:val="center"/>
          </w:tcPr>
          <w:p>
            <w:pPr>
              <w:jc w:val="center"/>
            </w:pPr>
            <w:r/>
            <w:r>
              <w:rPr>
                <w:rFonts w:ascii="Calibri" w:hAnsi="Calibri" w:cs="Calibri"/>
                <w:b w:val="0"/>
                <w:sz w:val="20"/>
              </w:rPr>
              <w:t>97.05</w:t>
            </w:r>
          </w:p>
        </w:tc>
        <w:tc>
          <w:tcPr>
            <w:tcW w:type="dxa" w:w="1701"/>
            <w:vAlign w:val="center"/>
          </w:tcPr>
          <w:p>
            <w:pPr>
              <w:jc w:val="center"/>
            </w:pPr>
            <w:r/>
            <w:r>
              <w:rPr>
                <w:rFonts w:ascii="Calibri" w:hAnsi="Calibri" w:cs="Calibri"/>
                <w:b w:val="0"/>
                <w:sz w:val="20"/>
              </w:rPr>
              <w:t>97.00</w:t>
            </w:r>
          </w:p>
        </w:tc>
        <w:tc>
          <w:tcPr>
            <w:tcW w:type="dxa" w:w="1701"/>
            <w:vAlign w:val="center"/>
          </w:tcPr>
          <w:p>
            <w:pPr>
              <w:jc w:val="center"/>
            </w:pPr>
            <w:r/>
            <w:r>
              <w:rPr>
                <w:rFonts w:ascii="Calibri" w:hAnsi="Calibri" w:cs="Calibri"/>
                <w:b w:val="0"/>
                <w:color w:val="108010"/>
                <w:sz w:val="20"/>
              </w:rPr>
              <w:t>+0.05</w:t>
            </w:r>
          </w:p>
        </w:tc>
      </w:tr>
      <w:tr>
        <w:tc>
          <w:tcPr>
            <w:tcW w:type="dxa" w:w="1587"/>
            <w:vAlign w:val="center"/>
          </w:tcPr>
          <w:p>
            <w:pPr>
              <w:jc w:val="left"/>
            </w:pPr>
            <w:r/>
            <w:r>
              <w:rPr>
                <w:rFonts w:ascii="Calibri" w:hAnsi="Calibri" w:cs="Calibri"/>
                <w:b w:val="0"/>
                <w:sz w:val="20"/>
              </w:rPr>
              <w:t>ViT-L</w:t>
            </w:r>
          </w:p>
        </w:tc>
        <w:tc>
          <w:tcPr>
            <w:tcW w:type="dxa" w:w="1247"/>
            <w:vAlign w:val="center"/>
          </w:tcPr>
          <w:p>
            <w:pPr>
              <w:jc w:val="center"/>
            </w:pPr>
            <w:r/>
            <w:r>
              <w:rPr>
                <w:rFonts w:ascii="Calibri" w:hAnsi="Calibri" w:cs="Calibri"/>
                <w:b w:val="0"/>
                <w:sz w:val="20"/>
              </w:rPr>
              <w:t>335M</w:t>
            </w:r>
          </w:p>
        </w:tc>
        <w:tc>
          <w:tcPr>
            <w:tcW w:type="dxa" w:w="1701"/>
            <w:vAlign w:val="center"/>
          </w:tcPr>
          <w:p>
            <w:pPr>
              <w:jc w:val="center"/>
            </w:pPr>
            <w:r/>
            <w:r>
              <w:rPr>
                <w:rFonts w:ascii="Calibri" w:hAnsi="Calibri" w:cs="Calibri"/>
                <w:b w:val="0"/>
                <w:sz w:val="20"/>
              </w:rPr>
              <w:t>97.10</w:t>
            </w:r>
          </w:p>
        </w:tc>
        <w:tc>
          <w:tcPr>
            <w:tcW w:type="dxa" w:w="1701"/>
            <w:vAlign w:val="center"/>
          </w:tcPr>
          <w:p>
            <w:pPr>
              <w:jc w:val="center"/>
            </w:pPr>
            <w:r/>
            <w:r>
              <w:rPr>
                <w:rFonts w:ascii="Calibri" w:hAnsi="Calibri" w:cs="Calibri"/>
                <w:b w:val="0"/>
                <w:sz w:val="20"/>
              </w:rPr>
              <w:t>97.10</w:t>
            </w:r>
          </w:p>
        </w:tc>
        <w:tc>
          <w:tcPr>
            <w:tcW w:type="dxa" w:w="1701"/>
            <w:vAlign w:val="center"/>
          </w:tcPr>
          <w:p>
            <w:pPr>
              <w:jc w:val="center"/>
            </w:pPr>
            <w:r/>
            <w:r>
              <w:rPr>
                <w:rFonts w:ascii="Calibri" w:hAnsi="Calibri" w:cs="Calibri"/>
                <w:b w:val="0"/>
                <w:color w:val="108010"/>
                <w:sz w:val="20"/>
              </w:rPr>
              <w:t>−0.00</w:t>
            </w:r>
          </w:p>
        </w:tc>
      </w:tr>
    </w:tbl>
    <w:p>
      <w:r>
        <w:rPr>
          <w:rFonts w:ascii="Calibri" w:hAnsi="Calibri" w:cs="Calibri"/>
          <w:b w:val="0"/>
          <w:sz w:val="22"/>
        </w:rPr>
        <w:t>All three models reproduce the paper to within 0.15 percentage points overall, and to within roughly 0.6 pp on every individual scene. The expected ranking by model size is preserved (ViT-L ≥ ViT-B &gt; ViT-S). We attribute the residual differences to non-determinism between the original CUDA training/inference stack and our CPU stack.</w:t>
      </w:r>
    </w:p>
    <w:p>
      <w:pPr>
        <w:spacing w:before="280" w:after="80"/>
      </w:pPr>
      <w:r>
        <w:rPr>
          <w:rFonts w:ascii="Calibri" w:hAnsi="Calibri" w:cs="Calibri"/>
          <w:b/>
          <w:color w:val="1F3864"/>
          <w:sz w:val="36"/>
        </w:rPr>
        <w:t>5. Reproducibility</w:t>
      </w:r>
    </w:p>
    <w:p>
      <w:r>
        <w:rPr>
          <w:rFonts w:ascii="Calibri" w:hAnsi="Calibri" w:cs="Calibri"/>
          <w:b w:val="0"/>
          <w:sz w:val="22"/>
        </w:rPr>
        <w:t>To regenerate the results in this report, run:</w:t>
      </w:r>
    </w:p>
    <w:p>
      <w:pPr>
        <w:ind w:left="340"/>
      </w:pPr>
      <w:r>
        <w:rPr>
          <w:rFonts w:ascii="Consolas" w:hAnsi="Consolas" w:cs="Consolas"/>
          <w:b w:val="0"/>
          <w:sz w:val="20"/>
        </w:rPr>
        <w:t>python data/scripts/slt_data.py evaluate-da2k</w:t>
      </w:r>
    </w:p>
    <w:p>
      <w:pPr>
        <w:spacing w:after="160"/>
        <w:ind w:left="340"/>
      </w:pPr>
      <w:r>
        <w:rPr>
          <w:rFonts w:ascii="Consolas" w:hAnsi="Consolas" w:cs="Consolas"/>
          <w:b w:val="0"/>
          <w:sz w:val="20"/>
        </w:rPr>
        <w:t>python data/scripts/python/build_da2k_report.py</w:t>
      </w:r>
    </w:p>
    <w:p>
      <w:r>
        <w:rPr>
          <w:rFonts w:ascii="Calibri" w:hAnsi="Calibri" w:cs="Calibri"/>
          <w:b w:val="0"/>
          <w:sz w:val="22"/>
        </w:rPr>
        <w:t>All input checkpoints, output predictions, and the aggregate summary are pinned by SHA-256 below. Any party can recompute these hashes to verify that the table values were not edited by hand.</w:t>
      </w:r>
    </w:p>
    <w:p>
      <w:pPr>
        <w:spacing w:before="200" w:after="80"/>
      </w:pPr>
      <w:r>
        <w:rPr>
          <w:rFonts w:ascii="Calibri" w:hAnsi="Calibri" w:cs="Calibri"/>
          <w:b/>
          <w:color w:val="2E75B6"/>
          <w:sz w:val="28"/>
        </w:rPr>
        <w:t>Artifact hashes</w:t>
      </w:r>
    </w:p>
    <w:tbl>
      <w:tblPr>
        <w:tblStyle w:val="LightGrid"/>
        <w:tblW w:type="auto" w:w="0"/>
        <w:jc w:val="center"/>
        <w:tblLook w:firstColumn="1" w:firstRow="1" w:lastColumn="0" w:lastRow="0" w:noHBand="0" w:noVBand="1" w:val="04A0"/>
      </w:tblPr>
      <w:tblGrid>
        <w:gridCol w:w="3249"/>
        <w:gridCol w:w="3249"/>
        <w:gridCol w:w="3249"/>
      </w:tblGrid>
      <w:tr>
        <w:tc>
          <w:tcPr>
            <w:tcW w:type="dxa" w:w="4252"/>
            <w:vAlign w:val="center"/>
            <w:shd w:val="clear" w:color="auto" w:fill="D5E8F0"/>
          </w:tcPr>
          <w:p>
            <w:pPr>
              <w:jc w:val="center"/>
            </w:pPr>
            <w:r/>
            <w:r>
              <w:rPr>
                <w:rFonts w:ascii="Calibri" w:hAnsi="Calibri" w:cs="Calibri"/>
                <w:b/>
                <w:sz w:val="20"/>
              </w:rPr>
              <w:t>File</w:t>
            </w:r>
          </w:p>
        </w:tc>
        <w:tc>
          <w:tcPr>
            <w:tcW w:type="dxa" w:w="1417"/>
            <w:vAlign w:val="center"/>
            <w:shd w:val="clear" w:color="auto" w:fill="D5E8F0"/>
          </w:tcPr>
          <w:p>
            <w:pPr>
              <w:jc w:val="center"/>
            </w:pPr>
            <w:r/>
            <w:r>
              <w:rPr>
                <w:rFonts w:ascii="Calibri" w:hAnsi="Calibri" w:cs="Calibri"/>
                <w:b/>
                <w:sz w:val="20"/>
              </w:rPr>
              <w:t>Size</w:t>
            </w:r>
          </w:p>
        </w:tc>
        <w:tc>
          <w:tcPr>
            <w:tcW w:type="dxa" w:w="3685"/>
            <w:vAlign w:val="center"/>
            <w:shd w:val="clear" w:color="auto" w:fill="D5E8F0"/>
          </w:tcPr>
          <w:p>
            <w:pPr>
              <w:jc w:val="center"/>
            </w:pPr>
            <w:r/>
            <w:r>
              <w:rPr>
                <w:rFonts w:ascii="Calibri" w:hAnsi="Calibri" w:cs="Calibri"/>
                <w:b/>
                <w:sz w:val="20"/>
              </w:rPr>
              <w:t>SHA-256 (first 16 hex chars)</w:t>
            </w:r>
          </w:p>
        </w:tc>
      </w:tr>
      <w:tr>
        <w:tc>
          <w:tcPr>
            <w:tcW w:type="dxa" w:w="4252"/>
            <w:vAlign w:val="center"/>
          </w:tcPr>
          <w:p>
            <w:pPr>
              <w:jc w:val="left"/>
            </w:pPr>
            <w:r/>
            <w:r>
              <w:rPr>
                <w:rFonts w:ascii="Calibri" w:hAnsi="Calibri" w:cs="Calibri"/>
                <w:b w:val="0"/>
                <w:sz w:val="20"/>
              </w:rPr>
              <w:t>data/models/depth_anything_v2_vits.pth</w:t>
            </w:r>
          </w:p>
        </w:tc>
        <w:tc>
          <w:tcPr>
            <w:tcW w:type="dxa" w:w="1417"/>
            <w:vAlign w:val="center"/>
          </w:tcPr>
          <w:p>
            <w:pPr>
              <w:jc w:val="center"/>
            </w:pPr>
            <w:r/>
            <w:r>
              <w:rPr>
                <w:rFonts w:ascii="Calibri" w:hAnsi="Calibri" w:cs="Calibri"/>
                <w:b w:val="0"/>
                <w:sz w:val="20"/>
              </w:rPr>
              <w:t>94.62 MB</w:t>
            </w:r>
          </w:p>
        </w:tc>
        <w:tc>
          <w:tcPr>
            <w:tcW w:type="dxa" w:w="3685"/>
            <w:vAlign w:val="center"/>
          </w:tcPr>
          <w:p>
            <w:pPr>
              <w:jc w:val="left"/>
            </w:pPr>
            <w:r/>
            <w:r>
              <w:rPr>
                <w:rFonts w:ascii="Calibri" w:hAnsi="Calibri" w:cs="Calibri"/>
                <w:b w:val="0"/>
                <w:sz w:val="20"/>
              </w:rPr>
              <w:t>715fade13be8f229…</w:t>
            </w:r>
          </w:p>
        </w:tc>
      </w:tr>
      <w:tr>
        <w:tc>
          <w:tcPr>
            <w:tcW w:type="dxa" w:w="4252"/>
            <w:vAlign w:val="center"/>
          </w:tcPr>
          <w:p>
            <w:pPr>
              <w:jc w:val="left"/>
            </w:pPr>
            <w:r/>
            <w:r>
              <w:rPr>
                <w:rFonts w:ascii="Calibri" w:hAnsi="Calibri" w:cs="Calibri"/>
                <w:b w:val="0"/>
                <w:sz w:val="20"/>
              </w:rPr>
              <w:t>data/outputs/da2k/predictions/vits.jsonl</w:t>
            </w:r>
          </w:p>
        </w:tc>
        <w:tc>
          <w:tcPr>
            <w:tcW w:type="dxa" w:w="1417"/>
            <w:vAlign w:val="center"/>
          </w:tcPr>
          <w:p>
            <w:pPr>
              <w:jc w:val="center"/>
            </w:pPr>
            <w:r/>
            <w:r>
              <w:rPr>
                <w:rFonts w:ascii="Calibri" w:hAnsi="Calibri" w:cs="Calibri"/>
                <w:b w:val="0"/>
                <w:sz w:val="20"/>
              </w:rPr>
              <w:t>509,015 B</w:t>
            </w:r>
          </w:p>
        </w:tc>
        <w:tc>
          <w:tcPr>
            <w:tcW w:type="dxa" w:w="3685"/>
            <w:vAlign w:val="center"/>
          </w:tcPr>
          <w:p>
            <w:pPr>
              <w:jc w:val="left"/>
            </w:pPr>
            <w:r/>
            <w:r>
              <w:rPr>
                <w:rFonts w:ascii="Calibri" w:hAnsi="Calibri" w:cs="Calibri"/>
                <w:b w:val="0"/>
                <w:sz w:val="20"/>
              </w:rPr>
              <w:t>bef92f24284f3dcc…</w:t>
            </w:r>
          </w:p>
        </w:tc>
      </w:tr>
      <w:tr>
        <w:tc>
          <w:tcPr>
            <w:tcW w:type="dxa" w:w="4252"/>
            <w:vAlign w:val="center"/>
          </w:tcPr>
          <w:p>
            <w:pPr>
              <w:jc w:val="left"/>
            </w:pPr>
            <w:r/>
            <w:r>
              <w:rPr>
                <w:rFonts w:ascii="Calibri" w:hAnsi="Calibri" w:cs="Calibri"/>
                <w:b w:val="0"/>
                <w:sz w:val="20"/>
              </w:rPr>
              <w:t>data/models/depth_anything_v2_vitb.pth</w:t>
            </w:r>
          </w:p>
        </w:tc>
        <w:tc>
          <w:tcPr>
            <w:tcW w:type="dxa" w:w="1417"/>
            <w:vAlign w:val="center"/>
          </w:tcPr>
          <w:p>
            <w:pPr>
              <w:jc w:val="center"/>
            </w:pPr>
            <w:r/>
            <w:r>
              <w:rPr>
                <w:rFonts w:ascii="Calibri" w:hAnsi="Calibri" w:cs="Calibri"/>
                <w:b w:val="0"/>
                <w:sz w:val="20"/>
              </w:rPr>
              <w:t>371.90 MB</w:t>
            </w:r>
          </w:p>
        </w:tc>
        <w:tc>
          <w:tcPr>
            <w:tcW w:type="dxa" w:w="3685"/>
            <w:vAlign w:val="center"/>
          </w:tcPr>
          <w:p>
            <w:pPr>
              <w:jc w:val="left"/>
            </w:pPr>
            <w:r/>
            <w:r>
              <w:rPr>
                <w:rFonts w:ascii="Calibri" w:hAnsi="Calibri" w:cs="Calibri"/>
                <w:b w:val="0"/>
                <w:sz w:val="20"/>
              </w:rPr>
              <w:t>0d2b7002e62d39d6…</w:t>
            </w:r>
          </w:p>
        </w:tc>
      </w:tr>
      <w:tr>
        <w:tc>
          <w:tcPr>
            <w:tcW w:type="dxa" w:w="4252"/>
            <w:vAlign w:val="center"/>
          </w:tcPr>
          <w:p>
            <w:pPr>
              <w:jc w:val="left"/>
            </w:pPr>
            <w:r/>
            <w:r>
              <w:rPr>
                <w:rFonts w:ascii="Calibri" w:hAnsi="Calibri" w:cs="Calibri"/>
                <w:b w:val="0"/>
                <w:sz w:val="20"/>
              </w:rPr>
              <w:t>data/outputs/da2k/predictions/vitb.jsonl</w:t>
            </w:r>
          </w:p>
        </w:tc>
        <w:tc>
          <w:tcPr>
            <w:tcW w:type="dxa" w:w="1417"/>
            <w:vAlign w:val="center"/>
          </w:tcPr>
          <w:p>
            <w:pPr>
              <w:jc w:val="center"/>
            </w:pPr>
            <w:r/>
            <w:r>
              <w:rPr>
                <w:rFonts w:ascii="Calibri" w:hAnsi="Calibri" w:cs="Calibri"/>
                <w:b w:val="0"/>
                <w:sz w:val="20"/>
              </w:rPr>
              <w:t>507,790 B</w:t>
            </w:r>
          </w:p>
        </w:tc>
        <w:tc>
          <w:tcPr>
            <w:tcW w:type="dxa" w:w="3685"/>
            <w:vAlign w:val="center"/>
          </w:tcPr>
          <w:p>
            <w:pPr>
              <w:jc w:val="left"/>
            </w:pPr>
            <w:r/>
            <w:r>
              <w:rPr>
                <w:rFonts w:ascii="Calibri" w:hAnsi="Calibri" w:cs="Calibri"/>
                <w:b w:val="0"/>
                <w:sz w:val="20"/>
              </w:rPr>
              <w:t>b3b828bbb885ab2d…</w:t>
            </w:r>
          </w:p>
        </w:tc>
      </w:tr>
      <w:tr>
        <w:tc>
          <w:tcPr>
            <w:tcW w:type="dxa" w:w="4252"/>
            <w:vAlign w:val="center"/>
          </w:tcPr>
          <w:p>
            <w:pPr>
              <w:jc w:val="left"/>
            </w:pPr>
            <w:r/>
            <w:r>
              <w:rPr>
                <w:rFonts w:ascii="Calibri" w:hAnsi="Calibri" w:cs="Calibri"/>
                <w:b w:val="0"/>
                <w:sz w:val="20"/>
              </w:rPr>
              <w:t>data/models/depth_anything_v2_vitl.pth</w:t>
            </w:r>
          </w:p>
        </w:tc>
        <w:tc>
          <w:tcPr>
            <w:tcW w:type="dxa" w:w="1417"/>
            <w:vAlign w:val="center"/>
          </w:tcPr>
          <w:p>
            <w:pPr>
              <w:jc w:val="center"/>
            </w:pPr>
            <w:r/>
            <w:r>
              <w:rPr>
                <w:rFonts w:ascii="Calibri" w:hAnsi="Calibri" w:cs="Calibri"/>
                <w:b w:val="0"/>
                <w:sz w:val="20"/>
              </w:rPr>
              <w:t>1,279.25 MB</w:t>
            </w:r>
          </w:p>
        </w:tc>
        <w:tc>
          <w:tcPr>
            <w:tcW w:type="dxa" w:w="3685"/>
            <w:vAlign w:val="center"/>
          </w:tcPr>
          <w:p>
            <w:pPr>
              <w:jc w:val="left"/>
            </w:pPr>
            <w:r/>
            <w:r>
              <w:rPr>
                <w:rFonts w:ascii="Calibri" w:hAnsi="Calibri" w:cs="Calibri"/>
                <w:b w:val="0"/>
                <w:sz w:val="20"/>
              </w:rPr>
              <w:t>a7ea19fa0ed99244…</w:t>
            </w:r>
          </w:p>
        </w:tc>
      </w:tr>
      <w:tr>
        <w:tc>
          <w:tcPr>
            <w:tcW w:type="dxa" w:w="4252"/>
            <w:vAlign w:val="center"/>
          </w:tcPr>
          <w:p>
            <w:pPr>
              <w:jc w:val="left"/>
            </w:pPr>
            <w:r/>
            <w:r>
              <w:rPr>
                <w:rFonts w:ascii="Calibri" w:hAnsi="Calibri" w:cs="Calibri"/>
                <w:b w:val="0"/>
                <w:sz w:val="20"/>
              </w:rPr>
              <w:t>data/outputs/da2k/predictions/vitl.jsonl</w:t>
            </w:r>
          </w:p>
        </w:tc>
        <w:tc>
          <w:tcPr>
            <w:tcW w:type="dxa" w:w="1417"/>
            <w:vAlign w:val="center"/>
          </w:tcPr>
          <w:p>
            <w:pPr>
              <w:jc w:val="center"/>
            </w:pPr>
            <w:r/>
            <w:r>
              <w:rPr>
                <w:rFonts w:ascii="Calibri" w:hAnsi="Calibri" w:cs="Calibri"/>
                <w:b w:val="0"/>
                <w:sz w:val="20"/>
              </w:rPr>
              <w:t>507,253 B</w:t>
            </w:r>
          </w:p>
        </w:tc>
        <w:tc>
          <w:tcPr>
            <w:tcW w:type="dxa" w:w="3685"/>
            <w:vAlign w:val="center"/>
          </w:tcPr>
          <w:p>
            <w:pPr>
              <w:jc w:val="left"/>
            </w:pPr>
            <w:r/>
            <w:r>
              <w:rPr>
                <w:rFonts w:ascii="Calibri" w:hAnsi="Calibri" w:cs="Calibri"/>
                <w:b w:val="0"/>
                <w:sz w:val="20"/>
              </w:rPr>
              <w:t>ec77eab381dd53ee…</w:t>
            </w:r>
          </w:p>
        </w:tc>
      </w:tr>
      <w:tr>
        <w:tc>
          <w:tcPr>
            <w:tcW w:type="dxa" w:w="4252"/>
            <w:vAlign w:val="center"/>
          </w:tcPr>
          <w:p>
            <w:pPr>
              <w:jc w:val="left"/>
            </w:pPr>
            <w:r/>
            <w:r>
              <w:rPr>
                <w:rFonts w:ascii="Calibri" w:hAnsi="Calibri" w:cs="Calibri"/>
                <w:b w:val="0"/>
                <w:sz w:val="20"/>
              </w:rPr>
              <w:t>data/outputs/da2k/summary.json</w:t>
            </w:r>
          </w:p>
        </w:tc>
        <w:tc>
          <w:tcPr>
            <w:tcW w:type="dxa" w:w="1417"/>
            <w:vAlign w:val="center"/>
          </w:tcPr>
          <w:p>
            <w:pPr>
              <w:jc w:val="center"/>
            </w:pPr>
            <w:r/>
            <w:r>
              <w:rPr>
                <w:rFonts w:ascii="Calibri" w:hAnsi="Calibri" w:cs="Calibri"/>
                <w:b w:val="0"/>
                <w:sz w:val="20"/>
              </w:rPr>
              <w:t>3,715 B</w:t>
            </w:r>
          </w:p>
        </w:tc>
        <w:tc>
          <w:tcPr>
            <w:tcW w:type="dxa" w:w="3685"/>
            <w:vAlign w:val="center"/>
          </w:tcPr>
          <w:p>
            <w:pPr>
              <w:jc w:val="left"/>
            </w:pPr>
            <w:r/>
            <w:r>
              <w:rPr>
                <w:rFonts w:ascii="Calibri" w:hAnsi="Calibri" w:cs="Calibri"/>
                <w:b w:val="0"/>
                <w:sz w:val="20"/>
              </w:rPr>
              <w:t>990d3087c4037838…</w:t>
            </w:r>
          </w:p>
        </w:tc>
      </w:tr>
    </w:tbl>
    <w:p>
      <w:pPr>
        <w:spacing w:before="120"/>
      </w:pPr>
      <w:r>
        <w:rPr>
          <w:rFonts w:ascii="Calibri" w:hAnsi="Calibri" w:cs="Calibri"/>
          <w:b w:val="0"/>
          <w:color w:val="707070"/>
          <w:sz w:val="18"/>
        </w:rPr>
        <w:t>Full 64-character hashes are written verbatim into reports/da2k_artifact_hashes.txt alongside this document.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