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e58cba834cd4b2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6950f3dff9445db"/>
                    <a:stretch>
                      <a:fillRect/>
                    </a:stretch>
                  </pic:blipFill>
                  <pic:spPr>
                    <a:xfrm>
                      <a:off x="0" y="0"/>
                      <a:ext cx="7560000" cy="10692000"/>
                    </a:xfrm>
                    <a:prstGeom prst="rect"/>
                  </pic:spPr>
                </pic:pic>
              </a:graphicData>
            </a:graphic>
          </wp:anchor>
        </w:drawing>
      </w:r>
    </w:p>
    <w:p>
      <w:pPr>
        <w:spacing w:before="4200"/>
      </w:pPr>
      <w:r/>
    </w:p>
    <w:p>
      <w:pPr>
        <w:spacing w:after="120"/>
        <w:ind w:left="1080"/>
      </w:pPr>
      <w:r>
        <w:rPr>
          <w:b/>
          <w:color w:val="F6F4EF"/>
          <w:spacing w:val="120"/>
          <w:sz w:val="110"/>
        </w:rPr>
        <w:t>INAYAZ</w:t>
      </w:r>
    </w:p>
    <w:p>
      <w:pPr>
        <w:spacing w:after="2600"/>
        <w:ind w:left="1080"/>
      </w:pPr>
      <w:r>
        <w:rPr>
          <w:color w:val="B8912F"/>
          <w:spacing w:val="60"/>
          <w:sz w:val="30"/>
        </w:rPr>
        <w:t>Building What's Next</w:t>
      </w:r>
    </w:p>
    <w:p>
      <w:pPr>
        <w:spacing w:after="120"/>
        <w:ind w:left="1080"/>
      </w:pPr>
      <w:r>
        <w:rPr>
          <w:b/>
          <w:color w:val="F6F4EF"/>
          <w:sz w:val="24"/>
        </w:rPr>
        <w:t>Company Profile — Complete Website Compilation</w:t>
      </w:r>
    </w:p>
    <w:p>
      <w:pPr>
        <w:spacing w:after="120"/>
        <w:ind w:left="1080"/>
      </w:pPr>
      <w:r>
        <w:rPr>
          <w:color w:val="AEB9C4"/>
          <w:sz w:val="19"/>
        </w:rPr>
        <w:t>Source: https://inayaz-website.vercel.app/</w:t>
      </w:r>
    </w:p>
    <w:p>
      <w:pPr>
        <w:ind w:left="1080"/>
      </w:pPr>
      <w:r>
        <w:rPr>
          <w:color w:val="AEB9C4"/>
          <w:sz w:val="19"/>
        </w:rPr>
        <w:t>Compiled July 17, 2026  ·  Addis Ababa, Ethiopia</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80"/>
      </w:pPr>
      <w:r>
        <w:rPr>
          <w:color w:val="8D99A6"/>
          <w:sz w:val="18"/>
        </w:rPr>
        <w:t>Right-click the table and choose "Update Field" to refresh page numbers.</w:t>
      </w:r>
    </w:p>
    <w:p>
      <w:r>
        <w:fldChar w:fldCharType="begin"/>
      </w:r>
      <w:r>
        <w:instrText xml:space="preserve"> TOC \o "1-2" \h \z \u </w:instrText>
      </w:r>
      <w:r>
        <w:fldChar w:fldCharType="separate"/>
      </w:r>
    </w:p>
    <w:p>
      <w:pPr>
        <w:pStyle w:val="TOC1"/>
      </w:pPr>
      <w:r>
        <w:t>1. Company at a Glance</w:t>
      </w:r>
      <w:r>
        <w:tab/>
      </w:r>
      <w:r>
        <w:t>3</w:t>
      </w:r>
    </w:p>
    <w:p>
      <w:pPr>
        <w:pStyle w:val="TOC1"/>
      </w:pPr>
      <w:r>
        <w:t>2. About INAYAZ</w:t>
      </w:r>
      <w:r>
        <w:tab/>
      </w:r>
      <w:r>
        <w:t>4</w:t>
      </w:r>
    </w:p>
    <w:p>
      <w:pPr>
        <w:pStyle w:val="TOC2"/>
      </w:pPr>
      <w:r>
        <w:t>Mission</w:t>
      </w:r>
      <w:r>
        <w:tab/>
      </w:r>
      <w:r>
        <w:t>4</w:t>
      </w:r>
    </w:p>
    <w:p>
      <w:pPr>
        <w:pStyle w:val="TOC2"/>
      </w:pPr>
      <w:r>
        <w:t>Vision</w:t>
      </w:r>
      <w:r>
        <w:tab/>
      </w:r>
      <w:r>
        <w:t>4</w:t>
      </w:r>
    </w:p>
    <w:p>
      <w:pPr>
        <w:pStyle w:val="TOC2"/>
      </w:pPr>
      <w:r>
        <w:t>Core Values</w:t>
      </w:r>
      <w:r>
        <w:tab/>
      </w:r>
      <w:r>
        <w:t>4</w:t>
      </w:r>
    </w:p>
    <w:p>
      <w:pPr>
        <w:pStyle w:val="TOC1"/>
      </w:pPr>
      <w:r>
        <w:t>3. Business Sectors &amp; Services</w:t>
      </w:r>
      <w:r>
        <w:tab/>
      </w:r>
      <w:r>
        <w:t>5</w:t>
      </w:r>
    </w:p>
    <w:p>
      <w:pPr>
        <w:pStyle w:val="TOC2"/>
      </w:pPr>
      <w:r>
        <w:t>3.1 Construction &amp; Real Estate</w:t>
      </w:r>
      <w:r>
        <w:tab/>
      </w:r>
      <w:r>
        <w:t>5</w:t>
      </w:r>
    </w:p>
    <w:p>
      <w:pPr>
        <w:pStyle w:val="TOC2"/>
      </w:pPr>
      <w:r>
        <w:t>3.2 Export</w:t>
      </w:r>
      <w:r>
        <w:tab/>
      </w:r>
      <w:r>
        <w:t>5</w:t>
      </w:r>
    </w:p>
    <w:p>
      <w:pPr>
        <w:pStyle w:val="TOC2"/>
      </w:pPr>
      <w:r>
        <w:t>3.3 Import</w:t>
      </w:r>
      <w:r>
        <w:tab/>
      </w:r>
      <w:r>
        <w:t>6</w:t>
      </w:r>
    </w:p>
    <w:p>
      <w:pPr>
        <w:pStyle w:val="TOC2"/>
      </w:pPr>
      <w:r>
        <w:t>3.4 Manufacturing</w:t>
      </w:r>
      <w:r>
        <w:tab/>
      </w:r>
      <w:r>
        <w:t>7</w:t>
      </w:r>
    </w:p>
    <w:p>
      <w:pPr>
        <w:pStyle w:val="TOC2"/>
      </w:pPr>
      <w:r>
        <w:t>3.5 Tour Operation &amp; Travel</w:t>
      </w:r>
      <w:r>
        <w:tab/>
      </w:r>
      <w:r>
        <w:t>7</w:t>
      </w:r>
    </w:p>
    <w:p>
      <w:pPr>
        <w:pStyle w:val="TOC2"/>
      </w:pPr>
      <w:r>
        <w:t>3.6 Machinery &amp; Equipment Rental</w:t>
      </w:r>
      <w:r>
        <w:tab/>
      </w:r>
      <w:r>
        <w:t>8</w:t>
      </w:r>
    </w:p>
    <w:p>
      <w:pPr>
        <w:pStyle w:val="TOC1"/>
      </w:pPr>
      <w:r>
        <w:t>4. Selected Works</w:t>
      </w:r>
      <w:r>
        <w:tab/>
      </w:r>
      <w:r>
        <w:t>9</w:t>
      </w:r>
    </w:p>
    <w:p>
      <w:pPr>
        <w:pStyle w:val="TOC2"/>
      </w:pPr>
      <w:r>
        <w:t>Project Portfolio Overview</w:t>
      </w:r>
      <w:r>
        <w:tab/>
      </w:r>
      <w:r>
        <w:t>9</w:t>
      </w:r>
    </w:p>
    <w:p>
      <w:pPr>
        <w:pStyle w:val="TOC2"/>
      </w:pPr>
      <w:r>
        <w:t>Case Study Highlights</w:t>
      </w:r>
      <w:r>
        <w:tab/>
      </w:r>
      <w:r>
        <w:t>9</w:t>
      </w:r>
    </w:p>
    <w:p>
      <w:pPr>
        <w:pStyle w:val="TOC1"/>
      </w:pPr>
      <w:r>
        <w:t>5. Awards &amp; Recognitions</w:t>
      </w:r>
      <w:r>
        <w:tab/>
      </w:r>
      <w:r>
        <w:t>11</w:t>
      </w:r>
    </w:p>
    <w:p>
      <w:pPr>
        <w:pStyle w:val="TOC1"/>
      </w:pPr>
      <w:r>
        <w:t>6. Why Choose INAYAZ</w:t>
      </w:r>
      <w:r>
        <w:tab/>
      </w:r>
      <w:r>
        <w:t>11</w:t>
      </w:r>
    </w:p>
    <w:p>
      <w:pPr>
        <w:pStyle w:val="TOC1"/>
      </w:pPr>
      <w:r>
        <w:t>7. Group Network &amp; Sub-Brands</w:t>
      </w:r>
      <w:r>
        <w:tab/>
      </w:r>
      <w:r>
        <w:t>12</w:t>
      </w:r>
    </w:p>
    <w:p>
      <w:pPr>
        <w:pStyle w:val="TOC1"/>
      </w:pPr>
      <w:r>
        <w:t>8. News &amp; Updates</w:t>
      </w:r>
      <w:r>
        <w:tab/>
      </w:r>
      <w:r>
        <w:t>12</w:t>
      </w:r>
    </w:p>
    <w:p>
      <w:pPr>
        <w:pStyle w:val="TOC1"/>
      </w:pPr>
      <w:r>
        <w:t>9. Contact Information</w:t>
      </w:r>
      <w:r>
        <w:tab/>
      </w:r>
      <w:r>
        <w:t>13</w:t>
      </w:r>
    </w:p>
    <w:p>
      <w:r>
        <w:fldChar w:fldCharType="end"/>
      </w:r>
    </w:p>
    <w:p>
      <w:pPr>
        <w:sectPr>
          <w:type w:val="nextPage"/>
          <w:pgSz w:w="11906" w:h="16838"/>
          <w:pgMar w:top="1800" w:right="1440" w:bottom="1440" w:left="1440" w:header="720" w:footer="720"/>
        </w:sectPr>
      </w:pPr>
    </w:p>
    <w:p>
      <w:pPr>
        <w:pStyle w:val="Heading1"/>
      </w:pPr>
      <w:r>
        <w:t>1. Company at a Glance</w:t>
      </w:r>
      <w:bookmarkStart w:name="_Toc001" w:id="2"/>
      <w:bookmarkEnd w:id="2"/>
    </w:p>
    <w:p>
      <w:r>
        <w:t xml:space="preserve">INAYAZ — operating on projects as INAYAZ CONSTRUCTION and MATERIAL IMPORT EXPORT — is a diversified Ethiopian business group headquartered in Addis Ababa and active since 2015. The group works across construction and real estate, export, import, manufacturing, tour operation and travel, and machinery &amp; equipment rental, presenting itself with the tagline "Building what's next."</w:t>
      </w:r>
    </w:p>
    <w:p>
      <w:r>
        <w:rPr>
          <w:b/>
          <w:color w:val="22303F"/>
        </w:rPr>
        <w:t>The name.  </w:t>
      </w:r>
      <w:r>
        <w:t xml:space="preserve">INAYAZ (ኢናያ / عناية) means care, concern, attention, protection, kindness, and solicitude.</w:t>
      </w:r>
    </w:p>
    <w:p>
      <w:r>
        <w:rPr>
          <w:b/>
          <w:color w:val="22303F"/>
        </w:rPr>
        <w:t>The philosophy.  </w:t>
      </w:r>
      <w:r>
        <w:t xml:space="preserve">INAYAZ represents our commitment to care, precision, and responsibility in everything we deliver. INAYAZ reflects a philosophy of giving close attention to detail, protecting client interests, and executing projects with integrity and excellence.</w:t>
      </w:r>
    </w:p>
    <w:p>
      <w:r>
        <w:rPr>
          <w:b/>
          <w:color w:val="22303F"/>
        </w:rPr>
        <w:t>Guiding words.  </w:t>
      </w:r>
      <w:r>
        <w:t xml:space="preserve">Precision · Responsibility · Care  —  Legacy  —  Attention to Detail &amp; Excellence.</w:t>
      </w:r>
    </w:p>
    <w:tbl>
      <w:tblPr>
        <w:tblW w:w="5000" w:type="pct"/>
        <w:tblBorders>
          <w:top w:val="single" w:color="22303F" w:sz="12"/>
          <w:left w:val="nil"/>
          <w:bottom w:val="single" w:color="22303F" w:sz="12"/>
          <w:right w:val="nil"/>
          <w:insideH w:val="single" w:color="D9DEE3" w:sz="4"/>
          <w:insideV w:val="nil"/>
        </w:tblBorders>
      </w:tblPr>
      <w:tblGrid>
        <w:gridCol w:w="3200"/>
        <w:gridCol w:w="6160"/>
      </w:tblGrid>
      <w:tr>
        <w:trPr>
          <w:tblHeader/>
        </w:trPr>
        <w:tc>
          <w:tcPr>
            <w:tcW w:w="3200" w:type="dxa"/>
            <w:shd w:val="clear" w:fill="EEF1F4"/>
          </w:tcPr>
          <w:p>
            <w:pPr>
              <w:spacing w:before="60" w:after="60"/>
              <w:jc w:val="left"/>
            </w:pPr>
            <w:r>
              <w:rPr>
                <w:b/>
                <w:color w:val="22303F"/>
                <w:sz w:val="20"/>
              </w:rPr>
              <w:t xml:space="preserve">Item</w:t>
            </w:r>
          </w:p>
        </w:tc>
        <w:tc>
          <w:tcPr>
            <w:tcW w:w="6160" w:type="dxa"/>
            <w:shd w:val="clear" w:fill="EEF1F4"/>
          </w:tcPr>
          <w:p>
            <w:pPr>
              <w:spacing w:before="60" w:after="60"/>
              <w:jc w:val="left"/>
            </w:pPr>
            <w:r>
              <w:rPr>
                <w:b/>
                <w:color w:val="22303F"/>
                <w:sz w:val="20"/>
              </w:rPr>
              <w:t xml:space="preserve">Details</w:t>
            </w:r>
          </w:p>
        </w:tc>
      </w:tr>
      <w:tr>
        <w:tc>
          <w:tcPr>
            <w:tcW w:w="3200" w:type="dxa"/>
          </w:tcPr>
          <w:p>
            <w:pPr>
              <w:spacing w:before="60" w:after="60"/>
              <w:jc w:val="left"/>
            </w:pPr>
            <w:r>
              <w:rPr>
                <w:color w:val="55636F"/>
                <w:sz w:val="20"/>
              </w:rPr>
              <w:t xml:space="preserve">Company</w:t>
            </w:r>
          </w:p>
        </w:tc>
        <w:tc>
          <w:tcPr>
            <w:tcW w:w="6160" w:type="dxa"/>
          </w:tcPr>
          <w:p>
            <w:pPr>
              <w:spacing w:before="60" w:after="60"/>
              <w:jc w:val="left"/>
            </w:pPr>
            <w:r>
              <w:rPr>
                <w:color w:val="55636F"/>
                <w:sz w:val="20"/>
              </w:rPr>
              <w:t xml:space="preserve">INAYAZ (INAYAZ Construction and Material Import Export)</w:t>
            </w:r>
          </w:p>
        </w:tc>
      </w:tr>
      <w:tr>
        <w:tc>
          <w:tcPr>
            <w:tcW w:w="3200" w:type="dxa"/>
          </w:tcPr>
          <w:p>
            <w:pPr>
              <w:spacing w:before="60" w:after="60"/>
              <w:jc w:val="left"/>
            </w:pPr>
            <w:r>
              <w:rPr>
                <w:color w:val="55636F"/>
                <w:sz w:val="20"/>
              </w:rPr>
              <w:t xml:space="preserve">Name meaning</w:t>
            </w:r>
          </w:p>
        </w:tc>
        <w:tc>
          <w:tcPr>
            <w:tcW w:w="6160" w:type="dxa"/>
          </w:tcPr>
          <w:p>
            <w:pPr>
              <w:spacing w:before="60" w:after="60"/>
              <w:jc w:val="left"/>
            </w:pPr>
            <w:r>
              <w:rPr>
                <w:color w:val="55636F"/>
                <w:sz w:val="20"/>
              </w:rPr>
              <w:t xml:space="preserve">Care, concern, attention, protection, kindness, solicitude (ኢናያ / عناية)</w:t>
            </w:r>
          </w:p>
        </w:tc>
      </w:tr>
      <w:tr>
        <w:tc>
          <w:tcPr>
            <w:tcW w:w="3200" w:type="dxa"/>
          </w:tcPr>
          <w:p>
            <w:pPr>
              <w:spacing w:before="60" w:after="60"/>
              <w:jc w:val="left"/>
            </w:pPr>
            <w:r>
              <w:rPr>
                <w:color w:val="55636F"/>
                <w:sz w:val="20"/>
              </w:rPr>
              <w:t xml:space="preserve">Operating since</w:t>
            </w:r>
          </w:p>
        </w:tc>
        <w:tc>
          <w:tcPr>
            <w:tcW w:w="6160" w:type="dxa"/>
          </w:tcPr>
          <w:p>
            <w:pPr>
              <w:spacing w:before="60" w:after="60"/>
              <w:jc w:val="left"/>
            </w:pPr>
            <w:r>
              <w:rPr>
                <w:color w:val="55636F"/>
                <w:sz w:val="20"/>
              </w:rPr>
              <w:t xml:space="preserve">2015 — "A Legacy of Excellence"</w:t>
            </w:r>
          </w:p>
        </w:tc>
      </w:tr>
      <w:tr>
        <w:tc>
          <w:tcPr>
            <w:tcW w:w="3200" w:type="dxa"/>
          </w:tcPr>
          <w:p>
            <w:pPr>
              <w:spacing w:before="60" w:after="60"/>
              <w:jc w:val="left"/>
            </w:pPr>
            <w:r>
              <w:rPr>
                <w:color w:val="55636F"/>
                <w:sz w:val="20"/>
              </w:rPr>
              <w:t xml:space="preserve">Headquarters</w:t>
            </w:r>
          </w:p>
        </w:tc>
        <w:tc>
          <w:tcPr>
            <w:tcW w:w="6160" w:type="dxa"/>
          </w:tcPr>
          <w:p>
            <w:pPr>
              <w:spacing w:before="60" w:after="60"/>
              <w:jc w:val="left"/>
            </w:pPr>
            <w:r>
              <w:rPr>
                <w:color w:val="55636F"/>
                <w:sz w:val="20"/>
              </w:rPr>
              <w:t xml:space="preserve">ZULYEKA Building, 6th Floor, Office 603, Addis Ababa, Ethiopia</w:t>
            </w:r>
          </w:p>
        </w:tc>
      </w:tr>
      <w:tr>
        <w:tc>
          <w:tcPr>
            <w:tcW w:w="3200" w:type="dxa"/>
          </w:tcPr>
          <w:p>
            <w:pPr>
              <w:spacing w:before="60" w:after="60"/>
              <w:jc w:val="left"/>
            </w:pPr>
            <w:r>
              <w:rPr>
                <w:color w:val="55636F"/>
                <w:sz w:val="20"/>
              </w:rPr>
              <w:t xml:space="preserve">Contractor grade</w:t>
            </w:r>
          </w:p>
        </w:tc>
        <w:tc>
          <w:tcPr>
            <w:tcW w:w="6160" w:type="dxa"/>
          </w:tcPr>
          <w:p>
            <w:pPr>
              <w:spacing w:before="60" w:after="60"/>
              <w:jc w:val="left"/>
            </w:pPr>
            <w:r>
              <w:rPr>
                <w:color w:val="55636F"/>
                <w:sz w:val="20"/>
              </w:rPr>
              <w:t xml:space="preserve">Category 1 General Contractor (GC-1)</w:t>
            </w:r>
          </w:p>
        </w:tc>
      </w:tr>
      <w:tr>
        <w:tc>
          <w:tcPr>
            <w:tcW w:w="3200" w:type="dxa"/>
          </w:tcPr>
          <w:p>
            <w:pPr>
              <w:spacing w:before="60" w:after="60"/>
              <w:jc w:val="left"/>
            </w:pPr>
            <w:r>
              <w:rPr>
                <w:color w:val="55636F"/>
                <w:sz w:val="20"/>
              </w:rPr>
              <w:t xml:space="preserve">Business sectors</w:t>
            </w:r>
          </w:p>
        </w:tc>
        <w:tc>
          <w:tcPr>
            <w:tcW w:w="6160" w:type="dxa"/>
          </w:tcPr>
          <w:p>
            <w:pPr>
              <w:spacing w:before="60" w:after="60"/>
              <w:jc w:val="left"/>
            </w:pPr>
            <w:r>
              <w:rPr>
                <w:color w:val="55636F"/>
                <w:sz w:val="20"/>
              </w:rPr>
              <w:t xml:space="preserve">Construction &amp; Real Estate; Export; Import; Manufacturing; Tour Operation &amp; Travel; Machinery &amp; Equipment Rental</w:t>
            </w:r>
          </w:p>
        </w:tc>
      </w:tr>
      <w:tr>
        <w:tc>
          <w:tcPr>
            <w:tcW w:w="3200" w:type="dxa"/>
          </w:tcPr>
          <w:p>
            <w:pPr>
              <w:spacing w:before="60" w:after="60"/>
              <w:jc w:val="left"/>
            </w:pPr>
            <w:r>
              <w:rPr>
                <w:color w:val="55636F"/>
                <w:sz w:val="20"/>
              </w:rPr>
              <w:t xml:space="preserve">Email</w:t>
            </w:r>
          </w:p>
        </w:tc>
        <w:tc>
          <w:tcPr>
            <w:tcW w:w="6160" w:type="dxa"/>
          </w:tcPr>
          <w:p>
            <w:pPr>
              <w:spacing w:before="60" w:after="60"/>
              <w:jc w:val="left"/>
            </w:pPr>
            <w:r>
              <w:rPr>
                <w:color w:val="55636F"/>
                <w:sz w:val="20"/>
              </w:rPr>
              <w:t xml:space="preserve">info@inayazgroup.com</w:t>
            </w:r>
          </w:p>
        </w:tc>
      </w:tr>
      <w:tr>
        <w:tc>
          <w:tcPr>
            <w:tcW w:w="3200" w:type="dxa"/>
          </w:tcPr>
          <w:p>
            <w:pPr>
              <w:spacing w:before="60" w:after="60"/>
              <w:jc w:val="left"/>
            </w:pPr>
            <w:r>
              <w:rPr>
                <w:color w:val="55636F"/>
                <w:sz w:val="20"/>
              </w:rPr>
              <w:t xml:space="preserve">Phone</w:t>
            </w:r>
          </w:p>
        </w:tc>
        <w:tc>
          <w:tcPr>
            <w:tcW w:w="6160" w:type="dxa"/>
          </w:tcPr>
          <w:p>
            <w:pPr>
              <w:spacing w:before="60" w:after="60"/>
              <w:jc w:val="left"/>
            </w:pPr>
            <w:r>
              <w:rPr>
                <w:color w:val="55636F"/>
                <w:sz w:val="20"/>
              </w:rPr>
              <w:t xml:space="preserve">+251 973 223 312  ·  +251 968 666 664</w:t>
            </w:r>
          </w:p>
        </w:tc>
      </w:tr>
      <w:tr>
        <w:tc>
          <w:tcPr>
            <w:tcW w:w="3200" w:type="dxa"/>
          </w:tcPr>
          <w:p>
            <w:pPr>
              <w:spacing w:before="60" w:after="60"/>
              <w:jc w:val="left"/>
            </w:pPr>
            <w:r>
              <w:rPr>
                <w:color w:val="55636F"/>
                <w:sz w:val="20"/>
              </w:rPr>
              <w:t xml:space="preserve">Website</w:t>
            </w:r>
          </w:p>
        </w:tc>
        <w:tc>
          <w:tcPr>
            <w:tcW w:w="6160" w:type="dxa"/>
          </w:tcPr>
          <w:p>
            <w:pPr>
              <w:spacing w:before="60" w:after="60"/>
              <w:jc w:val="left"/>
            </w:pPr>
            <w:r>
              <w:rPr>
                <w:color w:val="55636F"/>
                <w:sz w:val="20"/>
              </w:rPr>
              <w:t xml:space="preserve">https://inayaz-website.vercel.app/</w:t>
            </w:r>
          </w:p>
        </w:tc>
      </w:tr>
    </w:tbl>
    <w:p>
      <w:pPr>
        <w:spacing w:after="200"/>
      </w:pPr>
      <w:r>
        <w:rPr>
          <w:i/>
          <w:color w:val="8D99A6"/>
          <w:sz w:val="18"/>
        </w:rPr>
        <w:t xml:space="preserve">All information in this document is compiled from the company's public website as of July 17, 2026.</w:t>
      </w:r>
    </w:p>
    <w:p>
      <w:pPr>
        <w:pStyle w:val="Heading1"/>
      </w:pPr>
      <w:r>
        <w:t>2. About INAYAZ</w:t>
      </w:r>
      <w:bookmarkStart w:name="_Toc002" w:id="3"/>
      <w:bookmarkEnd w:id="3"/>
    </w:p>
    <w:p>
      <w:r>
        <w:t xml:space="preserve">The About page introduces the company with the statements "Built on Purpose. Driven by Integrity." and "Grounded in Humility, Committed to Excellence." — and marks the group's history with "Since 2015: A Legacy of Excellence."</w:t>
      </w:r>
    </w:p>
    <w:p>
      <w:pPr>
        <w:pStyle w:val="Heading2"/>
      </w:pPr>
      <w:r>
        <w:t>Mission</w:t>
      </w:r>
    </w:p>
    <w:p>
      <w:r>
        <w:t xml:space="preserve">Our mission is to deliver high-quality construction, real estate, manufacturing, import, and export services that meet international standards while contributing to economic growth. Through skilled professionals, modern technology, and efficient project management, we strive to create long-term value for our clients, partners, employees, and stakeholders while maintaining the highest standards of integrity, safety, and environmental responsibility.</w:t>
      </w:r>
    </w:p>
    <w:p>
      <w:pPr>
        <w:pStyle w:val="Heading2"/>
      </w:pPr>
      <w:r>
        <w:t>Vision</w:t>
      </w:r>
    </w:p>
    <w:p>
      <w:r>
        <w:t xml:space="preserve">To become a leading and trusted construction and diversified business group in Ethiopia and the region, recognized for excellence, innovation, integrity, and sustainable development.</w:t>
      </w:r>
    </w:p>
    <w:p>
      <w:pPr>
        <w:pStyle w:val="Heading2"/>
      </w:pPr>
      <w:r>
        <w:t>Core Values</w:t>
      </w:r>
    </w:p>
    <w:p>
      <w:pPr>
        <w:spacing w:after="120"/>
        <w:ind w:left="460" w:hanging="260"/>
      </w:pPr>
      <w:r>
        <w:rPr>
          <w:b/>
          <w:color w:val="B8912F"/>
        </w:rPr>
        <w:t>•  </w:t>
      </w:r>
      <w:r>
        <w:rPr>
          <w:b/>
          <w:color w:val="22303F"/>
        </w:rPr>
        <w:t>Integrity — </w:t>
      </w:r>
      <w:r>
        <w:t xml:space="preserve">We conduct business with transparency, accountability, and ethical responsibility.</w:t>
      </w:r>
    </w:p>
    <w:p>
      <w:pPr>
        <w:spacing w:after="120"/>
        <w:ind w:left="460" w:hanging="260"/>
      </w:pPr>
      <w:r>
        <w:rPr>
          <w:b/>
          <w:color w:val="B8912F"/>
        </w:rPr>
        <w:t>•  </w:t>
      </w:r>
      <w:r>
        <w:rPr>
          <w:b/>
          <w:color w:val="22303F"/>
        </w:rPr>
        <w:t>Quality Excellence — </w:t>
      </w:r>
      <w:r>
        <w:t xml:space="preserve">We commit to delivering projects that meet or exceed specifications and client expectations.</w:t>
      </w:r>
    </w:p>
    <w:p>
      <w:pPr>
        <w:spacing w:after="120"/>
        <w:ind w:left="460" w:hanging="260"/>
      </w:pPr>
      <w:r>
        <w:rPr>
          <w:b/>
          <w:color w:val="B8912F"/>
        </w:rPr>
        <w:t>•  </w:t>
      </w:r>
      <w:r>
        <w:rPr>
          <w:b/>
          <w:color w:val="22303F"/>
        </w:rPr>
        <w:t>Innovation — </w:t>
      </w:r>
      <w:r>
        <w:t xml:space="preserve">We integrate modern technologies, efficient systems, and continuous improvement practices.</w:t>
      </w:r>
    </w:p>
    <w:p>
      <w:pPr>
        <w:spacing w:after="120"/>
        <w:ind w:left="460" w:hanging="260"/>
      </w:pPr>
      <w:r>
        <w:rPr>
          <w:b/>
          <w:color w:val="B8912F"/>
        </w:rPr>
        <w:t>•  </w:t>
      </w:r>
      <w:r>
        <w:rPr>
          <w:b/>
          <w:color w:val="22303F"/>
        </w:rPr>
        <w:t>Professionalism — </w:t>
      </w:r>
      <w:r>
        <w:t xml:space="preserve">We maintain disciplined project management, skilled manpower, and strong leadership.</w:t>
      </w:r>
    </w:p>
    <w:p>
      <w:pPr>
        <w:spacing w:after="120"/>
        <w:ind w:left="460" w:hanging="260"/>
      </w:pPr>
      <w:r>
        <w:rPr>
          <w:b/>
          <w:color w:val="B8912F"/>
        </w:rPr>
        <w:t>•  </w:t>
      </w:r>
      <w:r>
        <w:rPr>
          <w:b/>
          <w:color w:val="22303F"/>
        </w:rPr>
        <w:t>Safety First — </w:t>
      </w:r>
      <w:r>
        <w:t xml:space="preserve">We prioritize the health and safety of employees, subcontractors, and communities.</w:t>
      </w:r>
    </w:p>
    <w:p>
      <w:pPr>
        <w:pStyle w:val="Heading1"/>
      </w:pPr>
      <w:r>
        <w:t>3. Business Sectors &amp; Services</w:t>
      </w:r>
      <w:bookmarkStart w:name="_Toc003" w:id="4"/>
      <w:bookmarkEnd w:id="4"/>
    </w:p>
    <w:p>
      <w:r>
        <w:t xml:space="preserve">The group presents six sectors under the banner "Integrated Expertise. Uncompromised Scale."</w:t>
      </w:r>
    </w:p>
    <w:p>
      <w:pPr>
        <w:pStyle w:val="Heading2"/>
      </w:pPr>
      <w:r>
        <w:t>3.1 Construction &amp; Real Estate</w:t>
      </w:r>
    </w:p>
    <w:p>
      <w:r>
        <w:t xml:space="preserve">As a Category 1 General Contractor, INAYAZ seamlessly integrates technical excellence with visionary real estate development to redefine Ethiopia's modern landscape. By combining robust project management and financial reliability with a deep understanding of contemporary living, the company delivers properties designed for lasting comfort and enduring investment value — from demanding large-scale construction to premium residential spaces — built to the highest international standards of quality and innovation.</w:t>
      </w:r>
    </w:p>
    <w:p>
      <w:pPr>
        <w:spacing w:after="120"/>
        <w:ind w:left="460" w:hanging="260"/>
      </w:pPr>
      <w:r>
        <w:rPr>
          <w:b/>
          <w:color w:val="B8912F"/>
        </w:rPr>
        <w:t>•  </w:t>
      </w:r>
      <w:r>
        <w:t xml:space="preserve">Category 1 General Contracting (GC-1)</w:t>
      </w:r>
    </w:p>
    <w:p>
      <w:pPr>
        <w:spacing w:after="120"/>
        <w:ind w:left="460" w:hanging="260"/>
      </w:pPr>
      <w:r>
        <w:rPr>
          <w:b/>
          <w:color w:val="B8912F"/>
        </w:rPr>
        <w:t>•  </w:t>
      </w:r>
      <w:r>
        <w:t xml:space="preserve">High-rise building construction (G+10 and above)</w:t>
      </w:r>
    </w:p>
    <w:p>
      <w:pPr>
        <w:spacing w:after="120"/>
        <w:ind w:left="460" w:hanging="260"/>
      </w:pPr>
      <w:r>
        <w:rPr>
          <w:b/>
          <w:color w:val="B8912F"/>
        </w:rPr>
        <w:t>•  </w:t>
      </w:r>
      <w:r>
        <w:t xml:space="preserve">Residential and commercial developments</w:t>
      </w:r>
    </w:p>
    <w:p>
      <w:pPr>
        <w:spacing w:after="120"/>
        <w:ind w:left="460" w:hanging="260"/>
      </w:pPr>
      <w:r>
        <w:rPr>
          <w:b/>
          <w:color w:val="B8912F"/>
        </w:rPr>
        <w:t>•  </w:t>
      </w:r>
      <w:r>
        <w:t xml:space="preserve">Real estate development</w:t>
      </w:r>
    </w:p>
    <w:p>
      <w:pPr>
        <w:spacing w:after="120"/>
        <w:ind w:left="460" w:hanging="260"/>
      </w:pPr>
      <w:r>
        <w:rPr>
          <w:b/>
          <w:color w:val="B8912F"/>
        </w:rPr>
        <w:t>•  </w:t>
      </w:r>
      <w:r>
        <w:t xml:space="preserve">Project management services</w:t>
      </w:r>
    </w:p>
    <w:p>
      <w:pPr>
        <w:spacing w:after="120"/>
        <w:ind w:left="460" w:hanging="260"/>
      </w:pPr>
      <w:r>
        <w:rPr>
          <w:b/>
          <w:color w:val="B8912F"/>
        </w:rPr>
        <w:t>•  </w:t>
      </w:r>
      <w:r>
        <w:t xml:space="preserve">Machinery and equipment rental</w:t>
      </w:r>
    </w:p>
    <w:p>
      <w:pPr>
        <w:pStyle w:val="Heading2"/>
      </w:pPr>
      <w:r>
        <w:t>3.2 Export</w:t>
      </w:r>
    </w:p>
    <w:p>
      <w:r>
        <w:t xml:space="preserve">INAYAZ Export Trade connects high-value agricultural products with international markets through reliable export operations, quality-focused sourcing, and market-driven trade solutions.</w:t>
      </w:r>
    </w:p>
    <w:p>
      <w:pPr>
        <w:spacing w:after="120"/>
        <w:ind w:left="460" w:hanging="260"/>
      </w:pPr>
      <w:r>
        <w:rPr>
          <w:b/>
          <w:color w:val="B8912F"/>
        </w:rPr>
        <w:t>•  </w:t>
      </w:r>
      <w:r>
        <w:t xml:space="preserve">Coffee &amp; Tea</w:t>
      </w:r>
    </w:p>
    <w:p>
      <w:pPr>
        <w:spacing w:after="120"/>
        <w:ind w:left="460" w:hanging="260"/>
      </w:pPr>
      <w:r>
        <w:rPr>
          <w:b/>
          <w:color w:val="B8912F"/>
        </w:rPr>
        <w:t>•  </w:t>
      </w:r>
      <w:r>
        <w:t xml:space="preserve">Oil Seeds</w:t>
      </w:r>
    </w:p>
    <w:p>
      <w:pPr>
        <w:spacing w:after="120"/>
        <w:ind w:left="460" w:hanging="260"/>
      </w:pPr>
      <w:r>
        <w:rPr>
          <w:b/>
          <w:color w:val="B8912F"/>
        </w:rPr>
        <w:t>•  </w:t>
      </w:r>
      <w:r>
        <w:t xml:space="preserve">Cereals &amp; Pulses</w:t>
      </w:r>
    </w:p>
    <w:p>
      <w:pPr>
        <w:spacing w:after="120"/>
        <w:ind w:left="460" w:hanging="260"/>
      </w:pPr>
      <w:r>
        <w:rPr>
          <w:b/>
          <w:color w:val="B8912F"/>
        </w:rPr>
        <w:t>•  </w:t>
      </w:r>
      <w:r>
        <w:t xml:space="preserve">Fruits &amp; Vegetables</w:t>
      </w:r>
    </w:p>
    <w:p>
      <w:pPr>
        <w:spacing w:after="120"/>
        <w:ind w:left="460" w:hanging="260"/>
      </w:pPr>
      <w:r>
        <w:rPr>
          <w:b/>
          <w:color w:val="B8912F"/>
        </w:rPr>
        <w:t>•  </w:t>
      </w:r>
      <w:r>
        <w:t xml:space="preserve">Spices</w:t>
      </w:r>
    </w:p>
    <w:p>
      <w:pPr>
        <w:pStyle w:val="Heading2"/>
      </w:pPr>
      <w:r>
        <w:t>3.3 Import</w:t>
      </w:r>
    </w:p>
    <w:p>
      <w:r>
        <w:t xml:space="preserve">Presented under "Sourced Globally. Delivered Locally. — The Machinery Behind Ethiopia's Progress," INAYAZ Import serves contractors, manufacturers, developers, and industry operators with reliable access to world-class equipment and materials — a "trusted supply chain for industrial Ethiopia."</w:t>
      </w:r>
    </w:p>
    <w:p>
      <w:pPr>
        <w:spacing w:after="120"/>
        <w:ind w:left="460" w:hanging="260"/>
      </w:pPr>
      <w:r>
        <w:rPr>
          <w:b/>
          <w:color w:val="B8912F"/>
        </w:rPr>
        <w:t>•  </w:t>
      </w:r>
      <w:r>
        <w:t xml:space="preserve">Vehicles</w:t>
      </w:r>
    </w:p>
    <w:p>
      <w:pPr>
        <w:spacing w:after="120"/>
        <w:ind w:left="460" w:hanging="260"/>
      </w:pPr>
      <w:r>
        <w:rPr>
          <w:b/>
          <w:color w:val="B8912F"/>
        </w:rPr>
        <w:t>•  </w:t>
      </w:r>
      <w:r>
        <w:t xml:space="preserve">Industrial &amp; Construction Machineries</w:t>
      </w:r>
    </w:p>
    <w:p>
      <w:pPr>
        <w:spacing w:after="120"/>
        <w:ind w:left="460" w:hanging="260"/>
      </w:pPr>
      <w:r>
        <w:rPr>
          <w:b/>
          <w:color w:val="B8912F"/>
        </w:rPr>
        <w:t>•  </w:t>
      </w:r>
      <w:r>
        <w:t xml:space="preserve">Electrical Equipment</w:t>
      </w:r>
    </w:p>
    <w:p>
      <w:pPr>
        <w:spacing w:after="120"/>
        <w:ind w:left="460" w:hanging="260"/>
      </w:pPr>
      <w:r>
        <w:rPr>
          <w:b/>
          <w:color w:val="B8912F"/>
        </w:rPr>
        <w:t>•  </w:t>
      </w:r>
      <w:r>
        <w:t xml:space="preserve">Metal Material &amp; Non-Metal Scraps</w:t>
      </w:r>
    </w:p>
    <w:p>
      <w:pPr>
        <w:pStyle w:val="Heading3"/>
      </w:pPr>
      <w:r>
        <w:t>Key figures</w:t>
      </w:r>
    </w:p>
    <w:p>
      <w:pPr>
        <w:spacing w:after="120"/>
        <w:ind w:left="460" w:hanging="260"/>
      </w:pPr>
      <w:r>
        <w:rPr>
          <w:b/>
          <w:color w:val="B8912F"/>
        </w:rPr>
        <w:t>•  </w:t>
      </w:r>
      <w:r>
        <w:rPr>
          <w:b/>
          <w:color w:val="22303F"/>
        </w:rPr>
        <w:t>5+ — </w:t>
      </w:r>
      <w:r>
        <w:t xml:space="preserve">Import product categories</w:t>
      </w:r>
    </w:p>
    <w:p>
      <w:pPr>
        <w:spacing w:after="120"/>
        <w:ind w:left="460" w:hanging="260"/>
      </w:pPr>
      <w:r>
        <w:rPr>
          <w:b/>
          <w:color w:val="B8912F"/>
        </w:rPr>
        <w:t>•  </w:t>
      </w:r>
      <w:r>
        <w:rPr>
          <w:b/>
          <w:color w:val="22303F"/>
        </w:rPr>
        <w:t>10+ — </w:t>
      </w:r>
      <w:r>
        <w:t xml:space="preserve">Years of trade experience</w:t>
      </w:r>
    </w:p>
    <w:p>
      <w:pPr>
        <w:spacing w:after="120"/>
        <w:ind w:left="460" w:hanging="260"/>
      </w:pPr>
      <w:r>
        <w:rPr>
          <w:b/>
          <w:color w:val="B8912F"/>
        </w:rPr>
        <w:t>•  </w:t>
      </w:r>
      <w:r>
        <w:rPr>
          <w:b/>
          <w:color w:val="22303F"/>
        </w:rPr>
        <w:t>100% — </w:t>
      </w:r>
      <w:r>
        <w:t xml:space="preserve">Documentation compliance</w:t>
      </w:r>
    </w:p>
    <w:p>
      <w:pPr>
        <w:pStyle w:val="Heading3"/>
      </w:pPr>
      <w:r>
        <w:t>Import process</w:t>
      </w:r>
    </w:p>
    <w:p>
      <w:pPr>
        <w:spacing w:after="120"/>
        <w:ind w:left="460" w:hanging="260"/>
      </w:pPr>
      <w:r>
        <w:rPr>
          <w:b/>
          <w:color w:val="B8912F"/>
        </w:rPr>
        <w:t>•  </w:t>
      </w:r>
      <w:r>
        <w:rPr>
          <w:b/>
          <w:color w:val="22303F"/>
        </w:rPr>
        <w:t>01 Needs Assessment — </w:t>
      </w:r>
      <w:r>
        <w:t xml:space="preserve">Understanding your technical specifications, quantity, and delivery requirements.</w:t>
      </w:r>
    </w:p>
    <w:p>
      <w:pPr>
        <w:spacing w:after="120"/>
        <w:ind w:left="460" w:hanging="260"/>
      </w:pPr>
      <w:r>
        <w:rPr>
          <w:b/>
          <w:color w:val="B8912F"/>
        </w:rPr>
        <w:t>•  </w:t>
      </w:r>
      <w:r>
        <w:rPr>
          <w:b/>
          <w:color w:val="22303F"/>
        </w:rPr>
        <w:t>02 Supplier Sourcing — </w:t>
      </w:r>
      <w:r>
        <w:t xml:space="preserve">Identifying and vetting reliable international suppliers who meet your standards.</w:t>
      </w:r>
    </w:p>
    <w:p>
      <w:pPr>
        <w:spacing w:after="120"/>
        <w:ind w:left="460" w:hanging="260"/>
      </w:pPr>
      <w:r>
        <w:rPr>
          <w:b/>
          <w:color w:val="B8912F"/>
        </w:rPr>
        <w:t>•  </w:t>
      </w:r>
      <w:r>
        <w:rPr>
          <w:b/>
          <w:color w:val="22303F"/>
        </w:rPr>
        <w:t>03 Procurement &amp; Order Placement — </w:t>
      </w:r>
      <w:r>
        <w:t xml:space="preserve">Managing purchase agreements, pricing negotiation, and order confirmation.</w:t>
      </w:r>
    </w:p>
    <w:p>
      <w:pPr>
        <w:spacing w:after="120"/>
        <w:ind w:left="460" w:hanging="260"/>
      </w:pPr>
      <w:r>
        <w:rPr>
          <w:b/>
          <w:color w:val="B8912F"/>
        </w:rPr>
        <w:t>•  </w:t>
      </w:r>
      <w:r>
        <w:rPr>
          <w:b/>
          <w:color w:val="22303F"/>
        </w:rPr>
        <w:t>04 Shipping &amp; Freight Management — </w:t>
      </w:r>
      <w:r>
        <w:t xml:space="preserve">Sea or air freight coordination including insurance and cargo tracking.</w:t>
      </w:r>
    </w:p>
    <w:p>
      <w:pPr>
        <w:pStyle w:val="Heading3"/>
      </w:pPr>
      <w:r>
        <w:t>Import services</w:t>
      </w:r>
    </w:p>
    <w:p>
      <w:pPr>
        <w:spacing w:after="120"/>
        <w:ind w:left="460" w:hanging="260"/>
      </w:pPr>
      <w:r>
        <w:rPr>
          <w:b/>
          <w:color w:val="B8912F"/>
        </w:rPr>
        <w:t>•  </w:t>
      </w:r>
      <w:r>
        <w:rPr>
          <w:b/>
          <w:color w:val="22303F"/>
        </w:rPr>
        <w:t>Premium &amp; Passenger Automobiles — </w:t>
      </w:r>
      <w:r>
        <w:t xml:space="preserve">Dependable, high-performance passenger vehicles and corporate fleets from leading global manufacturers, delivering safety, efficiency, and modern engineering to the local automotive market.</w:t>
      </w:r>
    </w:p>
    <w:p>
      <w:pPr>
        <w:spacing w:after="120"/>
        <w:ind w:left="460" w:hanging="260"/>
      </w:pPr>
      <w:r>
        <w:rPr>
          <w:b/>
          <w:color w:val="B8912F"/>
        </w:rPr>
        <w:t>•  </w:t>
      </w:r>
      <w:r>
        <w:rPr>
          <w:b/>
          <w:color w:val="22303F"/>
        </w:rPr>
        <w:t>Commercial &amp; Construction Vehicles — </w:t>
      </w:r>
      <w:r>
        <w:t xml:space="preserve">Robust, heavy-duty utility vehicles — including high-capacity dump trucks, transit mixers, and specialized transport fleets — engineered for intense on-site logistics and heavy material hauling.</w:t>
      </w:r>
    </w:p>
    <w:p>
      <w:pPr>
        <w:spacing w:after="120"/>
        <w:ind w:left="460" w:hanging="260"/>
      </w:pPr>
      <w:r>
        <w:rPr>
          <w:b/>
          <w:color w:val="B8912F"/>
        </w:rPr>
        <w:t>•  </w:t>
      </w:r>
      <w:r>
        <w:rPr>
          <w:b/>
          <w:color w:val="22303F"/>
        </w:rPr>
        <w:t>Industrial &amp; Bulk Materials — </w:t>
      </w:r>
      <w:r>
        <w:t xml:space="preserve">High-volume import of critical bulk materials and specialized engineering components, ensuring a reliable, volatility-insulated supply chain for large-scale development projects.</w:t>
      </w:r>
    </w:p>
    <w:p>
      <w:pPr>
        <w:spacing w:after="120"/>
        <w:ind w:left="460" w:hanging="260"/>
      </w:pPr>
      <w:r>
        <w:rPr>
          <w:b/>
          <w:color w:val="B8912F"/>
        </w:rPr>
        <w:t>•  </w:t>
      </w:r>
      <w:r>
        <w:rPr>
          <w:b/>
          <w:color w:val="22303F"/>
        </w:rPr>
        <w:t>Heavy-Duty Construction Machinery — </w:t>
      </w:r>
      <w:r>
        <w:t xml:space="preserve">Elite industrial assets for the local construction ecosystem, including high-pressure concrete pumps, tower cranes, and earthmoving fleets sourced from trusted global manufacturers.</w:t>
      </w:r>
    </w:p>
    <w:p>
      <w:pPr>
        <w:pStyle w:val="Heading3"/>
      </w:pPr>
      <w:r>
        <w:t>Why choose INAYAZ Import</w:t>
      </w:r>
    </w:p>
    <w:p>
      <w:pPr>
        <w:spacing w:after="120"/>
        <w:ind w:left="460" w:hanging="260"/>
      </w:pPr>
      <w:r>
        <w:rPr>
          <w:b/>
          <w:color w:val="B8912F"/>
        </w:rPr>
        <w:t>•  </w:t>
      </w:r>
      <w:r>
        <w:rPr>
          <w:b/>
          <w:color w:val="22303F"/>
        </w:rPr>
        <w:t>Global Sourcing Network — </w:t>
      </w:r>
      <w:r>
        <w:t xml:space="preserve">Access to verified international suppliers across Asia, Europe, and the Middle East — quality products at competitive prices.</w:t>
      </w:r>
    </w:p>
    <w:p>
      <w:pPr>
        <w:spacing w:after="120"/>
        <w:ind w:left="460" w:hanging="260"/>
      </w:pPr>
      <w:r>
        <w:rPr>
          <w:b/>
          <w:color w:val="B8912F"/>
        </w:rPr>
        <w:t>•  </w:t>
      </w:r>
      <w:r>
        <w:rPr>
          <w:b/>
          <w:color w:val="22303F"/>
        </w:rPr>
        <w:t>Regulatory Expertise — </w:t>
      </w:r>
      <w:r>
        <w:t xml:space="preserve">Navigating Ethiopian import regulations, customs procedures, and documentation with precision — minimizing delays and compliance risk.</w:t>
      </w:r>
    </w:p>
    <w:p>
      <w:pPr>
        <w:spacing w:after="120"/>
        <w:ind w:left="460" w:hanging="260"/>
      </w:pPr>
      <w:r>
        <w:rPr>
          <w:b/>
          <w:color w:val="B8912F"/>
        </w:rPr>
        <w:t>•  </w:t>
      </w:r>
      <w:r>
        <w:rPr>
          <w:b/>
          <w:color w:val="22303F"/>
        </w:rPr>
        <w:t>Comprehensive Service — </w:t>
      </w:r>
      <w:r>
        <w:t xml:space="preserve">From supplier identification to final delivery, INAYAZ manages the entire import journey.</w:t>
      </w:r>
    </w:p>
    <w:p>
      <w:pPr>
        <w:spacing w:after="120"/>
        <w:ind w:left="460" w:hanging="260"/>
      </w:pPr>
      <w:r>
        <w:rPr>
          <w:b/>
          <w:color w:val="B8912F"/>
        </w:rPr>
        <w:t>•  </w:t>
      </w:r>
      <w:r>
        <w:rPr>
          <w:b/>
          <w:color w:val="22303F"/>
        </w:rPr>
        <w:t>Credentials — </w:t>
      </w:r>
      <w:r>
        <w:t xml:space="preserve">Licensed Import Trader  ·  Multi-Sector Procurement Expertise.</w:t>
      </w:r>
    </w:p>
    <w:p>
      <w:pPr>
        <w:pStyle w:val="Heading2"/>
      </w:pPr>
      <w:r>
        <w:t>3.4 Manufacturing</w:t>
      </w:r>
    </w:p>
    <w:p>
      <w:r>
        <w:t xml:space="preserve">Manufacturing primary nonferrous metal products and structural clay &amp; ceramic products that serve Ethiopia's construction and industrial sectors.</w:t>
      </w:r>
    </w:p>
    <w:p>
      <w:pPr>
        <w:spacing w:after="120"/>
        <w:ind w:left="460" w:hanging="260"/>
      </w:pPr>
      <w:r>
        <w:rPr>
          <w:b/>
          <w:color w:val="B8912F"/>
        </w:rPr>
        <w:t>•  </w:t>
      </w:r>
      <w:r>
        <w:t xml:space="preserve">Primary Nonferrous Metal Products</w:t>
      </w:r>
    </w:p>
    <w:p>
      <w:pPr>
        <w:spacing w:after="120"/>
        <w:ind w:left="460" w:hanging="260"/>
      </w:pPr>
      <w:r>
        <w:rPr>
          <w:b/>
          <w:color w:val="B8912F"/>
        </w:rPr>
        <w:t>•  </w:t>
      </w:r>
      <w:r>
        <w:t xml:space="preserve">Structural Clay Products</w:t>
      </w:r>
    </w:p>
    <w:p>
      <w:pPr>
        <w:spacing w:after="120"/>
        <w:ind w:left="460" w:hanging="260"/>
      </w:pPr>
      <w:r>
        <w:rPr>
          <w:b/>
          <w:color w:val="B8912F"/>
        </w:rPr>
        <w:t>•  </w:t>
      </w:r>
      <w:r>
        <w:t xml:space="preserve">Ceramic Products</w:t>
      </w:r>
    </w:p>
    <w:p>
      <w:pPr>
        <w:spacing w:after="120"/>
        <w:ind w:left="460" w:hanging="260"/>
      </w:pPr>
      <w:r>
        <w:rPr>
          <w:b/>
          <w:color w:val="B8912F"/>
        </w:rPr>
        <w:t>•  </w:t>
      </w:r>
      <w:r>
        <w:t xml:space="preserve">Custom Manufacturing Orders</w:t>
      </w:r>
    </w:p>
    <w:p>
      <w:pPr>
        <w:pStyle w:val="Heading2"/>
      </w:pPr>
      <w:r>
        <w:t>3.5 Tour Operation &amp; Travel</w:t>
      </w:r>
    </w:p>
    <w:p>
      <w:r>
        <w:t xml:space="preserve">Presented under "Discover Ethiopia — Experience the Extraordinary," the Tour Operations &amp; Travel Agency delivers professional travel services designed to create seamless journeys and memorable experiences. It designs immersive, well-organized travel for leisure visitors, diaspora travelers, business delegations, and cultural explorers — "Ethiopia through expert eyes."</w:t>
      </w:r>
    </w:p>
    <w:p>
      <w:pPr>
        <w:spacing w:after="120"/>
        <w:ind w:left="460" w:hanging="260"/>
      </w:pPr>
      <w:r>
        <w:rPr>
          <w:b/>
          <w:color w:val="B8912F"/>
        </w:rPr>
        <w:t>•  </w:t>
      </w:r>
      <w:r>
        <w:t xml:space="preserve">Historical &amp; Heritage Tours</w:t>
      </w:r>
    </w:p>
    <w:p>
      <w:pPr>
        <w:spacing w:after="120"/>
        <w:ind w:left="460" w:hanging="260"/>
      </w:pPr>
      <w:r>
        <w:rPr>
          <w:b/>
          <w:color w:val="B8912F"/>
        </w:rPr>
        <w:t>•  </w:t>
      </w:r>
      <w:r>
        <w:t xml:space="preserve">Nature &amp; Wildlife Tours</w:t>
      </w:r>
    </w:p>
    <w:p>
      <w:pPr>
        <w:spacing w:after="120"/>
        <w:ind w:left="460" w:hanging="260"/>
      </w:pPr>
      <w:r>
        <w:rPr>
          <w:b/>
          <w:color w:val="B8912F"/>
        </w:rPr>
        <w:t>•  </w:t>
      </w:r>
      <w:r>
        <w:t xml:space="preserve">Cultural Immersion Tours</w:t>
      </w:r>
    </w:p>
    <w:p>
      <w:pPr>
        <w:pStyle w:val="Heading3"/>
      </w:pPr>
      <w:r>
        <w:t>Key figures</w:t>
      </w:r>
    </w:p>
    <w:p>
      <w:pPr>
        <w:spacing w:after="120"/>
        <w:ind w:left="460" w:hanging="260"/>
      </w:pPr>
      <w:r>
        <w:rPr>
          <w:b/>
          <w:color w:val="B8912F"/>
        </w:rPr>
        <w:t>•  </w:t>
      </w:r>
      <w:r>
        <w:rPr>
          <w:b/>
          <w:color w:val="22303F"/>
        </w:rPr>
        <w:t>100% — </w:t>
      </w:r>
      <w:r>
        <w:t xml:space="preserve">Client satisfaction focus</w:t>
      </w:r>
    </w:p>
    <w:p>
      <w:pPr>
        <w:spacing w:after="120"/>
        <w:ind w:left="460" w:hanging="260"/>
      </w:pPr>
      <w:r>
        <w:rPr>
          <w:b/>
          <w:color w:val="B8912F"/>
        </w:rPr>
        <w:t>•  </w:t>
      </w:r>
      <w:r>
        <w:rPr>
          <w:b/>
          <w:color w:val="22303F"/>
        </w:rPr>
        <w:t>Multilingual — </w:t>
      </w:r>
      <w:r>
        <w:t xml:space="preserve">Expert guides</w:t>
      </w:r>
    </w:p>
    <w:p>
      <w:pPr>
        <w:pStyle w:val="Heading3"/>
      </w:pPr>
      <w:r>
        <w:t>Travel process</w:t>
      </w:r>
    </w:p>
    <w:p>
      <w:pPr>
        <w:spacing w:after="120"/>
        <w:ind w:left="460" w:hanging="260"/>
      </w:pPr>
      <w:r>
        <w:rPr>
          <w:b/>
          <w:color w:val="B8912F"/>
        </w:rPr>
        <w:t>•  </w:t>
      </w:r>
      <w:r>
        <w:rPr>
          <w:b/>
          <w:color w:val="22303F"/>
        </w:rPr>
        <w:t>01 Booking &amp; Reservations — </w:t>
      </w:r>
      <w:r>
        <w:t xml:space="preserve">Securing flights, hotels, permits, and local transport on your behalf.</w:t>
      </w:r>
    </w:p>
    <w:p>
      <w:pPr>
        <w:spacing w:after="120"/>
        <w:ind w:left="460" w:hanging="260"/>
      </w:pPr>
      <w:r>
        <w:rPr>
          <w:b/>
          <w:color w:val="B8912F"/>
        </w:rPr>
        <w:t>•  </w:t>
      </w:r>
      <w:r>
        <w:rPr>
          <w:b/>
          <w:color w:val="22303F"/>
        </w:rPr>
        <w:t>02 Pre-Departure Briefing — </w:t>
      </w:r>
      <w:r>
        <w:t xml:space="preserve">Detailed travel pack with itinerary, contacts, health tips, and cultural guidance.</w:t>
      </w:r>
    </w:p>
    <w:p>
      <w:pPr>
        <w:spacing w:after="120"/>
        <w:ind w:left="460" w:hanging="260"/>
      </w:pPr>
      <w:r>
        <w:rPr>
          <w:b/>
          <w:color w:val="B8912F"/>
        </w:rPr>
        <w:t>•  </w:t>
      </w:r>
      <w:r>
        <w:rPr>
          <w:b/>
          <w:color w:val="22303F"/>
        </w:rPr>
        <w:t>03 On-Ground Support — </w:t>
      </w:r>
      <w:r>
        <w:t xml:space="preserve">Expert guides, reliable transport, and 24/7 local contact throughout your journey.</w:t>
      </w:r>
    </w:p>
    <w:p>
      <w:pPr>
        <w:spacing w:after="120"/>
        <w:ind w:left="460" w:hanging="260"/>
      </w:pPr>
      <w:r>
        <w:rPr>
          <w:b/>
          <w:color w:val="B8912F"/>
        </w:rPr>
        <w:t>•  </w:t>
      </w:r>
      <w:r>
        <w:rPr>
          <w:b/>
          <w:color w:val="22303F"/>
        </w:rPr>
        <w:t>04 Experience Delivery — </w:t>
      </w:r>
      <w:r>
        <w:t xml:space="preserve">Curated visits, immersive activities, and memorable encounters at every destination.</w:t>
      </w:r>
    </w:p>
    <w:p>
      <w:pPr>
        <w:pStyle w:val="Heading3"/>
      </w:pPr>
      <w:r>
        <w:t>Leisure travel management</w:t>
      </w:r>
    </w:p>
    <w:p>
      <w:pPr>
        <w:spacing w:after="120"/>
        <w:ind w:left="460" w:hanging="260"/>
      </w:pPr>
      <w:r>
        <w:rPr>
          <w:b/>
          <w:color w:val="B8912F"/>
        </w:rPr>
        <w:t>•  </w:t>
      </w:r>
      <w:r>
        <w:rPr>
          <w:b/>
          <w:color w:val="22303F"/>
        </w:rPr>
        <w:t>Tour Packages — </w:t>
      </w:r>
      <w:r>
        <w:t xml:space="preserve">Multi-day packages covering historical, cultural, nature, and adventure themes — standard or fully customized itineraries.</w:t>
      </w:r>
    </w:p>
    <w:p>
      <w:pPr>
        <w:spacing w:after="120"/>
        <w:ind w:left="460" w:hanging="260"/>
      </w:pPr>
      <w:r>
        <w:rPr>
          <w:b/>
          <w:color w:val="B8912F"/>
        </w:rPr>
        <w:t>•  </w:t>
      </w:r>
      <w:r>
        <w:rPr>
          <w:b/>
          <w:color w:val="22303F"/>
        </w:rPr>
        <w:t>Flight &amp; Accommodation Booking — </w:t>
      </w:r>
      <w:r>
        <w:t xml:space="preserve">Professional booking of domestic and international flights, hotels, lodges, and guesthouses suited to your budget and comfort preferences.</w:t>
      </w:r>
    </w:p>
    <w:p>
      <w:pPr>
        <w:pStyle w:val="Heading3"/>
      </w:pPr>
      <w:r>
        <w:t>Why choose INAYAZ Tour</w:t>
      </w:r>
    </w:p>
    <w:p>
      <w:pPr>
        <w:spacing w:after="120"/>
        <w:ind w:left="460" w:hanging="260"/>
      </w:pPr>
      <w:r>
        <w:rPr>
          <w:b/>
          <w:color w:val="B8912F"/>
        </w:rPr>
        <w:t>•  </w:t>
      </w:r>
      <w:r>
        <w:rPr>
          <w:b/>
          <w:color w:val="22303F"/>
        </w:rPr>
        <w:t>Deep Local Knowledge — </w:t>
      </w:r>
      <w:r>
        <w:t xml:space="preserve">The team knows Ethiopia — its roads, communities, seasons, and hidden gems — giving access to experiences generic travel agencies cannot offer.</w:t>
      </w:r>
    </w:p>
    <w:p>
      <w:pPr>
        <w:spacing w:after="120"/>
        <w:ind w:left="460" w:hanging="260"/>
      </w:pPr>
      <w:r>
        <w:rPr>
          <w:b/>
          <w:color w:val="B8912F"/>
        </w:rPr>
        <w:t>•  </w:t>
      </w:r>
      <w:r>
        <w:rPr>
          <w:b/>
          <w:color w:val="22303F"/>
        </w:rPr>
        <w:t>Personalized Service — </w:t>
      </w:r>
      <w:r>
        <w:t xml:space="preserve">Every itinerary is tailored to your interests, timeline, and budget — no one-size-fits-all.</w:t>
      </w:r>
    </w:p>
    <w:p>
      <w:pPr>
        <w:spacing w:after="120"/>
        <w:ind w:left="460" w:hanging="260"/>
      </w:pPr>
      <w:r>
        <w:rPr>
          <w:b/>
          <w:color w:val="B8912F"/>
        </w:rPr>
        <w:t>•  </w:t>
      </w:r>
      <w:r>
        <w:rPr>
          <w:b/>
          <w:color w:val="22303F"/>
        </w:rPr>
        <w:t>End-to-End Reliability — </w:t>
      </w:r>
      <w:r>
        <w:t xml:space="preserve">From first inquiry to the moment you return home, INAYAZ manages every detail.</w:t>
      </w:r>
    </w:p>
    <w:p>
      <w:pPr>
        <w:spacing w:after="120"/>
        <w:ind w:left="460" w:hanging="260"/>
      </w:pPr>
      <w:r>
        <w:rPr>
          <w:b/>
          <w:color w:val="B8912F"/>
        </w:rPr>
        <w:t>•  </w:t>
      </w:r>
      <w:r>
        <w:rPr>
          <w:b/>
          <w:color w:val="22303F"/>
        </w:rPr>
        <w:t>Credentials — </w:t>
      </w:r>
      <w:r>
        <w:t xml:space="preserve">Licensed Tour Operator  ·  Diaspora Travel Specialist.</w:t>
      </w:r>
    </w:p>
    <w:p>
      <w:pPr>
        <w:pStyle w:val="Heading2"/>
      </w:pPr>
      <w:r>
        <w:t>3.6 Machinery &amp; Equipment Rental</w:t>
      </w:r>
    </w:p>
    <w:p>
      <w:r>
        <w:t xml:space="preserve">INAYAZ provides flexible machinery and equipment rental solutions that help businesses execute projects efficiently without the cost of long-term ownership.</w:t>
      </w:r>
    </w:p>
    <w:p>
      <w:pPr>
        <w:spacing w:after="120"/>
        <w:ind w:left="460" w:hanging="260"/>
      </w:pPr>
      <w:r>
        <w:rPr>
          <w:b/>
          <w:color w:val="B8912F"/>
        </w:rPr>
        <w:t>•  </w:t>
      </w:r>
      <w:r>
        <w:t xml:space="preserve">Heavy Construction Machinery</w:t>
      </w:r>
    </w:p>
    <w:p>
      <w:pPr>
        <w:spacing w:after="120"/>
        <w:ind w:left="460" w:hanging="260"/>
      </w:pPr>
      <w:r>
        <w:rPr>
          <w:b/>
          <w:color w:val="B8912F"/>
        </w:rPr>
        <w:t>•  </w:t>
      </w:r>
      <w:r>
        <w:t xml:space="preserve">Construction Equipment</w:t>
      </w:r>
    </w:p>
    <w:p>
      <w:pPr>
        <w:spacing w:after="120"/>
        <w:ind w:left="460" w:hanging="260"/>
      </w:pPr>
      <w:r>
        <w:rPr>
          <w:b/>
          <w:color w:val="B8912F"/>
        </w:rPr>
        <w:t>•  </w:t>
      </w:r>
      <w:r>
        <w:t xml:space="preserve">Construction Materials (Rental)</w:t>
      </w:r>
    </w:p>
    <w:p>
      <w:pPr>
        <w:spacing w:after="120"/>
        <w:ind w:left="460" w:hanging="260"/>
      </w:pPr>
      <w:r>
        <w:rPr>
          <w:b/>
          <w:color w:val="B8912F"/>
        </w:rPr>
        <w:t>•  </w:t>
      </w:r>
      <w:r>
        <w:t xml:space="preserve">Agricultural &amp; Industrial Machinery</w:t>
      </w:r>
    </w:p>
    <w:p>
      <w:pPr>
        <w:pStyle w:val="Heading1"/>
      </w:pPr>
      <w:r>
        <w:t>4. Selected Works</w:t>
      </w:r>
      <w:bookmarkStart w:name="_Toc004" w:id="5"/>
      <w:bookmarkEnd w:id="5"/>
    </w:p>
    <w:p>
      <w:r>
        <w:t xml:space="preserve">Under "Proven Footprints. Future Landscapes.", the company showcases real projects that reflect its commitment to quality, safety, and excellence. All listed projects are executed by INAYAZ CONSTRUCTION and MATERIAL IMPORT EXPORT as a Category 1 General Contractor (GC-1), with KH Consulting as consultant.</w:t>
      </w:r>
    </w:p>
    <w:p>
      <w:pPr>
        <w:pStyle w:val="Heading2"/>
      </w:pPr>
      <w:r>
        <w:t>Project Portfolio Overview</w:t>
      </w:r>
    </w:p>
    <w:tbl>
      <w:tblPr>
        <w:tblW w:w="5000" w:type="pct"/>
        <w:tblBorders>
          <w:top w:val="single" w:color="22303F" w:sz="12"/>
          <w:left w:val="nil"/>
          <w:bottom w:val="single" w:color="22303F" w:sz="12"/>
          <w:right w:val="nil"/>
          <w:insideH w:val="single" w:color="D9DEE3" w:sz="4"/>
          <w:insideV w:val="nil"/>
        </w:tblBorders>
      </w:tblPr>
      <w:tblGrid>
        <w:gridCol w:w="2360"/>
        <w:gridCol w:w="1800"/>
        <w:gridCol w:w="1560"/>
        <w:gridCol w:w="1560"/>
        <w:gridCol w:w="2080"/>
      </w:tblGrid>
      <w:tr>
        <w:trPr>
          <w:tblHeader/>
        </w:trPr>
        <w:tc>
          <w:tcPr>
            <w:tcW w:w="2360" w:type="dxa"/>
            <w:shd w:val="clear" w:fill="EEF1F4"/>
          </w:tcPr>
          <w:p>
            <w:pPr>
              <w:spacing w:before="60" w:after="60"/>
              <w:jc w:val="left"/>
            </w:pPr>
            <w:r>
              <w:rPr>
                <w:b/>
                <w:color w:val="22303F"/>
                <w:sz w:val="20"/>
              </w:rPr>
              <w:t xml:space="preserve">Project</w:t>
            </w:r>
          </w:p>
        </w:tc>
        <w:tc>
          <w:tcPr>
            <w:tcW w:w="1800" w:type="dxa"/>
            <w:shd w:val="clear" w:fill="EEF1F4"/>
          </w:tcPr>
          <w:p>
            <w:pPr>
              <w:spacing w:before="60" w:after="60"/>
              <w:jc w:val="left"/>
            </w:pPr>
            <w:r>
              <w:rPr>
                <w:b/>
                <w:color w:val="22303F"/>
                <w:sz w:val="20"/>
              </w:rPr>
              <w:t xml:space="preserve">Client</w:t>
            </w:r>
          </w:p>
        </w:tc>
        <w:tc>
          <w:tcPr>
            <w:tcW w:w="1560" w:type="dxa"/>
            <w:shd w:val="clear" w:fill="EEF1F4"/>
          </w:tcPr>
          <w:p>
            <w:pPr>
              <w:spacing w:before="60" w:after="60"/>
              <w:jc w:val="left"/>
            </w:pPr>
            <w:r>
              <w:rPr>
                <w:b/>
                <w:color w:val="22303F"/>
                <w:sz w:val="20"/>
              </w:rPr>
              <w:t xml:space="preserve">Structure</w:t>
            </w:r>
          </w:p>
        </w:tc>
        <w:tc>
          <w:tcPr>
            <w:tcW w:w="1560" w:type="dxa"/>
            <w:shd w:val="clear" w:fill="EEF1F4"/>
          </w:tcPr>
          <w:p>
            <w:pPr>
              <w:spacing w:before="60" w:after="60"/>
              <w:jc w:val="left"/>
            </w:pPr>
            <w:r>
              <w:rPr>
                <w:b/>
                <w:color w:val="22303F"/>
                <w:sz w:val="20"/>
              </w:rPr>
              <w:t xml:space="preserve">Levels</w:t>
            </w:r>
          </w:p>
        </w:tc>
        <w:tc>
          <w:tcPr>
            <w:tcW w:w="2080" w:type="dxa"/>
            <w:shd w:val="clear" w:fill="EEF1F4"/>
          </w:tcPr>
          <w:p>
            <w:pPr>
              <w:spacing w:before="60" w:after="60"/>
              <w:jc w:val="left"/>
            </w:pPr>
            <w:r>
              <w:rPr>
                <w:b/>
                <w:color w:val="22303F"/>
                <w:sz w:val="20"/>
              </w:rPr>
              <w:t xml:space="preserve">Case study</w:t>
            </w:r>
          </w:p>
        </w:tc>
      </w:tr>
      <w:tr>
        <w:tc>
          <w:tcPr>
            <w:tcW w:w="2360" w:type="dxa"/>
          </w:tcPr>
          <w:p>
            <w:pPr>
              <w:spacing w:before="60" w:after="60"/>
              <w:jc w:val="left"/>
            </w:pPr>
            <w:r>
              <w:rPr>
                <w:color w:val="55636F"/>
                <w:sz w:val="20"/>
              </w:rPr>
              <w:t xml:space="preserve">AMELIYAZ</w:t>
            </w:r>
          </w:p>
        </w:tc>
        <w:tc>
          <w:tcPr>
            <w:tcW w:w="1800" w:type="dxa"/>
          </w:tcPr>
          <w:p>
            <w:pPr>
              <w:spacing w:before="60" w:after="60"/>
              <w:jc w:val="left"/>
            </w:pPr>
            <w:r>
              <w:rPr>
                <w:color w:val="55636F"/>
                <w:sz w:val="20"/>
              </w:rPr>
              <w:t xml:space="preserve">Akoya Properties</w:t>
            </w:r>
          </w:p>
        </w:tc>
        <w:tc>
          <w:tcPr>
            <w:tcW w:w="1560" w:type="dxa"/>
          </w:tcPr>
          <w:p>
            <w:pPr>
              <w:spacing w:before="60" w:after="60"/>
              <w:jc w:val="left"/>
            </w:pPr>
            <w:r>
              <w:rPr>
                <w:color w:val="55636F"/>
                <w:sz w:val="20"/>
              </w:rPr>
              <w:t xml:space="preserve">2B+G+M+30+T</w:t>
            </w:r>
          </w:p>
        </w:tc>
        <w:tc>
          <w:tcPr>
            <w:tcW w:w="1560" w:type="dxa"/>
          </w:tcPr>
          <w:p>
            <w:pPr>
              <w:spacing w:before="60" w:after="60"/>
              <w:jc w:val="left"/>
            </w:pPr>
            <w:r>
              <w:rPr>
                <w:color w:val="55636F"/>
                <w:sz w:val="20"/>
              </w:rPr>
              <w:t xml:space="preserve">33-level</w:t>
            </w:r>
          </w:p>
        </w:tc>
        <w:tc>
          <w:tcPr>
            <w:tcW w:w="2080" w:type="dxa"/>
          </w:tcPr>
          <w:p>
            <w:pPr>
              <w:spacing w:before="60" w:after="60"/>
              <w:jc w:val="left"/>
            </w:pPr>
            <w:r>
              <w:rPr>
                <w:color w:val="55636F"/>
                <w:sz w:val="20"/>
              </w:rPr>
              <w:t xml:space="preserve">Yes — landmark tower</w:t>
            </w:r>
          </w:p>
        </w:tc>
      </w:tr>
      <w:tr>
        <w:tc>
          <w:tcPr>
            <w:tcW w:w="2360" w:type="dxa"/>
          </w:tcPr>
          <w:p>
            <w:pPr>
              <w:spacing w:before="60" w:after="60"/>
              <w:jc w:val="left"/>
            </w:pPr>
            <w:r>
              <w:rPr>
                <w:color w:val="55636F"/>
                <w:sz w:val="20"/>
              </w:rPr>
              <w:t xml:space="preserve">AKOYA OZON Apartment</w:t>
            </w:r>
          </w:p>
        </w:tc>
        <w:tc>
          <w:tcPr>
            <w:tcW w:w="1800" w:type="dxa"/>
          </w:tcPr>
          <w:p>
            <w:pPr>
              <w:spacing w:before="60" w:after="60"/>
              <w:jc w:val="left"/>
            </w:pPr>
            <w:r>
              <w:rPr>
                <w:color w:val="55636F"/>
                <w:sz w:val="20"/>
              </w:rPr>
              <w:t xml:space="preserve">AKOYA Properties</w:t>
            </w:r>
          </w:p>
        </w:tc>
        <w:tc>
          <w:tcPr>
            <w:tcW w:w="1560" w:type="dxa"/>
          </w:tcPr>
          <w:p>
            <w:pPr>
              <w:spacing w:before="60" w:after="60"/>
              <w:jc w:val="left"/>
            </w:pPr>
            <w:r>
              <w:rPr>
                <w:color w:val="55636F"/>
                <w:sz w:val="20"/>
              </w:rPr>
              <w:t xml:space="preserve">2B+G+M+16+T</w:t>
            </w:r>
          </w:p>
        </w:tc>
        <w:tc>
          <w:tcPr>
            <w:tcW w:w="1560" w:type="dxa"/>
          </w:tcPr>
          <w:p>
            <w:pPr>
              <w:spacing w:before="60" w:after="60"/>
              <w:jc w:val="left"/>
            </w:pPr>
            <w:r>
              <w:rPr>
                <w:color w:val="55636F"/>
                <w:sz w:val="20"/>
              </w:rPr>
              <w:t xml:space="preserve">19-level</w:t>
            </w:r>
          </w:p>
        </w:tc>
        <w:tc>
          <w:tcPr>
            <w:tcW w:w="2080" w:type="dxa"/>
          </w:tcPr>
          <w:p>
            <w:pPr>
              <w:spacing w:before="60" w:after="60"/>
              <w:jc w:val="left"/>
            </w:pPr>
            <w:r>
              <w:rPr>
                <w:color w:val="55636F"/>
                <w:sz w:val="20"/>
              </w:rPr>
              <w:t xml:space="preserve">Yes</w:t>
            </w:r>
          </w:p>
        </w:tc>
      </w:tr>
      <w:tr>
        <w:tc>
          <w:tcPr>
            <w:tcW w:w="2360" w:type="dxa"/>
          </w:tcPr>
          <w:p>
            <w:pPr>
              <w:spacing w:before="60" w:after="60"/>
              <w:jc w:val="left"/>
            </w:pPr>
            <w:r>
              <w:rPr>
                <w:color w:val="55636F"/>
                <w:sz w:val="20"/>
              </w:rPr>
              <w:t xml:space="preserve">TES REALTY Apartment</w:t>
            </w:r>
          </w:p>
        </w:tc>
        <w:tc>
          <w:tcPr>
            <w:tcW w:w="1800" w:type="dxa"/>
          </w:tcPr>
          <w:p>
            <w:pPr>
              <w:spacing w:before="60" w:after="60"/>
              <w:jc w:val="left"/>
            </w:pPr>
            <w:r>
              <w:rPr>
                <w:color w:val="55636F"/>
                <w:sz w:val="20"/>
              </w:rPr>
              <w:t xml:space="preserve">Mr. Daniel Tesfaye</w:t>
            </w:r>
          </w:p>
        </w:tc>
        <w:tc>
          <w:tcPr>
            <w:tcW w:w="1560" w:type="dxa"/>
          </w:tcPr>
          <w:p>
            <w:pPr>
              <w:spacing w:before="60" w:after="60"/>
              <w:jc w:val="left"/>
            </w:pPr>
            <w:r>
              <w:rPr>
                <w:color w:val="55636F"/>
                <w:sz w:val="20"/>
              </w:rPr>
              <w:t xml:space="preserve">1B+G+17</w:t>
            </w:r>
          </w:p>
        </w:tc>
        <w:tc>
          <w:tcPr>
            <w:tcW w:w="1560" w:type="dxa"/>
          </w:tcPr>
          <w:p>
            <w:pPr>
              <w:spacing w:before="60" w:after="60"/>
              <w:jc w:val="left"/>
            </w:pPr>
            <w:r>
              <w:rPr>
                <w:color w:val="55636F"/>
                <w:sz w:val="20"/>
              </w:rPr>
              <w:t xml:space="preserve">19-level</w:t>
            </w:r>
          </w:p>
        </w:tc>
        <w:tc>
          <w:tcPr>
            <w:tcW w:w="2080" w:type="dxa"/>
          </w:tcPr>
          <w:p>
            <w:pPr>
              <w:spacing w:before="60" w:after="60"/>
              <w:jc w:val="left"/>
            </w:pPr>
            <w:r>
              <w:rPr>
                <w:color w:val="55636F"/>
                <w:sz w:val="20"/>
              </w:rPr>
              <w:t xml:space="preserve">Yes</w:t>
            </w:r>
          </w:p>
        </w:tc>
      </w:tr>
      <w:tr>
        <w:tc>
          <w:tcPr>
            <w:tcW w:w="2360" w:type="dxa"/>
          </w:tcPr>
          <w:p>
            <w:pPr>
              <w:spacing w:before="60" w:after="60"/>
              <w:jc w:val="left"/>
            </w:pPr>
            <w:r>
              <w:rPr>
                <w:color w:val="55636F"/>
                <w:sz w:val="20"/>
              </w:rPr>
              <w:t xml:space="preserve">TWINZ Residential Building</w:t>
            </w:r>
          </w:p>
        </w:tc>
        <w:tc>
          <w:tcPr>
            <w:tcW w:w="1800" w:type="dxa"/>
          </w:tcPr>
          <w:p>
            <w:pPr>
              <w:spacing w:before="60" w:after="60"/>
              <w:jc w:val="left"/>
            </w:pPr>
            <w:r>
              <w:rPr>
                <w:color w:val="55636F"/>
                <w:sz w:val="20"/>
              </w:rPr>
              <w:t xml:space="preserve">AKOYA Properties</w:t>
            </w:r>
          </w:p>
        </w:tc>
        <w:tc>
          <w:tcPr>
            <w:tcW w:w="1560" w:type="dxa"/>
          </w:tcPr>
          <w:p>
            <w:pPr>
              <w:spacing w:before="60" w:after="60"/>
              <w:jc w:val="left"/>
            </w:pPr>
            <w:r>
              <w:rPr>
                <w:color w:val="55636F"/>
                <w:sz w:val="20"/>
              </w:rPr>
              <w:t xml:space="preserve">B+G+M+12</w:t>
            </w:r>
          </w:p>
        </w:tc>
        <w:tc>
          <w:tcPr>
            <w:tcW w:w="1560" w:type="dxa"/>
          </w:tcPr>
          <w:p>
            <w:pPr>
              <w:spacing w:before="60" w:after="60"/>
              <w:jc w:val="left"/>
            </w:pPr>
            <w:r>
              <w:rPr>
                <w:color w:val="55636F"/>
                <w:sz w:val="20"/>
              </w:rPr>
              <w:t xml:space="preserve">15-level</w:t>
            </w:r>
          </w:p>
        </w:tc>
        <w:tc>
          <w:tcPr>
            <w:tcW w:w="2080" w:type="dxa"/>
          </w:tcPr>
          <w:p>
            <w:pPr>
              <w:spacing w:before="60" w:after="60"/>
              <w:jc w:val="left"/>
            </w:pPr>
            <w:r>
              <w:rPr>
                <w:color w:val="55636F"/>
                <w:sz w:val="20"/>
              </w:rPr>
              <w:t xml:space="preserve">Listed</w:t>
            </w:r>
          </w:p>
        </w:tc>
      </w:tr>
      <w:tr>
        <w:tc>
          <w:tcPr>
            <w:tcW w:w="2360" w:type="dxa"/>
          </w:tcPr>
          <w:p>
            <w:pPr>
              <w:spacing w:before="60" w:after="60"/>
              <w:jc w:val="left"/>
            </w:pPr>
            <w:r>
              <w:rPr>
                <w:color w:val="55636F"/>
                <w:sz w:val="20"/>
              </w:rPr>
              <w:t xml:space="preserve">PARKVIEW Apartment</w:t>
            </w:r>
          </w:p>
        </w:tc>
        <w:tc>
          <w:tcPr>
            <w:tcW w:w="1800" w:type="dxa"/>
          </w:tcPr>
          <w:p>
            <w:pPr>
              <w:spacing w:before="60" w:after="60"/>
              <w:jc w:val="left"/>
            </w:pPr>
            <w:r>
              <w:rPr>
                <w:color w:val="55636F"/>
                <w:sz w:val="20"/>
              </w:rPr>
              <w:t xml:space="preserve">Akoya Properties</w:t>
            </w:r>
          </w:p>
        </w:tc>
        <w:tc>
          <w:tcPr>
            <w:tcW w:w="1560" w:type="dxa"/>
          </w:tcPr>
          <w:p>
            <w:pPr>
              <w:spacing w:before="60" w:after="60"/>
              <w:jc w:val="left"/>
            </w:pPr>
            <w:r>
              <w:rPr>
                <w:color w:val="55636F"/>
                <w:sz w:val="20"/>
              </w:rPr>
              <w:t xml:space="preserve">SB+1B+G+12</w:t>
            </w:r>
          </w:p>
        </w:tc>
        <w:tc>
          <w:tcPr>
            <w:tcW w:w="1560" w:type="dxa"/>
          </w:tcPr>
          <w:p>
            <w:pPr>
              <w:spacing w:before="60" w:after="60"/>
              <w:jc w:val="left"/>
            </w:pPr>
            <w:r>
              <w:rPr>
                <w:color w:val="55636F"/>
                <w:sz w:val="20"/>
              </w:rPr>
              <w:t xml:space="preserve">15-level</w:t>
            </w:r>
          </w:p>
        </w:tc>
        <w:tc>
          <w:tcPr>
            <w:tcW w:w="2080" w:type="dxa"/>
          </w:tcPr>
          <w:p>
            <w:pPr>
              <w:spacing w:before="60" w:after="60"/>
              <w:jc w:val="left"/>
            </w:pPr>
            <w:r>
              <w:rPr>
                <w:color w:val="55636F"/>
                <w:sz w:val="20"/>
              </w:rPr>
              <w:t xml:space="preserve">Yes</w:t>
            </w:r>
          </w:p>
        </w:tc>
      </w:tr>
      <w:tr>
        <w:tc>
          <w:tcPr>
            <w:tcW w:w="2360" w:type="dxa"/>
          </w:tcPr>
          <w:p>
            <w:pPr>
              <w:spacing w:before="60" w:after="60"/>
              <w:jc w:val="left"/>
            </w:pPr>
            <w:r>
              <w:rPr>
                <w:color w:val="55636F"/>
                <w:sz w:val="20"/>
              </w:rPr>
              <w:t xml:space="preserve">NOVELITY Apartment</w:t>
            </w:r>
          </w:p>
        </w:tc>
        <w:tc>
          <w:tcPr>
            <w:tcW w:w="1800" w:type="dxa"/>
          </w:tcPr>
          <w:p>
            <w:pPr>
              <w:spacing w:before="60" w:after="60"/>
              <w:jc w:val="left"/>
            </w:pPr>
            <w:r>
              <w:rPr>
                <w:color w:val="55636F"/>
                <w:sz w:val="20"/>
              </w:rPr>
              <w:t xml:space="preserve">AKOYA Properties</w:t>
            </w:r>
          </w:p>
        </w:tc>
        <w:tc>
          <w:tcPr>
            <w:tcW w:w="1560" w:type="dxa"/>
          </w:tcPr>
          <w:p>
            <w:pPr>
              <w:spacing w:before="60" w:after="60"/>
              <w:jc w:val="left"/>
            </w:pPr>
            <w:r>
              <w:rPr>
                <w:color w:val="55636F"/>
                <w:sz w:val="20"/>
              </w:rPr>
              <w:t xml:space="preserve">3B+G+18</w:t>
            </w:r>
          </w:p>
        </w:tc>
        <w:tc>
          <w:tcPr>
            <w:tcW w:w="1560" w:type="dxa"/>
          </w:tcPr>
          <w:p>
            <w:pPr>
              <w:spacing w:before="60" w:after="60"/>
              <w:jc w:val="left"/>
            </w:pPr>
            <w:r>
              <w:rPr>
                <w:color w:val="55636F"/>
                <w:sz w:val="20"/>
              </w:rPr>
              <w:t xml:space="preserve">22-level</w:t>
            </w:r>
          </w:p>
        </w:tc>
        <w:tc>
          <w:tcPr>
            <w:tcW w:w="2080" w:type="dxa"/>
          </w:tcPr>
          <w:p>
            <w:pPr>
              <w:spacing w:before="60" w:after="60"/>
              <w:jc w:val="left"/>
            </w:pPr>
            <w:r>
              <w:rPr>
                <w:color w:val="55636F"/>
                <w:sz w:val="20"/>
              </w:rPr>
              <w:t xml:space="preserve">Yes</w:t>
            </w:r>
          </w:p>
        </w:tc>
      </w:tr>
    </w:tbl>
    <w:p>
      <w:pPr>
        <w:spacing w:after="160"/>
      </w:pPr>
      <w:r/>
    </w:p>
    <w:p>
      <w:pPr>
        <w:spacing w:after="200"/>
      </w:pPr>
      <w:r>
        <w:rPr>
          <w:i/>
          <w:color w:val="8D99A6"/>
          <w:sz w:val="18"/>
        </w:rPr>
        <w:t xml:space="preserve">B = Basement, SB = Sub-Basement, G = Ground, M = Mezzanine, T = Terrace. Consultant on all projects: KH Consulting.</w:t>
      </w:r>
    </w:p>
    <w:p>
      <w:pPr>
        <w:pStyle w:val="Heading2"/>
      </w:pPr>
      <w:r>
        <w:t>Case Study Highlights</w:t>
      </w:r>
    </w:p>
    <w:p>
      <w:pPr>
        <w:pStyle w:val="Heading3"/>
      </w:pPr>
      <w:r>
        <w:t>AMELIYAZ — landmark high-rise, Addis Ababa</w:t>
      </w:r>
    </w:p>
    <w:p>
      <w:r>
        <w:t xml:space="preserve">The AMELIYAZ Tower is a landmark high-rise development designed to redefine Addis Ababa's modern skyline. Comprising a massive 33-level blueprint — 2 Basements, a Ground floor, a Mezzanine, 30 Stories, and a Terrace (2B+G+M+30+T) — it stands as a testament to large-scale engineering and contemporary urban architecture. The development blends premium corporate and residential spaces with advanced structural design; INAYAZ is delivering world-class engineering execution so the tower stands as a symbol of structural integrity, comfort, and enduring investment value.</w:t>
      </w:r>
    </w:p>
    <w:p>
      <w:pPr>
        <w:pStyle w:val="Heading3"/>
      </w:pPr>
      <w:r>
        <w:t>AKOYA OZON Apartment Project</w:t>
      </w:r>
    </w:p>
    <w:p>
      <w:r>
        <w:t xml:space="preserve">A premium, high-density residential development offering sophisticated urban living in the heart of Addis Ababa. The 19-level high-rise features 2 Basements, a Ground floor, a Mezzanine, 16 Stories, and a Terrace (2B+G+M+16+T). The project emphasizes modern spatial efficiency, luxurious residential comfort, and robust structural durability, with INAYAZ managing full-scale engineering and structural execution to the highest standards of safety, quality, and long-term asset value.</w:t>
      </w:r>
    </w:p>
    <w:p>
      <w:pPr>
        <w:pStyle w:val="Heading3"/>
      </w:pPr>
      <w:r>
        <w:t>TES REALTY Apartment</w:t>
      </w:r>
    </w:p>
    <w:p>
      <w:r>
        <w:t xml:space="preserve">A modern high-rise residential development designed to deliver premium urban living: a 19-level structure with 1 Basement, a Ground floor, and 17 Stories (1B+G+17), developed for Mr. Daniel Tesfaye. The project focuses on maximizing spatial efficiency, contemporary architectural aesthetics, and structural longevity, complying with strict safety standards and offering exceptional value for future residents and property stakeholders.</w:t>
      </w:r>
    </w:p>
    <w:p>
      <w:pPr>
        <w:pStyle w:val="Heading3"/>
      </w:pPr>
      <w:r>
        <w:t>PARKVIEW Apartment Project</w:t>
      </w:r>
    </w:p>
    <w:p>
      <w:r>
        <w:t xml:space="preserve">An elite high-rise residential development meticulously designed to overlook and elevate the urban landscape: a 15-level structure with a Sub-Basement, a Basement, a Ground floor, and 12 premium residential stories (SB+1B+G+12). The project blends luxury high-density living with advanced structural design, delivering exceptional spatial layout, uncompromising structural safety, and high-end modern amenities.</w:t>
      </w:r>
    </w:p>
    <w:p>
      <w:pPr>
        <w:pStyle w:val="Heading3"/>
      </w:pPr>
      <w:r>
        <w:t>NOVELITY Apartment</w:t>
      </w:r>
    </w:p>
    <w:p>
      <w:r>
        <w:t xml:space="preserve">An architectural landmark offering premier high-rise residential luxury: a 22-level structure with 3 Basements, a Ground floor, and 18 premium residential stories (3B+G+18). The development stands as a symbol of contemporary urban living and sophisticated structural engineering, with full-scale structural execution ensuring exceptional spatial planning, maximum structural durability, and high-end modern amenities.</w:t>
      </w:r>
    </w:p>
    <w:p>
      <w:pPr>
        <w:pStyle w:val="Heading3"/>
      </w:pPr>
      <w:r>
        <w:t>Construction execution scope (per project)</w:t>
      </w:r>
    </w:p>
    <w:p>
      <w:pPr>
        <w:spacing w:after="120"/>
        <w:ind w:left="460" w:hanging="260"/>
      </w:pPr>
      <w:r>
        <w:rPr>
          <w:b/>
          <w:color w:val="B8912F"/>
        </w:rPr>
        <w:t>•  </w:t>
      </w:r>
      <w:r>
        <w:rPr>
          <w:b/>
          <w:color w:val="22303F"/>
        </w:rPr>
        <w:t>01 Site Preparation — </w:t>
      </w:r>
      <w:r>
        <w:t xml:space="preserve">Preparing the land, setting up infrastructure, and organizing the site for safe construction operations.</w:t>
      </w:r>
    </w:p>
    <w:p>
      <w:pPr>
        <w:spacing w:after="120"/>
        <w:ind w:left="460" w:hanging="260"/>
      </w:pPr>
      <w:r>
        <w:rPr>
          <w:b/>
          <w:color w:val="B8912F"/>
        </w:rPr>
        <w:t>•  </w:t>
      </w:r>
      <w:r>
        <w:rPr>
          <w:b/>
          <w:color w:val="22303F"/>
        </w:rPr>
        <w:t>02 Structural Construction — </w:t>
      </w:r>
      <w:r>
        <w:t xml:space="preserve">Executing reinforced structural works to ensure strength, stability, and compliance with engineering standards.</w:t>
      </w:r>
    </w:p>
    <w:p>
      <w:pPr>
        <w:spacing w:after="120"/>
        <w:ind w:left="460" w:hanging="260"/>
      </w:pPr>
      <w:r>
        <w:rPr>
          <w:b/>
          <w:color w:val="B8912F"/>
        </w:rPr>
        <w:t>•  </w:t>
      </w:r>
      <w:r>
        <w:rPr>
          <w:b/>
          <w:color w:val="22303F"/>
        </w:rPr>
        <w:t>03 High-Rise Execution — </w:t>
      </w:r>
      <w:r>
        <w:t xml:space="preserve">Managing vertical construction with precision, safety control, and continuous progress monitoring.</w:t>
      </w:r>
    </w:p>
    <w:p>
      <w:pPr>
        <w:spacing w:after="120"/>
        <w:ind w:left="460" w:hanging="260"/>
      </w:pPr>
      <w:r>
        <w:rPr>
          <w:b/>
          <w:color w:val="B8912F"/>
        </w:rPr>
        <w:t>•  </w:t>
      </w:r>
      <w:r>
        <w:rPr>
          <w:b/>
          <w:color w:val="22303F"/>
        </w:rPr>
        <w:t>04 Quality Control — </w:t>
      </w:r>
      <w:r>
        <w:t xml:space="preserve">Working closely with consultants and clients while ensuring strict quality assurance throughout the build.</w:t>
      </w:r>
    </w:p>
    <w:p>
      <w:pPr>
        <w:pStyle w:val="Heading1"/>
      </w:pPr>
      <w:r>
        <w:t>5. Awards &amp; Recognitions</w:t>
      </w:r>
      <w:bookmarkStart w:name="_Toc005" w:id="6"/>
      <w:bookmarkEnd w:id="6"/>
    </w:p>
    <w:p>
      <w:r>
        <w:t xml:space="preserve">The site presents "milestones that reflect our commitment to quality, safety, and excellence — a reflection of the standards we set and the results we deliver." Downloadable certificates include:</w:t>
      </w:r>
    </w:p>
    <w:p>
      <w:pPr>
        <w:spacing w:after="120"/>
        <w:ind w:left="460" w:hanging="260"/>
      </w:pPr>
      <w:r>
        <w:rPr>
          <w:b/>
          <w:color w:val="B8912F"/>
        </w:rPr>
        <w:t>•  </w:t>
      </w:r>
      <w:r>
        <w:rPr>
          <w:b/>
          <w:color w:val="22303F"/>
        </w:rPr>
        <w:t>A Proven Partner — Commercial Bank of Ethiopia — </w:t>
      </w:r>
      <w:r>
        <w:t xml:space="preserve">CBE formally recognizes INAYAZ for its exemplary record of financial responsibility, integrity, and disciplined business operations. (Shown as a series of certificates.)</w:t>
      </w:r>
    </w:p>
    <w:p>
      <w:pPr>
        <w:spacing w:after="120"/>
        <w:ind w:left="460" w:hanging="260"/>
      </w:pPr>
      <w:r>
        <w:rPr>
          <w:b/>
          <w:color w:val="B8912F"/>
        </w:rPr>
        <w:t>•  </w:t>
      </w:r>
      <w:r>
        <w:rPr>
          <w:b/>
          <w:color w:val="22303F"/>
        </w:rPr>
        <w:t>Recommended By — COOP — </w:t>
      </w:r>
      <w:r>
        <w:t xml:space="preserve">COOP formally recognizes INAYAZ for its exemplary record of financial responsibility, integrity, and disciplined business operations.</w:t>
      </w:r>
    </w:p>
    <w:p>
      <w:pPr>
        <w:pStyle w:val="Heading1"/>
      </w:pPr>
      <w:r>
        <w:t>6. Why Choose INAYAZ</w:t>
      </w:r>
      <w:bookmarkStart w:name="_Toc006" w:id="7"/>
      <w:bookmarkEnd w:id="7"/>
    </w:p>
    <w:p>
      <w:r>
        <w:t xml:space="preserve">The company's own summary — "Classic, clear, corporate-safe."</w:t>
      </w:r>
    </w:p>
    <w:p>
      <w:pPr>
        <w:spacing w:after="120"/>
        <w:ind w:left="460" w:hanging="260"/>
      </w:pPr>
      <w:r>
        <w:rPr>
          <w:b/>
          <w:color w:val="B8912F"/>
        </w:rPr>
        <w:t>•  </w:t>
      </w:r>
      <w:r>
        <w:rPr>
          <w:b/>
          <w:color w:val="22303F"/>
        </w:rPr>
        <w:t>Trusted Expertise — </w:t>
      </w:r>
      <w:r>
        <w:t xml:space="preserve">With years of experience as a Category 1 General Contractor, we bring proven knowledge and technical strength to every project we deliver.</w:t>
      </w:r>
    </w:p>
    <w:p>
      <w:pPr>
        <w:spacing w:after="120"/>
        <w:ind w:left="460" w:hanging="260"/>
      </w:pPr>
      <w:r>
        <w:rPr>
          <w:b/>
          <w:color w:val="B8912F"/>
        </w:rPr>
        <w:t>•  </w:t>
      </w:r>
      <w:r>
        <w:rPr>
          <w:b/>
          <w:color w:val="22303F"/>
        </w:rPr>
        <w:t>Built on Responsibility — </w:t>
      </w:r>
      <w:r>
        <w:t xml:space="preserve">We approach every project with care, discipline, and accountability — ensuring safety, quality, and attention to detail at every stage.</w:t>
      </w:r>
    </w:p>
    <w:p>
      <w:pPr>
        <w:spacing w:after="120"/>
        <w:ind w:left="460" w:hanging="260"/>
      </w:pPr>
      <w:r>
        <w:rPr>
          <w:b/>
          <w:color w:val="B8912F"/>
        </w:rPr>
        <w:t>•  </w:t>
      </w:r>
      <w:r>
        <w:rPr>
          <w:b/>
          <w:color w:val="22303F"/>
        </w:rPr>
        <w:t>Reliable Delivery — </w:t>
      </w:r>
      <w:r>
        <w:t xml:space="preserve">From planning to completion, we focus on clear execution, efficient project management, and delivering results on time and with lasting value.</w:t>
      </w:r>
    </w:p>
    <w:p>
      <w:pPr>
        <w:pStyle w:val="Heading1"/>
      </w:pPr>
      <w:r>
        <w:t>7. Group Network &amp; Sub-Brands</w:t>
      </w:r>
      <w:bookmarkStart w:name="_Toc007" w:id="8"/>
      <w:bookmarkEnd w:id="8"/>
    </w:p>
    <w:p>
      <w:r>
        <w:t xml:space="preserve">Under the mottos "Local Expertise. Global Reach." and "Stronger Together: Connecting Industry Leaders.", the site's "Our Networks" section presents the group's sub-brand family:</w:t>
      </w:r>
    </w:p>
    <w:p>
      <w:pPr>
        <w:spacing w:after="120"/>
        <w:ind w:left="460" w:hanging="260"/>
      </w:pPr>
      <w:r>
        <w:rPr>
          <w:b/>
          <w:color w:val="B8912F"/>
        </w:rPr>
        <w:t>•  </w:t>
      </w:r>
      <w:r>
        <w:t xml:space="preserve">INAYAZ Construction</w:t>
      </w:r>
    </w:p>
    <w:p>
      <w:pPr>
        <w:spacing w:after="120"/>
        <w:ind w:left="460" w:hanging="260"/>
      </w:pPr>
      <w:r>
        <w:rPr>
          <w:b/>
          <w:color w:val="B8912F"/>
        </w:rPr>
        <w:t>•  </w:t>
      </w:r>
      <w:r>
        <w:t xml:space="preserve">INAYAZ Export</w:t>
      </w:r>
    </w:p>
    <w:p>
      <w:pPr>
        <w:spacing w:after="120"/>
        <w:ind w:left="460" w:hanging="260"/>
      </w:pPr>
      <w:r>
        <w:rPr>
          <w:b/>
          <w:color w:val="B8912F"/>
        </w:rPr>
        <w:t>•  </w:t>
      </w:r>
      <w:r>
        <w:t xml:space="preserve">INAYAZ Motors</w:t>
      </w:r>
    </w:p>
    <w:p>
      <w:pPr>
        <w:pStyle w:val="Heading1"/>
      </w:pPr>
      <w:r>
        <w:t>8. News &amp; Updates</w:t>
      </w:r>
      <w:bookmarkStart w:name="_Toc008" w:id="9"/>
      <w:bookmarkEnd w:id="9"/>
    </w:p>
    <w:p>
      <w:r>
        <w:rPr>
          <w:b/>
          <w:color w:val="22303F"/>
        </w:rPr>
        <w:t>Building Ethiopia's Future Through Responsible Construction.  </w:t>
      </w:r>
      <w:r>
        <w:t xml:space="preserve">By INAYAZ — published June 6, 2026 (listed twice on the News page). Share links: LinkedIn, Facebook, Telegram.</w:t>
      </w:r>
    </w:p>
    <w:p>
      <w:r>
        <w:t xml:space="preserve">At INAYAZ, construction is more than building structures — it's about creating lasting value through care, quality, and responsibility.</w:t>
      </w:r>
    </w:p>
    <w:p>
      <w:r>
        <w:rPr>
          <w:b/>
          <w:color w:val="22303F"/>
        </w:rPr>
        <w:t>A Responsibility, Not Just a Project.  </w:t>
      </w:r>
      <w:r>
        <w:t xml:space="preserve">Every building starts with a responsibility. Whether it's a high-rise development, a commercial space, or a residential project, we understand that what we build will serve people for years. That is why we focus on careful planning, strong coordination, and disciplined execution from the very beginning.</w:t>
      </w:r>
    </w:p>
    <w:p>
      <w:pPr>
        <w:pStyle w:val="Heading1"/>
      </w:pPr>
      <w:r>
        <w:t>9. Contact Information</w:t>
      </w:r>
      <w:bookmarkStart w:name="_Toc009" w:id="10"/>
      <w:bookmarkEnd w:id="10"/>
    </w:p>
    <w:p>
      <w:r>
        <w:t xml:space="preserve">Every page closes with a contact block and a "Say Hello" message form (name, email, message). The Import and Tour pages also feature a "Start Project" call-to-action linking to the contact page.</w:t>
      </w:r>
    </w:p>
    <w:tbl>
      <w:tblPr>
        <w:tblW w:w="5000" w:type="pct"/>
        <w:tblBorders>
          <w:top w:val="single" w:color="22303F" w:sz="12"/>
          <w:left w:val="nil"/>
          <w:bottom w:val="single" w:color="22303F" w:sz="12"/>
          <w:right w:val="nil"/>
          <w:insideH w:val="single" w:color="D9DEE3" w:sz="4"/>
          <w:insideV w:val="nil"/>
        </w:tblBorders>
      </w:tblPr>
      <w:tblGrid>
        <w:gridCol w:w="3200"/>
        <w:gridCol w:w="6160"/>
      </w:tblGrid>
      <w:tr>
        <w:trPr>
          <w:tblHeader/>
        </w:trPr>
        <w:tc>
          <w:tcPr>
            <w:tcW w:w="3200" w:type="dxa"/>
            <w:shd w:val="clear" w:fill="EEF1F4"/>
          </w:tcPr>
          <w:p>
            <w:pPr>
              <w:spacing w:before="60" w:after="60"/>
              <w:jc w:val="left"/>
            </w:pPr>
            <w:r>
              <w:rPr>
                <w:b/>
                <w:color w:val="22303F"/>
                <w:sz w:val="20"/>
              </w:rPr>
              <w:t xml:space="preserve">Channel</w:t>
            </w:r>
          </w:p>
        </w:tc>
        <w:tc>
          <w:tcPr>
            <w:tcW w:w="6160" w:type="dxa"/>
            <w:shd w:val="clear" w:fill="EEF1F4"/>
          </w:tcPr>
          <w:p>
            <w:pPr>
              <w:spacing w:before="60" w:after="60"/>
              <w:jc w:val="left"/>
            </w:pPr>
            <w:r>
              <w:rPr>
                <w:b/>
                <w:color w:val="22303F"/>
                <w:sz w:val="20"/>
              </w:rPr>
              <w:t xml:space="preserve">Details</w:t>
            </w:r>
          </w:p>
        </w:tc>
      </w:tr>
      <w:tr>
        <w:tc>
          <w:tcPr>
            <w:tcW w:w="3200" w:type="dxa"/>
          </w:tcPr>
          <w:p>
            <w:pPr>
              <w:spacing w:before="60" w:after="60"/>
              <w:jc w:val="left"/>
            </w:pPr>
            <w:r>
              <w:rPr>
                <w:color w:val="55636F"/>
                <w:sz w:val="20"/>
              </w:rPr>
              <w:t xml:space="preserve">Address</w:t>
            </w:r>
          </w:p>
        </w:tc>
        <w:tc>
          <w:tcPr>
            <w:tcW w:w="6160" w:type="dxa"/>
          </w:tcPr>
          <w:p>
            <w:pPr>
              <w:spacing w:before="60" w:after="60"/>
              <w:jc w:val="left"/>
            </w:pPr>
            <w:r>
              <w:rPr>
                <w:color w:val="55636F"/>
                <w:sz w:val="20"/>
              </w:rPr>
              <w:t xml:space="preserve">ZULYEKA Building, 6th Floor, Office 603, Addis Ababa, Ethiopia</w:t>
            </w:r>
          </w:p>
        </w:tc>
      </w:tr>
      <w:tr>
        <w:tc>
          <w:tcPr>
            <w:tcW w:w="3200" w:type="dxa"/>
          </w:tcPr>
          <w:p>
            <w:pPr>
              <w:spacing w:before="60" w:after="60"/>
              <w:jc w:val="left"/>
            </w:pPr>
            <w:r>
              <w:rPr>
                <w:color w:val="55636F"/>
                <w:sz w:val="20"/>
              </w:rPr>
              <w:t xml:space="preserve">Email</w:t>
            </w:r>
          </w:p>
        </w:tc>
        <w:tc>
          <w:tcPr>
            <w:tcW w:w="6160" w:type="dxa"/>
          </w:tcPr>
          <w:p>
            <w:pPr>
              <w:spacing w:before="60" w:after="60"/>
              <w:jc w:val="left"/>
            </w:pPr>
            <w:r>
              <w:rPr>
                <w:color w:val="55636F"/>
                <w:sz w:val="20"/>
              </w:rPr>
              <w:t xml:space="preserve">info@inayazgroup.com</w:t>
            </w:r>
          </w:p>
        </w:tc>
      </w:tr>
      <w:tr>
        <w:tc>
          <w:tcPr>
            <w:tcW w:w="3200" w:type="dxa"/>
          </w:tcPr>
          <w:p>
            <w:pPr>
              <w:spacing w:before="60" w:after="60"/>
              <w:jc w:val="left"/>
            </w:pPr>
            <w:r>
              <w:rPr>
                <w:color w:val="55636F"/>
                <w:sz w:val="20"/>
              </w:rPr>
              <w:t xml:space="preserve">Phone 1</w:t>
            </w:r>
          </w:p>
        </w:tc>
        <w:tc>
          <w:tcPr>
            <w:tcW w:w="6160" w:type="dxa"/>
          </w:tcPr>
          <w:p>
            <w:pPr>
              <w:spacing w:before="60" w:after="60"/>
              <w:jc w:val="left"/>
            </w:pPr>
            <w:r>
              <w:rPr>
                <w:color w:val="55636F"/>
                <w:sz w:val="20"/>
              </w:rPr>
              <w:t xml:space="preserve">+251 973 223 312</w:t>
            </w:r>
          </w:p>
        </w:tc>
      </w:tr>
      <w:tr>
        <w:tc>
          <w:tcPr>
            <w:tcW w:w="3200" w:type="dxa"/>
          </w:tcPr>
          <w:p>
            <w:pPr>
              <w:spacing w:before="60" w:after="60"/>
              <w:jc w:val="left"/>
            </w:pPr>
            <w:r>
              <w:rPr>
                <w:color w:val="55636F"/>
                <w:sz w:val="20"/>
              </w:rPr>
              <w:t xml:space="preserve">Phone 2</w:t>
            </w:r>
          </w:p>
        </w:tc>
        <w:tc>
          <w:tcPr>
            <w:tcW w:w="6160" w:type="dxa"/>
          </w:tcPr>
          <w:p>
            <w:pPr>
              <w:spacing w:before="60" w:after="60"/>
              <w:jc w:val="left"/>
            </w:pPr>
            <w:r>
              <w:rPr>
                <w:color w:val="55636F"/>
                <w:sz w:val="20"/>
              </w:rPr>
              <w:t xml:space="preserve">+251 968 666 664</w:t>
            </w:r>
          </w:p>
        </w:tc>
      </w:tr>
      <w:tr>
        <w:tc>
          <w:tcPr>
            <w:tcW w:w="3200" w:type="dxa"/>
          </w:tcPr>
          <w:p>
            <w:pPr>
              <w:spacing w:before="60" w:after="60"/>
              <w:jc w:val="left"/>
            </w:pPr>
            <w:r>
              <w:rPr>
                <w:color w:val="55636F"/>
                <w:sz w:val="20"/>
              </w:rPr>
              <w:t xml:space="preserve">Website</w:t>
            </w:r>
          </w:p>
        </w:tc>
        <w:tc>
          <w:tcPr>
            <w:tcW w:w="6160" w:type="dxa"/>
          </w:tcPr>
          <w:p>
            <w:pPr>
              <w:spacing w:before="60" w:after="60"/>
              <w:jc w:val="left"/>
            </w:pPr>
            <w:r>
              <w:rPr>
                <w:color w:val="55636F"/>
                <w:sz w:val="20"/>
              </w:rPr>
              <w:t xml:space="preserve">https://inayaz-website.vercel.app/</w:t>
            </w:r>
          </w:p>
        </w:tc>
      </w:tr>
    </w:tbl>
    <w:p>
      <w:pPr>
        <w:spacing w:after="200"/>
      </w:pPr>
      <w:r>
        <w:rPr>
          <w:i/>
          <w:color w:val="8D99A6"/>
          <w:sz w:val="18"/>
        </w:rPr>
        <w:t xml:space="preserve">© 2026 INAYAZ. All Rights Reserved.</w:t>
      </w:r>
    </w:p>
    <w:p>
      <w:pPr>
        <w:sectPr>
          <w:headerReference w:type="default" r:id="R009d89e798c147af"/>
          <w:footerReference w:type="default" r:id="Rfdc13308e3404f9c"/>
          <w:pgSz w:w="11906" w:h="16838"/>
          <w:pgMar w:top="1800" w:right="1440" w:bottom="1440" w:left="1440" w:header="720" w:footer="720"/>
        </w:sectPr>
      </w:pPr>
    </w:p>
    <w:p>
      <w:pPr>
        <w:spacing w:before="6200" w:after="300"/>
        <w:jc w:val="center"/>
      </w:pPr>
      <w:r>
        <w:rPr>
          <w:b/>
          <w:color w:val="F6F4EF"/>
          <w:spacing w:val="80"/>
          <w:sz w:val="54"/>
        </w:rPr>
        <w:t>INAYAZ</w:t>
      </w:r>
    </w:p>
    <w:p>
      <w:pPr>
        <w:spacing w:after="2200"/>
        <w:jc w:val="center"/>
      </w:pPr>
      <w:r>
        <w:rPr>
          <w:color w:val="B8912F"/>
          <w:spacing w:val="40"/>
          <w:sz w:val="24"/>
        </w:rPr>
        <w:t>Precision  ·  Responsibility  ·  Care</w:t>
      </w:r>
    </w:p>
    <w:p>
      <w:pPr>
        <w:spacing w:after="100"/>
        <w:jc w:val="center"/>
      </w:pPr>
      <w:r>
        <w:rPr>
          <w:color w:val="AEB9C4"/>
          <w:sz w:val="19"/>
        </w:rPr>
        <w:t>info@inayazgroup.com   ·   +251 973 223 312   ·   +251 968 666 664</w:t>
      </w:r>
    </w:p>
    <w:p>
      <w:pPr>
        <w:jc w:val="center"/>
      </w:pPr>
      <w:r>
        <w:rPr>
          <w:color w:val="8D99A6"/>
          <w:sz w:val="17"/>
        </w:rPr>
        <w:t>© 2026 INAYAZ. All Rights Reserved.</w:t>
      </w:r>
    </w:p>
    <w:sectPr>
      <w:headerReference w:type="default" r:id="R9d3c5cbd6a194b87"/>
      <w:footerReference w:type="default" r:id="Re6aff8d786a04fea"/>
      <w:pgSz w:w="11906" w:h="16838"/>
      <w:pgMar w:top="0" w:right="0" w:bottom="0" w:left="0" w:header="0" w:footer="0"/>
    </w:sectPr>
  </w:body>
</w:document>
</file>

<file path=word/footer1.xml><?xml version="1.0" encoding="utf-8"?>
<w:ftr xmlns:w="http://schemas.openxmlformats.org/wordprocessingml/2006/main">
  <w:p>
    <w:pPr>
      <w:jc w:val="center"/>
    </w:pPr>
    <w:r>
      <w:rPr>
        <w:color w:val="8D99A6"/>
        <w:sz w:val="18"/>
      </w:rPr>
      <w:fldChar w:fldCharType="begin"/>
    </w:r>
    <w:r>
      <w:rPr>
        <w:color w:val="8D99A6"/>
        <w:sz w:val="18"/>
      </w:rPr>
      <w:instrText xml:space="preserve"> PAGE </w:instrText>
    </w:r>
    <w:r>
      <w:rPr>
        <w:color w:val="8D99A6"/>
        <w:sz w:val="18"/>
      </w:rPr>
      <w:fldChar w:fldCharType="separate"/>
    </w:r>
    <w:r>
      <w:rPr>
        <w:color w:val="8D99A6"/>
        <w:sz w:val="18"/>
      </w:rPr>
      <w:t xml:space="preserve">1</w:t>
    </w:r>
    <w:r>
      <w:rPr>
        <w:color w:val="8D99A6"/>
        <w:sz w:val="18"/>
      </w:rPr>
      <w:fldChar w:fldCharType="end"/>
    </w:r>
    <w:r>
      <w:rPr>
        <w:color w:val="8D99A6"/>
        <w:sz w:val="18"/>
      </w:rPr>
      <w:t xml:space="preserve">  /  </w:t>
    </w:r>
    <w:r>
      <w:rPr>
        <w:color w:val="8D99A6"/>
        <w:sz w:val="18"/>
      </w:rPr>
      <w:fldChar w:fldCharType="begin"/>
    </w:r>
    <w:r>
      <w:rPr>
        <w:color w:val="8D99A6"/>
        <w:sz w:val="18"/>
      </w:rPr>
      <w:instrText xml:space="preserve"> NUMPAGES </w:instrText>
    </w:r>
    <w:r>
      <w:rPr>
        <w:color w:val="8D99A6"/>
        <w:sz w:val="18"/>
      </w:rPr>
      <w:fldChar w:fldCharType="separate"/>
    </w:r>
    <w:r>
      <w:rPr>
        <w:color w:val="8D99A6"/>
        <w:sz w:val="18"/>
      </w:rPr>
      <w:t xml:space="preserve">1</w:t>
    </w:r>
    <w:r>
      <w:rPr>
        <w:color w:val="8D99A6"/>
        <w:sz w:val="18"/>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b27421e589e74ffb"/>
                  <a:stretch>
                    <a:fillRect/>
                  </a:stretch>
                </pic:blipFill>
                <pic:spPr>
                  <a:xfrm>
                    <a:off x="0" y="0"/>
                    <a:ext cx="7560000" cy="10692000"/>
                  </a:xfrm>
                  <a:prstGeom prst="rect"/>
                </pic:spPr>
              </pic:pic>
            </a:graphicData>
          </a:graphic>
        </wp:anchor>
      </w:drawing>
    </w:r>
  </w:p>
  <w:p>
    <w:pPr>
      <w:jc w:val="right"/>
    </w:pPr>
    <w:r>
      <w:rPr>
        <w:color w:val="8D99A6"/>
        <w:sz w:val="17"/>
      </w:rPr>
      <w:t>INAYAZ  ·  Company Profile</w:t>
    </w:r>
  </w:p>
</w:hdr>
</file>

<file path=word/header2.xml><?xml version="1.0" encoding="utf-8"?>
<w:hdr xmlns:w="http://schemas.openxmlformats.org/wordprocessingml/2006/main">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xmlns:r="http://schemas.openxmlformats.org/officeDocument/2006/relationships" r:embed="R4eb85ec33da246c8"/>
                  <a:stretch>
                    <a:fillRect/>
                  </a:stretch>
                </pic:blipFill>
                <pic:spPr>
                  <a:xfrm>
                    <a:off x="0" y="0"/>
                    <a:ext cx="7560000" cy="10692000"/>
                  </a:xfrm>
                  <a:prstGeom prst="rect"/>
                </pic:spPr>
              </pic:pic>
            </a:graphicData>
          </a:graphic>
        </wp:anchor>
      </w:drawing>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313E4B"/>
      <w:sz w:val="21"/>
    </w:rPr>
  </w:style>
  <w:style w:type="paragraph" w:styleId="Heading1">
    <w:name w:val="heading 1"/>
    <w:basedOn w:val="Normal"/>
    <w:pPr>
      <w:keepNext/>
      <w:keepLines/>
      <w:spacing w:before="560" w:after="220"/>
      <w:outlineLvl w:val="0"/>
    </w:pPr>
    <w:rPr>
      <w:rFonts w:ascii="Calibri" w:hAnsi="Calibri" w:eastAsia="Microsoft YaHei"/>
      <w:b/>
      <w:color w:val="22303F"/>
      <w:sz w:val="34"/>
    </w:rPr>
  </w:style>
  <w:style w:type="paragraph" w:styleId="Heading2">
    <w:name w:val="heading 2"/>
    <w:basedOn w:val="Normal"/>
    <w:pPr>
      <w:keepNext/>
      <w:keepLines/>
      <w:spacing w:before="380" w:after="140"/>
      <w:outlineLvl w:val="1"/>
    </w:pPr>
    <w:rPr>
      <w:rFonts w:ascii="Calibri" w:hAnsi="Calibri" w:eastAsia="Microsoft YaHei"/>
      <w:b/>
      <w:color w:val="B8912F"/>
      <w:sz w:val="26"/>
    </w:rPr>
  </w:style>
  <w:style w:type="paragraph" w:styleId="Heading3">
    <w:name w:val="heading 3"/>
    <w:basedOn w:val="Normal"/>
    <w:pPr>
      <w:keepNext/>
      <w:keepLines/>
      <w:spacing w:before="260" w:after="110"/>
      <w:outlineLvl w:val="2"/>
    </w:pPr>
    <w:rPr>
      <w:rFonts w:ascii="Calibri" w:hAnsi="Calibri" w:eastAsia="Microsoft YaHei"/>
      <w:b/>
      <w:color w:val="55636F"/>
      <w:sz w:val="23"/>
    </w:rPr>
  </w:style>
  <w:style w:type="paragraph" w:styleId="Caption">
    <w:name w:val="Caption"/>
    <w:basedOn w:val="Normal"/>
    <w:pPr>
      <w:spacing w:before="60" w:after="300"/>
      <w:jc w:val="center"/>
    </w:pPr>
    <w:rPr>
      <w:color w:val="8D99A6"/>
      <w:sz w:val="18"/>
    </w:rPr>
  </w:style>
  <w:style w:type="paragraph" w:styleId="TOC1">
    <w:name w:val="toc 1"/>
    <w:basedOn w:val="Normal"/>
    <w:pPr>
      <w:tabs>
        <w:tab w:val="right" w:leader="dot" w:pos="9350"/>
      </w:tabs>
      <w:spacing w:before="180" w:after="60"/>
      <w:ind w:left="0"/>
    </w:pPr>
    <w:rPr>
      <w:b/>
      <w:color w:val="313E4B"/>
    </w:rPr>
  </w:style>
  <w:style w:type="paragraph" w:styleId="TOC2">
    <w:name w:val="toc 2"/>
    <w:basedOn w:val="Normal"/>
    <w:pPr>
      <w:tabs>
        <w:tab w:val="right" w:leader="dot" w:pos="9350"/>
      </w:tabs>
      <w:spacing w:before="40" w:after="60"/>
      <w:ind w:left="360"/>
    </w:pPr>
    <w:rPr>
      <w:color w:val="55636F"/>
    </w:rPr>
  </w:style>
</w:styles>
</file>

<file path=word/_rels/document.xml.rels><?xml version='1.0' encoding='UTF-8'?>
<Relationships xmlns="http://schemas.openxmlformats.org/package/2006/relationships"><Relationship Type="http://schemas.openxmlformats.org/officeDocument/2006/relationships/styles" Target="styles.xml" Id="R2ebf3d1d516f4830" /><Relationship Type="http://schemas.openxmlformats.org/officeDocument/2006/relationships/image" Target="media/image.png" Id="R66950f3dff9445db" /><Relationship Type="http://schemas.openxmlformats.org/officeDocument/2006/relationships/header" Target="header1.xml" Id="R009d89e798c147af" /><Relationship Type="http://schemas.openxmlformats.org/officeDocument/2006/relationships/footer" Target="footer1.xml" Id="Rfdc13308e3404f9c" /><Relationship Type="http://schemas.openxmlformats.org/officeDocument/2006/relationships/header" Target="header2.xml" Id="R9d3c5cbd6a194b87" /><Relationship Type="http://schemas.openxmlformats.org/officeDocument/2006/relationships/footer" Target="footer2.xml" Id="Re6aff8d786a04fea" /><Relationship Type="http://schemas.openxmlformats.org/officeDocument/2006/relationships/settings" Target="settings.xml" Id="R809fa38b89ef4604" /></Relationships>
</file>

<file path=word/_rels/header1.xml.rels><?xml version='1.0' encoding='UTF-8'?>
<Relationships xmlns="http://schemas.openxmlformats.org/package/2006/relationships"><Relationship Type="http://schemas.openxmlformats.org/officeDocument/2006/relationships/image" Target="media/image2.png" Id="Rb27421e589e74ffb" /></Relationships>
</file>

<file path=word/_rels/header2.xml.rels><?xml version='1.0' encoding='UTF-8'?>
<Relationships xmlns="http://schemas.openxmlformats.org/package/2006/relationships"><Relationship Type="http://schemas.openxmlformats.org/officeDocument/2006/relationships/image" Target="media/image3.png" Id="R4eb85ec33da246c8" /></Relationships>
</file>