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Summary statistics by spatial resolution - Huiscapi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51"/>
        <w:gridCol w:w="1080"/>
        <w:gridCol w:w="1080"/>
        <w:gridCol w:w="1080"/>
        <w:gridCol w:w="1132"/>
        <w:gridCol w:w="1080"/>
        <w:gridCol w:w="1080"/>
        <w:gridCol w:w="1084"/>
      </w:tblGrid>
      <w:tr>
        <w:trPr>
          <w:trHeight w:val="574" w:hRule="auto"/>
          <w:tblHeader/>
        </w:trPr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gridSpan w:val="7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Statistics within cells</w:t>
            </w:r>
          </w:p>
        </w:tc>
      </w:tr>
      <w:tr>
        <w:trPr>
          <w:trHeight w:val="613" w:hRule="auto"/>
          <w:tblHeader/>
        </w:trPr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Resolution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 cells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p05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p25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p75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p95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22"/>
                <w:szCs w:val="22"/>
                <w:color w:val="000000"/>
              </w:rPr>
              <w:t xml:space="preserve">PM</w:t>
            </w: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vertAlign w:val="subscript"/>
                <w:sz w:val="22"/>
                <w:szCs w:val="22"/>
                <w:color w:val="000000"/>
              </w:rPr>
              <w:t xml:space="preserve">2.5</w:t>
            </w: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22"/>
                <w:szCs w:val="22"/>
                <w:color w:val="000000"/>
              </w:rPr>
              <w:t xml:space="preserve"> (ug/m</w:t>
            </w: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vertAlign w:val="superscript"/>
                <w:sz w:val="22"/>
                <w:szCs w:val="22"/>
                <w:color w:val="000000"/>
              </w:rPr>
              <w:t xml:space="preserve">3</w:t>
            </w: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22"/>
                <w:szCs w:val="22"/>
                <w:color w:val="000000"/>
              </w:rPr>
              <w:t xml:space="preserve">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102.12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102.12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96.82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22"/>
                <w:szCs w:val="22"/>
                <w:color w:val="000000"/>
              </w:rPr>
              <w:t xml:space="preserve">PM</w:t>
            </w: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vertAlign w:val="subscript"/>
                <w:sz w:val="22"/>
                <w:szCs w:val="22"/>
                <w:color w:val="000000"/>
              </w:rPr>
              <w:t xml:space="preserve">2.5</w:t>
            </w: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22"/>
                <w:szCs w:val="22"/>
                <w:color w:val="000000"/>
              </w:rPr>
              <w:t xml:space="preserve"> ratio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1.82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1.86</w:t>
            </w:r>
          </w:p>
        </w:tc>
      </w:tr>
      <w:tr>
        <w:trPr>
          <w:trHeight w:val="57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 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1.90</w:t>
            </w:r>
          </w:p>
        </w:tc>
      </w:tr>
      <w:tr>
        <w:trPr>
          <w:trHeight w:val="360" w:hRule="auto"/>
        </w:trPr>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 Ratio of mobile measurement compared to the central site (located in Loncoche). Only cells with at least 3 measurement days are included.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2026-08-04T11:26:10Z</dcterms:modified>
  <cp:category/>
</cp:coreProperties>
</file>