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Summary statistics by spatial resolution - La Paz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1"/>
        <w:gridCol w:w="1080"/>
        <w:gridCol w:w="1080"/>
        <w:gridCol w:w="1080"/>
        <w:gridCol w:w="1132"/>
        <w:gridCol w:w="1080"/>
        <w:gridCol w:w="1080"/>
        <w:gridCol w:w="1080"/>
      </w:tblGrid>
      <w:tr>
        <w:trPr>
          <w:trHeight w:val="574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within cells</w:t>
            </w:r>
          </w:p>
        </w:tc>
      </w:tr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cells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(ug/m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65.68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Ratio of mobile measurement compared to the central site (located in Loncoche). Only cells with at least 3 measurement days are included.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2026-08-04T11:26:12Z</dcterms:modified>
  <cp:category/>
</cp:coreProperties>
</file>