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Summary statistics by spatial resolution - Loncoche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1"/>
        <w:gridCol w:w="1080"/>
        <w:gridCol w:w="1080"/>
        <w:gridCol w:w="1084"/>
        <w:gridCol w:w="1132"/>
        <w:gridCol w:w="1084"/>
        <w:gridCol w:w="1084"/>
        <w:gridCol w:w="1084"/>
      </w:tblGrid>
      <w:tr>
        <w:trPr>
          <w:trHeight w:val="574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within cells</w:t>
            </w:r>
          </w:p>
        </w:tc>
      </w:tr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cells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(ug/m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249.11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238.58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236.20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226.93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Ratio of mobile measurement compared to the central site (located in Loncoche). Only cells with at least 3 measurement days are included.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2026-08-04T11:26:08Z</dcterms:modified>
  <cp:category/>
</cp:coreProperties>
</file>