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3: Summary statistics by spatial resolution.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080"/>
        <w:gridCol w:w="1080"/>
        <w:gridCol w:w="1080"/>
        <w:gridCol w:w="1132"/>
        <w:gridCol w:w="1080"/>
        <w:gridCol w:w="1084"/>
        <w:gridCol w:w="1084"/>
      </w:tblGrid>
      <w:tr>
        <w:trPr>
          <w:trHeight w:val="574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within cells</w:t>
            </w:r>
          </w:p>
        </w:tc>
      </w:tr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cells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154.87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153.38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147.56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Ratio of measurement compared to central site.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2026-07-21T10:00:42Z</dcterms:modified>
  <cp:category/>
</cp:coreProperties>
</file>