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DD318" w14:textId="276AFFE7" w:rsidR="000D1EAE" w:rsidRPr="000D1EAE" w:rsidRDefault="000D1EAE" w:rsidP="000D1EAE">
      <w:pPr>
        <w:pStyle w:val="Heading1"/>
      </w:pPr>
      <w:r w:rsidRPr="000D1EAE">
        <w:t>Method</w:t>
      </w:r>
      <w:r w:rsidR="00262F3E">
        <w:t>s</w:t>
      </w:r>
    </w:p>
    <w:p w14:paraId="47782399" w14:textId="77777777" w:rsidR="000D1EAE" w:rsidRPr="000D1EAE" w:rsidRDefault="000D1EAE" w:rsidP="000D1EAE">
      <w:pPr>
        <w:pStyle w:val="Heading2"/>
      </w:pPr>
      <w:r w:rsidRPr="000D1EAE">
        <w:t>Rodent reservoirs for the New World Arenaviruses (NWA)</w:t>
      </w:r>
    </w:p>
    <w:p w14:paraId="66FA834A" w14:textId="544C7776" w:rsidR="000D1EAE" w:rsidRPr="000D1EAE" w:rsidRDefault="000D1EAE" w:rsidP="000D1EAE">
      <w:pPr>
        <w:spacing w:after="0"/>
        <w:rPr>
          <w:iCs/>
        </w:rPr>
      </w:pPr>
      <w:r w:rsidRPr="000D1EAE">
        <w:rPr>
          <w:iCs/>
        </w:rPr>
        <w:t xml:space="preserve">A systematic literature search revealed potential host species of arenaviruses that act as reservoirs for spillover of NWA in humans </w:t>
      </w:r>
      <w:r w:rsidRPr="000D1EAE">
        <w:rPr>
          <w:iCs/>
        </w:rPr>
        <w:fldChar w:fldCharType="begin"/>
      </w:r>
      <w:r>
        <w:rPr>
          <w:iCs/>
        </w:rPr>
        <w:instrText xml:space="preserve"> ADDIN ZOTERO_ITEM CSL_CITATION {"citationID":"gkFYxhmw","properties":{"formattedCitation":"\\super 1\\uc0\\u8211{}8\\nosupersub{}","plainCitation":"1–8","noteIndex":0},"citationItems":[{"id":865,"uris":["http://zotero.org/groups/5467322/items/JB7J9IYR"],"itemData":{"id":865,"type":"article-journal","abstract":"Guanarito and Pirital Viruses among Wild Rodents","DOI":"10.3201/eid1712.110393","language":"en-us","source":"wwwnc.cdc.gov","title":"Transmission of Guanarito and Pirital Viruses among Wild Rodents, Venezuela - Volume 17, Number 12—December 2011 - Emerging Infectious Diseases journal - CDC","URL":"https://wwwnc.cdc.gov/eid/article/17/12/11-0393_article","author":[{"family":"Milazzo","given":"Mary L."},{"family":"Cajimat","given":"Maria N. B."},{"family":"Duno","given":"Gloria"},{"family":"Duno","given":"Freddy"},{"family":"Utrera","given":"Antonio"},{"family":"Fulhorst","given":"Charles F."}],"accessed":{"date-parts":[["2025",2,20]]}}},{"id":909,"uris":["http://zotero.org/groups/5467322/items/ZRHDMLBA"],"itemData":{"id":909,"type":"article-journal","abstract":"During February 1992, field studies on the epidemiology of Venezuelan hemorrhagic fever (VHF) were carried out in a rural area of Portuguesa State in central Venezuela. The objective of this work was to determine the prevalence of infection with Guanarito virus, the etiologic agent of VHF, among wild rodents and humans living within an endemic focus of the disease. A total of 234 rodents, representing nine different species, were collected and their spleens were cultured for virus. Thirty-one Guanarito virus isolates were made from two rodent species: 19 from 40 Sigmodon alstoni and 12 from 106 Zygodontomys brevicauda. Guanarito virus antibody rates among these two species were 5.1% and 15.0%, respectively. Nine of the 12 Z. brevicauda that yielded virus from their spleens also had Guanarito virus antibodies in their sera. In contrast, none of the 19 Guanarito virus-positive S. alstoni had antibodies to the virus. These data suggest that S. alstoni usually develops a persistent nonimmunizing infection with Guanarito virus, while Z. brevicauda develops an immunizing infection. Based on knowledge of the behavior of other human pathogenic arenaviruses, these results imply that S. alstoni is the principal rodent reservoir of Guanarito virus in nature. To determine the prevalence of Guanarito virus infection among humans in the same region, 195 people living near one of the rodent collecting sites were bled and their sera were tested for antibodies to the virus. Five individuals (2.6%) had Guanarito virus antibodies; all were adults, and two had been diagnosed previously as having VHF.(ABSTRACT TRUNCATED AT 250 WORDS)","container-title":"The American Journal of Tropical Medicine and Hygiene","DOI":"10.4269/ajtmh.1993.49.227","ISSN":"0002-9637","issue":"2","journalAbbreviation":"Am J Trop Med Hyg","language":"eng","note":"PMID: 8395143","page":"227-235","source":"PubMed","title":"Field studies on the epidemiology of Venezuelan hemorrhagic fever: implication of the cotton rat Sigmodon alstoni as the probable rodent reservoir","title-short":"Field studies on the epidemiology of Venezuelan hemorrhagic fever","volume":"49","author":[{"family":"Tesh","given":"R. B."},{"family":"Wilson","given":"M. L."},{"family":"Salas","given":"R."},{"family":"De Manzione","given":"N. M."},{"family":"Tovar","given":"D."},{"family":"Ksiazek","given":"T. G."},{"family":"Peters","given":"C. J."}],"issued":{"date-parts":[["1993",8]]}}},{"id":911,"uris":["http://zotero.org/groups/5467322/items/E727JIB3"],"itemData":{"id":911,"type":"article-journal","abstract":"Despite intensive surveillance, Venezuelan hemorrhagic fever (VHF), caused by Guanarito (GTO) virus, has been detected in only a small region of western Venezuela. To determine whether VHF is associated with a particular regional GTO virus strain(s), 29 isolates from rodents and humans throughout the surrounding regions were analyzed by partial sequencing of the nucleocapsid protein gene. Phylogenetic trees delineated nine distinct GTO genotypes that differ by 4–17% in nucleotides and up to 9% in amino acid sequences; most appeared to be restricted to discrete geographic regions, although a few genotypes were isolated in several locations. Each genotype included at least one strain recovered from a rodent, but only two genotypes were isolated from VHF cases. The presence outside of the endemic/epidemic region of two genotypes isolated also from VHF cases suggests that human pathogenic viruses occur outside of the endemic zone, but do not frequently infect people and/or cause apparent disease there. VHF does not appear to be associated with a GTO virus genotype that is restricted to a certain rodent species. When quasispecies diversity was examined, rodent isolates had higher sequence variation than human isolates. One rodent isolate included a mixture of two phylogenetically distinct genotypes, suggesting a dual infection.","container-title":"Virology","DOI":"10.1006/viro.1999.0067","ISSN":"0042-6822","issue":"1","journalAbbreviation":"Virology","page":"189-195","source":"ScienceDirect","title":"Guanarito Virus (&lt;i&gt;Arenaviridae&lt;/i&gt;) Isolates from Endemic and Outlying Localities in Venezuela: Sequence Comparisons among and within Strains Isolated from Venezuelan Hemorrhagic Fever Patients and Rodents","title-short":"Guanarito Virus (&lt;i&gt;Arenaviridae&lt;/i&gt;) Isolates from Endemic and Outlying Localities in Venezuela","volume":"266","author":[{"family":"Weaver","given":"Scott C."},{"family":"Salas","given":"Rosa Alba"},{"family":"Manzione","given":"Nuris","non-dropping-particle":"de"},{"family":"Fulhorst","given":"Charles F."},{"family":"Duno","given":"Gloria"},{"family":"Utrera","given":"Antonio"},{"family":"Mills","given":"James N."},{"family":"Ksiazek","given":"Thomas G."},{"family":"Tovar","given":"Duilia"},{"family":"Tesh","given":"Robert B."}],"issued":{"date-parts":[["2000",1,5]]}}},{"id":877,"uris":["http://zotero.org/groups/5467322/items/3BEUY8VX"],"itemData":{"id":877,"type":"chapter","abstract":"Arenaviruses are negative-stranded RNA viruses that have been isolated from several species of mammals in various parts of the world. With two exceptions, these viruses have all been isolated from rodents of the family Muridae — sensu Musser and Carleton (1993). Tacaribe virus was originally isolated from fruit-eating bats of the genus Artibeus, while Sabiá virus has no known wild reservoir. Arenavirus infections in their rodent reservoirs are characterized by persistent shedding of infectious virus in the urine (Johnson 1970).","container-title":"Arenaviruses I: The Epidemiology, Molecular and Cell Biology of Arenaviruses","event-place":"Berlin, Heidelberg","ISBN":"978-3-642-56029-3","language":"en","note":"DOI: 10.1007/978-3-642-56029-3_2","page":"25-63","publisher":"Springer","publisher-place":"Berlin, Heidelberg","source":"Springer Link","title":"Mammalian Reservoirs of Arenaviruses","URL":"https://doi.org/10.1007/978-3-642-56029-3_2","author":[{"family":"Salazar-Bravo","given":"J."},{"family":"Ruedas","given":"L. A."},{"family":"Yates","given":"T. L."}],"editor":[{"family":"Oldstone","given":"Michael B. A."}],"accessed":{"date-parts":[["2025",2,20]]},"issued":{"date-parts":[["2002"]]}}},{"id":906,"uris":["http://zotero.org/groups/5467322/items/CFLTTNUW"],"itemData":{"id":906,"type":"article-journal","container-title":"The American Journal of Tropical Medicine and Hygiene","DOI":"10.4269/ajtmh.1992.47.749","ISSN":"0002-9637","issue":"6","page":"749-763","source":"DOI.org (Crossref)","title":"A Longitudinal Study of Junin Virus Activity in the Rodent Reservoir of Agrentine Hemorrhagic Fever","volume":"47","author":[{"family":"Mills","given":"James N."},{"family":"Ellis","given":"Barbara A."},{"family":"McKee","given":"Kelly T."},{"family":"Calderon","given":"Gladys E."},{"family":"Maiztegui","given":"Julio I."},{"family":"Nelson","given":"Gene O."},{"family":"Ksiazek","given":"Thomas G."},{"family":"Peters","given":"Clarence J."},{"family":"Childs","given":"James E."}],"issued":{"date-parts":[["1992",12]]}}},{"id":913,"uris":["http://zotero.org/groups/5467322/items/NQZMPXUS"],"itemData":{"id":913,"type":"article-journal","abstract":"Junin virus is the etiological agent of Argentine hemorrhagic fever, a serious rodent-borne disease. An enzyme-linked immunosorbent assay (ELISA) to detect Junin virus IgG antibodies in rodents was evaluated using sera from 27 Calomys musculinus and five Calomys laucha, inoculated experimentally with a live attenuated strain of this arenavirus. The test performance was compared against an indirect immunofluorescence assay (IFA). The ELISA had a sensitivity and specificity of 100% and a reproducibility of 87.9% for samples with titers above the selected cut-off value. IFA had lower sensitivity (53%) with the same specificity. The ELISA results were similar, whether carried out on whole blood or serum samples, thus eliminating the need for serum separation. A high correlation (K=0.86) between ELISA and IFA results was obtained from 1011 wild sigmodontine and murine rodents collected within and outside of the Argentine hemorrhagic fever endemic area. These results indicate that Junin virus IgG ELISA is the most suitable assay for detection of Junin virus antibodies in rodent samples.","container-title":"Journal of Virological Methods","DOI":"10.1016/S0166-0934(01)00452-9","ISSN":"0166-0934","issue":"1","journalAbbreviation":"Journal of Virological Methods","page":"57-66","source":"ScienceDirect","title":"Evaluation of an enzyme-linked immunosorbent assay for detection of antibodies to Junin virus in rodents","volume":"103","author":[{"family":"Morales","given":"Marı́a A"},{"family":"Calderón","given":"Gladys E"},{"family":"Riera","given":"Laura M"},{"family":"Ambrosio","given":"Ana M"},{"family":"Enrı́a","given":"Delia A"},{"family":"Sabattini","given":"Marta S"}],"issued":{"date-parts":[["2002",5,1]]}}},{"id":876,"uris":["http://zotero.org/groups/5467322/items/RHMRRKDR"],"itemData":{"id":876,"type":"article-journal","abstract":"Zoonoses within wild reservoir host populations often occur focally obeying Pavlovskii’s rules of “natural nidality”. What appears to be a clear example is Bolivian hemorrhagic fever (BHF), a disease endemic to northeastern Bolivia. The etiological agent is Machupo virus (MACV, Arenaviridae). The vertebrate reservoir, identified 30 years ago, was Calomys callosus a wild rodent common to open biomes in the lowlands of southeastern South America. The lack of concordance between the occurrence of MACV and the range of its rodent host has puzzled cadres of researchers and could be used as an exemplar of natural nidality. Here, we show that the populations of rodents responsible for the maintenance and transmission of MACV are an independent monophyletic lineage, different from those in other areas of South America. Therefore a clearer understanding of the systematics of the host species explains the apparent natural nidality of BHF. Similar studies may prove to be informative in other zoonoses.","container-title":"Infection, Genetics and Evolution","DOI":"10.1016/S1567-1348(02)00026-6","ISSN":"1567-1348","issue":"3","journalAbbreviation":"Infection, Genetics and Evolution","page":"191-199","source":"ScienceDirect","title":"Natural nidality in Bolivian hemorrhagic fever and the systematics of the reservoir species","volume":"1","author":[{"family":"Salazar-Bravo","given":"Jorge"},{"family":"Dragoo","given":"Jerry W."},{"family":"Bowen","given":"Michael D."},{"family":"Peters","given":"Clarence J."},{"family":"Ksiazek","given":"Thomas G."},{"family":"Yates","given":"Terry L."}],"issued":{"date-parts":[["2002",5,1]]}}},{"id":878,"uris":["http://zotero.org/groups/5467322/items/9KEQRMM7"],"itemData":{"id":878,"type":"article-journal","abstract":"The genus Calomys includes several species that have very similar external morphologies, which often leads to confusing field identification and has resulted in conflictive taxonomic histories. One of its clades involves large-sized body forms, known as the Calomys callosus complex. In a previous study, a biogeographic hypothesis was proposed to explain a south-to-north colonisation of South America by species of this complex. However, other studies which not included all members of the complex' members and that used different molecular markers, did not support that biogeographic hypothesis. Here we explore the relationships among C. callosus sensu stricto (s.s.), C. fecundus, C. callidus, C. venustus, C. tocantinsi and Calomys sp. using two mitochondrial genes (Cyt-b and Control Region) and two nuclear genes (Rhp3 and i7FGB) data. We also applied several gene trees and species delimitation methods to elucidate the taxonomy, distribution and evolutionary relationships among the analysed species. By including sequences of individuals from Argentina, Brazil, Bolivia and Paraguay, we reconstructed the possible ancestral biogeographic origin of the complex. Two main clades were recovered: the western showed the relationships (C. venustus [C. fecundus–Calomys sp.]), while the eastern (C. callidus [C. callosus s.s.–C. tocantinsi]). These results support the original biogeographic hypothesis and suggest the following scenario: in the west, from the Espinal ecoregion, first the Tucumane–Bolivian Yungas and later, the Beni savanna would have been colonised. In the east, from the Espinal, first the Chaco and later the Cerrado ecoregions may have been occupied.","container-title":"Zoologica Scripta","DOI":"10.1111/zsc.12556","ISSN":"1463-6409","issue":"5","language":"en","license":"© 2022 Royal Swedish Academy of Sciences.","note":"_eprint: https://onlinelibrary.wiley.com/doi/pdf/10.1111/zsc.12556","page":"498-521","source":"Wiley Online Library","title":"Molecular systematics and biogeographic insights of the Calomys callosus complex (Rodentia, Cricetidae)","volume":"51","author":[{"family":"González-Ittig","given":"Raúl E."},{"family":"Pinotti","given":"Juan D."},{"family":"Carballo","given":"Julieta"},{"family":"Martín","given":"María L."},{"family":"Levis","given":"Silvana"},{"family":"Calderón","given":"Gladys"},{"family":"Gómez-Villafañe","given":"Isabel"},{"family":"Salazar-Bravo","given":"Jorge"},{"family":"Pardiñas","given":"Ulyses F. J."}],"issued":{"date-parts":[["2022"]]}}}],"schema":"https://github.com/citation-style-language/schema/raw/master/csl-citation.json"} </w:instrText>
      </w:r>
      <w:r w:rsidRPr="000D1EAE">
        <w:rPr>
          <w:iCs/>
        </w:rPr>
        <w:fldChar w:fldCharType="separate"/>
      </w:r>
      <w:r w:rsidRPr="000D1EAE">
        <w:rPr>
          <w:rFonts w:cs="Arial"/>
          <w:kern w:val="0"/>
          <w:vertAlign w:val="superscript"/>
        </w:rPr>
        <w:t>1–8</w:t>
      </w:r>
      <w:r w:rsidRPr="000D1EAE">
        <w:rPr>
          <w:iCs/>
        </w:rPr>
        <w:fldChar w:fldCharType="end"/>
      </w:r>
      <w:r w:rsidRPr="000D1EAE">
        <w:rPr>
          <w:iCs/>
        </w:rPr>
        <w:t xml:space="preserve">. Since involvement of certain rodent species as reservoirs for rare NWA are ambiguous or underreported in literature </w:t>
      </w:r>
      <w:r w:rsidRPr="000D1EAE">
        <w:rPr>
          <w:iCs/>
        </w:rPr>
        <w:fldChar w:fldCharType="begin"/>
      </w:r>
      <w:r>
        <w:rPr>
          <w:iCs/>
        </w:rPr>
        <w:instrText xml:space="preserve"> ADDIN ZOTERO_ITEM CSL_CITATION {"citationID":"chcCB8LA","properties":{"formattedCitation":"\\super 7\\nosupersub{}","plainCitation":"7","noteIndex":0},"citationItems":[{"id":876,"uris":["http://zotero.org/groups/5467322/items/RHMRRKDR"],"itemData":{"id":876,"type":"article-journal","abstract":"Zoonoses within wild reservoir host populations often occur focally obeying Pavlovskii’s rules of “natural nidality”. What appears to be a clear example is Bolivian hemorrhagic fever (BHF), a disease endemic to northeastern Bolivia. The etiological agent is Machupo virus (MACV, Arenaviridae). The vertebrate reservoir, identified 30 years ago, was Calomys callosus a wild rodent common to open biomes in the lowlands of southeastern South America. The lack of concordance between the occurrence of MACV and the range of its rodent host has puzzled cadres of researchers and could be used as an exemplar of natural nidality. Here, we show that the populations of rodents responsible for the maintenance and transmission of MACV are an independent monophyletic lineage, different from those in other areas of South America. Therefore a clearer understanding of the systematics of the host species explains the apparent natural nidality of BHF. Similar studies may prove to be informative in other zoonoses.","container-title":"Infection, Genetics and Evolution","DOI":"10.1016/S1567-1348(02)00026-6","ISSN":"1567-1348","issue":"3","journalAbbreviation":"Infection, Genetics and Evolution","page":"191-199","source":"ScienceDirect","title":"Natural nidality in Bolivian hemorrhagic fever and the systematics of the reservoir species","volume":"1","author":[{"family":"Salazar-Bravo","given":"Jorge"},{"family":"Dragoo","given":"Jerry W."},{"family":"Bowen","given":"Michael D."},{"family":"Peters","given":"Clarence J."},{"family":"Ksiazek","given":"Thomas G."},{"family":"Yates","given":"Terry L."}],"issued":{"date-parts":[["2002",5,1]]}}}],"schema":"https://github.com/citation-style-language/schema/raw/master/csl-citation.json"} </w:instrText>
      </w:r>
      <w:r w:rsidRPr="000D1EAE">
        <w:rPr>
          <w:iCs/>
        </w:rPr>
        <w:fldChar w:fldCharType="separate"/>
      </w:r>
      <w:r w:rsidRPr="000D1EAE">
        <w:rPr>
          <w:rFonts w:cs="Arial"/>
          <w:kern w:val="0"/>
          <w:vertAlign w:val="superscript"/>
        </w:rPr>
        <w:t>7</w:t>
      </w:r>
      <w:r w:rsidRPr="000D1EAE">
        <w:rPr>
          <w:iCs/>
        </w:rPr>
        <w:fldChar w:fldCharType="end"/>
      </w:r>
      <w:r w:rsidRPr="000D1EAE">
        <w:rPr>
          <w:iCs/>
        </w:rPr>
        <w:t xml:space="preserve">, we selected six well-established rodent species that act as reservoirs for NWA and their zoonotic spillover (Table 1). These six species, namely, </w:t>
      </w:r>
      <w:r w:rsidRPr="000D1EAE">
        <w:rPr>
          <w:i/>
          <w:iCs/>
        </w:rPr>
        <w:t>Zygodontomys brevicauda</w:t>
      </w:r>
      <w:r w:rsidRPr="000D1EAE">
        <w:rPr>
          <w:iCs/>
        </w:rPr>
        <w:t xml:space="preserve"> and </w:t>
      </w:r>
      <w:r w:rsidRPr="000D1EAE">
        <w:rPr>
          <w:i/>
          <w:iCs/>
        </w:rPr>
        <w:t>Sigmodon alstoni</w:t>
      </w:r>
      <w:r w:rsidRPr="000D1EAE">
        <w:rPr>
          <w:iCs/>
        </w:rPr>
        <w:t xml:space="preserve"> for GTOV, </w:t>
      </w:r>
      <w:r w:rsidRPr="000D1EAE">
        <w:rPr>
          <w:i/>
          <w:iCs/>
        </w:rPr>
        <w:t>Calomys callosus</w:t>
      </w:r>
      <w:r w:rsidRPr="000D1EAE">
        <w:rPr>
          <w:iCs/>
        </w:rPr>
        <w:t xml:space="preserve"> for MACV, </w:t>
      </w:r>
      <w:r w:rsidRPr="000D1EAE">
        <w:rPr>
          <w:i/>
          <w:iCs/>
        </w:rPr>
        <w:t>Calomys musculinus, Calomys laucha</w:t>
      </w:r>
      <w:r w:rsidRPr="000D1EAE">
        <w:rPr>
          <w:iCs/>
        </w:rPr>
        <w:t xml:space="preserve"> and </w:t>
      </w:r>
      <w:r w:rsidRPr="000D1EAE">
        <w:rPr>
          <w:i/>
          <w:iCs/>
        </w:rPr>
        <w:t>Oligoryzomys flavescens</w:t>
      </w:r>
      <w:r w:rsidRPr="000D1EAE">
        <w:rPr>
          <w:iCs/>
        </w:rPr>
        <w:t xml:space="preserve"> for JUNV, have been established to be associated with outbreaks of their respective NWA in human populations (Table 1). The distribution of these rodent reservoirs over the geographical boundaries of the reported outbreaks of NWA in the past </w:t>
      </w:r>
      <w:bookmarkStart w:id="0" w:name="_Int_XpDAhWbq"/>
      <w:r w:rsidRPr="000D1EAE">
        <w:rPr>
          <w:iCs/>
        </w:rPr>
        <w:t>was</w:t>
      </w:r>
      <w:bookmarkEnd w:id="0"/>
      <w:r w:rsidRPr="000D1EAE">
        <w:rPr>
          <w:iCs/>
        </w:rPr>
        <w:t xml:space="preserve"> modeled using species distribution models (SDMs).</w:t>
      </w:r>
    </w:p>
    <w:p w14:paraId="338B9E80" w14:textId="77777777" w:rsidR="000D1EAE" w:rsidRPr="000D1EAE" w:rsidRDefault="000D1EAE" w:rsidP="000D1EAE">
      <w:pPr>
        <w:pStyle w:val="Caption1"/>
      </w:pPr>
      <w:r w:rsidRPr="000D1EAE">
        <w:t>Table 1. New World Arenaviruses (NWA) that were reported to cause zoonotic outbreaks in humans with their reported rodent reservoirs</w:t>
      </w:r>
    </w:p>
    <w:tbl>
      <w:tblPr>
        <w:tblW w:w="9360" w:type="dxa"/>
        <w:tblLook w:val="04A0" w:firstRow="1" w:lastRow="0" w:firstColumn="1" w:lastColumn="0" w:noHBand="0" w:noVBand="1"/>
      </w:tblPr>
      <w:tblGrid>
        <w:gridCol w:w="2040"/>
        <w:gridCol w:w="2400"/>
        <w:gridCol w:w="3220"/>
        <w:gridCol w:w="1700"/>
      </w:tblGrid>
      <w:tr w:rsidR="000D1EAE" w:rsidRPr="000D1EAE" w14:paraId="3F61EAD5" w14:textId="77777777" w:rsidTr="00837138">
        <w:trPr>
          <w:trHeight w:val="300"/>
        </w:trPr>
        <w:tc>
          <w:tcPr>
            <w:tcW w:w="2040" w:type="dxa"/>
            <w:tcBorders>
              <w:top w:val="single" w:sz="4" w:space="0" w:color="auto"/>
              <w:left w:val="nil"/>
              <w:bottom w:val="single" w:sz="4" w:space="0" w:color="auto"/>
              <w:right w:val="nil"/>
            </w:tcBorders>
            <w:vAlign w:val="center"/>
            <w:hideMark/>
          </w:tcPr>
          <w:p w14:paraId="0E4C6E91" w14:textId="77777777" w:rsidR="000D1EAE" w:rsidRPr="000D1EAE" w:rsidRDefault="000D1EAE" w:rsidP="000D1EAE">
            <w:pPr>
              <w:overflowPunct/>
              <w:autoSpaceDE/>
              <w:autoSpaceDN/>
              <w:adjustRightInd/>
              <w:spacing w:before="0" w:after="0"/>
              <w:ind w:hanging="23"/>
              <w:textAlignment w:val="auto"/>
              <w:rPr>
                <w:rFonts w:eastAsia="Times New Roman" w:cs="Arial"/>
                <w:b/>
                <w:bCs/>
                <w:iCs/>
                <w:color w:val="000000"/>
                <w:kern w:val="0"/>
                <w:sz w:val="20"/>
                <w:szCs w:val="20"/>
                <w14:ligatures w14:val="none"/>
              </w:rPr>
            </w:pPr>
            <w:r w:rsidRPr="000D1EAE">
              <w:rPr>
                <w:rFonts w:eastAsia="Times New Roman" w:cs="Arial"/>
                <w:b/>
                <w:bCs/>
                <w:iCs/>
                <w:color w:val="000000"/>
                <w:kern w:val="0"/>
                <w:sz w:val="20"/>
                <w:szCs w:val="20"/>
                <w14:ligatures w14:val="none"/>
              </w:rPr>
              <w:t>Common name of virus</w:t>
            </w:r>
          </w:p>
        </w:tc>
        <w:tc>
          <w:tcPr>
            <w:tcW w:w="2400" w:type="dxa"/>
            <w:tcBorders>
              <w:top w:val="single" w:sz="4" w:space="0" w:color="auto"/>
              <w:left w:val="nil"/>
              <w:bottom w:val="single" w:sz="4" w:space="0" w:color="auto"/>
              <w:right w:val="nil"/>
            </w:tcBorders>
            <w:vAlign w:val="center"/>
            <w:hideMark/>
          </w:tcPr>
          <w:p w14:paraId="253A70E4" w14:textId="77777777" w:rsidR="000D1EAE" w:rsidRPr="000D1EAE" w:rsidRDefault="000D1EAE" w:rsidP="000D1EAE">
            <w:pPr>
              <w:overflowPunct/>
              <w:autoSpaceDE/>
              <w:autoSpaceDN/>
              <w:adjustRightInd/>
              <w:spacing w:before="0" w:after="0"/>
              <w:ind w:firstLine="6"/>
              <w:textAlignment w:val="auto"/>
              <w:rPr>
                <w:rFonts w:eastAsia="Times New Roman" w:cs="Arial"/>
                <w:b/>
                <w:bCs/>
                <w:iCs/>
                <w:color w:val="000000"/>
                <w:kern w:val="0"/>
                <w:sz w:val="20"/>
                <w:szCs w:val="20"/>
                <w14:ligatures w14:val="none"/>
              </w:rPr>
            </w:pPr>
            <w:r w:rsidRPr="000D1EAE">
              <w:rPr>
                <w:rFonts w:eastAsia="Times New Roman" w:cs="Arial"/>
                <w:b/>
                <w:bCs/>
                <w:iCs/>
                <w:color w:val="000000"/>
                <w:kern w:val="0"/>
                <w:sz w:val="20"/>
                <w:szCs w:val="20"/>
                <w14:ligatures w14:val="none"/>
              </w:rPr>
              <w:t>Common name of the disease</w:t>
            </w:r>
          </w:p>
        </w:tc>
        <w:tc>
          <w:tcPr>
            <w:tcW w:w="3220" w:type="dxa"/>
            <w:tcBorders>
              <w:top w:val="single" w:sz="4" w:space="0" w:color="auto"/>
              <w:left w:val="nil"/>
              <w:bottom w:val="single" w:sz="4" w:space="0" w:color="auto"/>
              <w:right w:val="nil"/>
            </w:tcBorders>
            <w:vAlign w:val="center"/>
            <w:hideMark/>
          </w:tcPr>
          <w:p w14:paraId="4E09A7DB" w14:textId="77777777" w:rsidR="000D1EAE" w:rsidRPr="000D1EAE" w:rsidRDefault="000D1EAE" w:rsidP="000D1EAE">
            <w:pPr>
              <w:overflowPunct/>
              <w:autoSpaceDE/>
              <w:autoSpaceDN/>
              <w:adjustRightInd/>
              <w:spacing w:before="0" w:after="0"/>
              <w:ind w:firstLine="45"/>
              <w:textAlignment w:val="auto"/>
              <w:rPr>
                <w:rFonts w:eastAsia="Times New Roman" w:cs="Arial"/>
                <w:b/>
                <w:bCs/>
                <w:iCs/>
                <w:color w:val="000000"/>
                <w:kern w:val="0"/>
                <w:sz w:val="20"/>
                <w:szCs w:val="20"/>
                <w14:ligatures w14:val="none"/>
              </w:rPr>
            </w:pPr>
            <w:r w:rsidRPr="000D1EAE">
              <w:rPr>
                <w:rFonts w:eastAsia="Times New Roman" w:cs="Arial"/>
                <w:b/>
                <w:bCs/>
                <w:iCs/>
                <w:color w:val="000000"/>
                <w:kern w:val="0"/>
                <w:sz w:val="20"/>
                <w:szCs w:val="20"/>
                <w14:ligatures w14:val="none"/>
              </w:rPr>
              <w:t>Reported rodent reservoir</w:t>
            </w:r>
          </w:p>
        </w:tc>
        <w:tc>
          <w:tcPr>
            <w:tcW w:w="1700" w:type="dxa"/>
            <w:tcBorders>
              <w:top w:val="single" w:sz="4" w:space="0" w:color="auto"/>
              <w:left w:val="nil"/>
              <w:bottom w:val="single" w:sz="4" w:space="0" w:color="auto"/>
              <w:right w:val="nil"/>
            </w:tcBorders>
            <w:vAlign w:val="center"/>
            <w:hideMark/>
          </w:tcPr>
          <w:p w14:paraId="63794BE8" w14:textId="77777777" w:rsidR="000D1EAE" w:rsidRPr="000D1EAE" w:rsidRDefault="000D1EAE" w:rsidP="000D1EAE">
            <w:pPr>
              <w:overflowPunct/>
              <w:autoSpaceDE/>
              <w:autoSpaceDN/>
              <w:adjustRightInd/>
              <w:spacing w:before="0" w:after="0"/>
              <w:ind w:firstLine="0"/>
              <w:textAlignment w:val="auto"/>
              <w:rPr>
                <w:rFonts w:eastAsia="Times New Roman" w:cs="Arial"/>
                <w:b/>
                <w:bCs/>
                <w:iCs/>
                <w:color w:val="000000"/>
                <w:kern w:val="0"/>
                <w:sz w:val="20"/>
                <w:szCs w:val="20"/>
                <w14:ligatures w14:val="none"/>
              </w:rPr>
            </w:pPr>
            <w:r w:rsidRPr="000D1EAE">
              <w:rPr>
                <w:rFonts w:eastAsia="Times New Roman" w:cs="Arial"/>
                <w:b/>
                <w:bCs/>
                <w:iCs/>
                <w:color w:val="000000"/>
                <w:kern w:val="0"/>
                <w:sz w:val="20"/>
                <w:szCs w:val="20"/>
                <w14:ligatures w14:val="none"/>
              </w:rPr>
              <w:t>Outbreaks reported</w:t>
            </w:r>
          </w:p>
        </w:tc>
      </w:tr>
      <w:tr w:rsidR="000D1EAE" w:rsidRPr="000D1EAE" w14:paraId="70FB2C89" w14:textId="77777777" w:rsidTr="00837138">
        <w:trPr>
          <w:trHeight w:val="300"/>
        </w:trPr>
        <w:tc>
          <w:tcPr>
            <w:tcW w:w="2040" w:type="dxa"/>
            <w:tcBorders>
              <w:top w:val="nil"/>
              <w:left w:val="nil"/>
              <w:bottom w:val="nil"/>
              <w:right w:val="nil"/>
            </w:tcBorders>
            <w:vAlign w:val="center"/>
            <w:hideMark/>
          </w:tcPr>
          <w:p w14:paraId="2A7AC845" w14:textId="77777777" w:rsidR="000D1EAE" w:rsidRPr="000D1EAE" w:rsidRDefault="000D1EAE" w:rsidP="000D1EAE">
            <w:pPr>
              <w:overflowPunct/>
              <w:autoSpaceDE/>
              <w:autoSpaceDN/>
              <w:adjustRightInd/>
              <w:spacing w:before="0" w:after="0"/>
              <w:ind w:hanging="23"/>
              <w:textAlignment w:val="auto"/>
              <w:rPr>
                <w:rFonts w:eastAsia="Times New Roman" w:cs="Arial"/>
                <w:b/>
                <w:bCs/>
                <w:iCs/>
                <w:color w:val="000000"/>
                <w:kern w:val="0"/>
                <w:sz w:val="20"/>
                <w:szCs w:val="20"/>
                <w14:ligatures w14:val="none"/>
              </w:rPr>
            </w:pPr>
            <w:proofErr w:type="spellStart"/>
            <w:r w:rsidRPr="000D1EAE">
              <w:rPr>
                <w:rFonts w:eastAsia="Times New Roman" w:cs="Arial"/>
                <w:b/>
                <w:bCs/>
                <w:iCs/>
                <w:color w:val="000000"/>
                <w:kern w:val="0"/>
                <w:sz w:val="20"/>
                <w:szCs w:val="20"/>
                <w14:ligatures w14:val="none"/>
              </w:rPr>
              <w:t>Junin</w:t>
            </w:r>
            <w:proofErr w:type="spellEnd"/>
            <w:r w:rsidRPr="000D1EAE">
              <w:rPr>
                <w:rFonts w:eastAsia="Times New Roman" w:cs="Arial"/>
                <w:b/>
                <w:bCs/>
                <w:iCs/>
                <w:color w:val="000000"/>
                <w:kern w:val="0"/>
                <w:sz w:val="20"/>
                <w:szCs w:val="20"/>
                <w14:ligatures w14:val="none"/>
              </w:rPr>
              <w:t xml:space="preserve"> virus (JUNV)</w:t>
            </w:r>
          </w:p>
        </w:tc>
        <w:tc>
          <w:tcPr>
            <w:tcW w:w="2400" w:type="dxa"/>
            <w:tcBorders>
              <w:top w:val="nil"/>
              <w:left w:val="nil"/>
              <w:bottom w:val="nil"/>
              <w:right w:val="nil"/>
            </w:tcBorders>
            <w:vAlign w:val="center"/>
            <w:hideMark/>
          </w:tcPr>
          <w:p w14:paraId="4361BF35" w14:textId="77777777" w:rsidR="000D1EAE" w:rsidRPr="000D1EAE" w:rsidRDefault="000D1EAE" w:rsidP="000D1EAE">
            <w:pPr>
              <w:overflowPunct/>
              <w:autoSpaceDE/>
              <w:autoSpaceDN/>
              <w:adjustRightInd/>
              <w:spacing w:before="0" w:after="0"/>
              <w:ind w:firstLine="6"/>
              <w:textAlignment w:val="auto"/>
              <w:rPr>
                <w:rFonts w:eastAsia="Times New Roman" w:cs="Arial"/>
                <w:iCs/>
                <w:color w:val="000000"/>
                <w:kern w:val="0"/>
                <w:sz w:val="20"/>
                <w:szCs w:val="20"/>
                <w14:ligatures w14:val="none"/>
              </w:rPr>
            </w:pPr>
            <w:r w:rsidRPr="000D1EAE">
              <w:rPr>
                <w:rFonts w:eastAsia="Times New Roman" w:cs="Arial"/>
                <w:iCs/>
                <w:color w:val="000000"/>
                <w:kern w:val="0"/>
                <w:sz w:val="20"/>
                <w:szCs w:val="20"/>
                <w14:ligatures w14:val="none"/>
              </w:rPr>
              <w:t>Argentine Hemorrhagic fever</w:t>
            </w:r>
          </w:p>
        </w:tc>
        <w:tc>
          <w:tcPr>
            <w:tcW w:w="3220" w:type="dxa"/>
            <w:tcBorders>
              <w:top w:val="nil"/>
              <w:left w:val="nil"/>
              <w:bottom w:val="nil"/>
              <w:right w:val="nil"/>
            </w:tcBorders>
            <w:vAlign w:val="center"/>
            <w:hideMark/>
          </w:tcPr>
          <w:p w14:paraId="17F11A51" w14:textId="77777777" w:rsidR="000D1EAE" w:rsidRPr="000D1EAE" w:rsidRDefault="000D1EAE" w:rsidP="000D1EAE">
            <w:pPr>
              <w:overflowPunct/>
              <w:autoSpaceDE/>
              <w:autoSpaceDN/>
              <w:adjustRightInd/>
              <w:spacing w:before="0" w:after="0"/>
              <w:ind w:firstLine="45"/>
              <w:textAlignment w:val="auto"/>
              <w:rPr>
                <w:rFonts w:eastAsia="Times New Roman" w:cs="Arial"/>
                <w:i/>
                <w:iCs/>
                <w:color w:val="000000" w:themeColor="text1"/>
                <w:sz w:val="20"/>
                <w:szCs w:val="20"/>
              </w:rPr>
            </w:pPr>
            <w:r w:rsidRPr="000D1EAE">
              <w:rPr>
                <w:rFonts w:eastAsia="Times New Roman" w:cs="Arial"/>
                <w:i/>
                <w:iCs/>
                <w:color w:val="000000"/>
                <w:kern w:val="0"/>
                <w:sz w:val="20"/>
                <w:szCs w:val="20"/>
                <w14:ligatures w14:val="none"/>
              </w:rPr>
              <w:t xml:space="preserve">Calomys musculinus </w:t>
            </w:r>
          </w:p>
          <w:p w14:paraId="178B4289" w14:textId="77777777" w:rsidR="000D1EAE" w:rsidRPr="000D1EAE" w:rsidRDefault="000D1EAE" w:rsidP="000D1EAE">
            <w:pPr>
              <w:overflowPunct/>
              <w:autoSpaceDE/>
              <w:autoSpaceDN/>
              <w:adjustRightInd/>
              <w:spacing w:before="0" w:after="0"/>
              <w:ind w:firstLine="45"/>
              <w:textAlignment w:val="auto"/>
              <w:rPr>
                <w:rFonts w:eastAsia="Times New Roman" w:cs="Arial"/>
                <w:i/>
                <w:iCs/>
                <w:color w:val="000000"/>
                <w:kern w:val="0"/>
                <w:sz w:val="20"/>
                <w:szCs w:val="20"/>
                <w14:ligatures w14:val="none"/>
              </w:rPr>
            </w:pPr>
            <w:r w:rsidRPr="000D1EAE">
              <w:rPr>
                <w:rFonts w:eastAsia="Times New Roman" w:cs="Arial"/>
                <w:i/>
                <w:iCs/>
                <w:color w:val="000000"/>
                <w:kern w:val="0"/>
                <w:sz w:val="20"/>
                <w:szCs w:val="20"/>
                <w14:ligatures w14:val="none"/>
              </w:rPr>
              <w:t>(</w:t>
            </w:r>
            <w:r w:rsidRPr="000D1EAE">
              <w:rPr>
                <w:rFonts w:eastAsia="Times New Roman" w:cs="Arial"/>
                <w:iCs/>
                <w:color w:val="000000"/>
                <w:kern w:val="0"/>
                <w:sz w:val="20"/>
                <w:szCs w:val="20"/>
                <w14:ligatures w14:val="none"/>
              </w:rPr>
              <w:t>Dryland Vesper mouse</w:t>
            </w:r>
            <w:r w:rsidRPr="000D1EAE">
              <w:rPr>
                <w:rFonts w:eastAsia="Times New Roman" w:cs="Arial"/>
                <w:i/>
                <w:iCs/>
                <w:color w:val="000000"/>
                <w:kern w:val="0"/>
                <w:sz w:val="20"/>
                <w:szCs w:val="20"/>
                <w14:ligatures w14:val="none"/>
              </w:rPr>
              <w:t>)</w:t>
            </w:r>
          </w:p>
        </w:tc>
        <w:tc>
          <w:tcPr>
            <w:tcW w:w="1700" w:type="dxa"/>
            <w:tcBorders>
              <w:top w:val="nil"/>
              <w:left w:val="nil"/>
              <w:bottom w:val="nil"/>
              <w:right w:val="nil"/>
            </w:tcBorders>
            <w:vAlign w:val="center"/>
            <w:hideMark/>
          </w:tcPr>
          <w:p w14:paraId="54844295" w14:textId="77777777" w:rsidR="000D1EAE" w:rsidRPr="000D1EAE" w:rsidRDefault="000D1EAE" w:rsidP="000D1EAE">
            <w:pPr>
              <w:overflowPunct/>
              <w:autoSpaceDE/>
              <w:autoSpaceDN/>
              <w:adjustRightInd/>
              <w:spacing w:before="0" w:after="0"/>
              <w:ind w:firstLine="0"/>
              <w:textAlignment w:val="auto"/>
              <w:rPr>
                <w:rFonts w:eastAsia="Times New Roman" w:cs="Arial"/>
                <w:iCs/>
                <w:color w:val="000000"/>
                <w:kern w:val="0"/>
                <w:sz w:val="20"/>
                <w:szCs w:val="20"/>
                <w14:ligatures w14:val="none"/>
              </w:rPr>
            </w:pPr>
            <w:r w:rsidRPr="000D1EAE">
              <w:rPr>
                <w:rFonts w:eastAsia="Times New Roman" w:cs="Arial"/>
                <w:iCs/>
                <w:color w:val="000000"/>
                <w:kern w:val="0"/>
                <w:sz w:val="20"/>
                <w:szCs w:val="20"/>
                <w14:ligatures w14:val="none"/>
              </w:rPr>
              <w:t>1950s, 1990-2018</w:t>
            </w:r>
          </w:p>
        </w:tc>
      </w:tr>
      <w:tr w:rsidR="000D1EAE" w:rsidRPr="000D1EAE" w14:paraId="068A6076" w14:textId="77777777" w:rsidTr="00837138">
        <w:trPr>
          <w:trHeight w:val="300"/>
        </w:trPr>
        <w:tc>
          <w:tcPr>
            <w:tcW w:w="2040" w:type="dxa"/>
            <w:tcBorders>
              <w:top w:val="nil"/>
              <w:left w:val="nil"/>
              <w:bottom w:val="nil"/>
              <w:right w:val="nil"/>
            </w:tcBorders>
            <w:vAlign w:val="center"/>
            <w:hideMark/>
          </w:tcPr>
          <w:p w14:paraId="6EE87EE0" w14:textId="77777777" w:rsidR="000D1EAE" w:rsidRPr="000D1EAE" w:rsidRDefault="000D1EAE" w:rsidP="000D1EAE">
            <w:pPr>
              <w:overflowPunct/>
              <w:autoSpaceDE/>
              <w:autoSpaceDN/>
              <w:adjustRightInd/>
              <w:spacing w:before="0" w:after="0"/>
              <w:ind w:hanging="23"/>
              <w:textAlignment w:val="auto"/>
              <w:rPr>
                <w:rFonts w:eastAsia="Times New Roman" w:cs="Arial"/>
                <w:iCs/>
                <w:color w:val="000000"/>
                <w:kern w:val="0"/>
                <w:sz w:val="20"/>
                <w:szCs w:val="20"/>
                <w14:ligatures w14:val="none"/>
              </w:rPr>
            </w:pPr>
          </w:p>
        </w:tc>
        <w:tc>
          <w:tcPr>
            <w:tcW w:w="2400" w:type="dxa"/>
            <w:tcBorders>
              <w:top w:val="nil"/>
              <w:left w:val="nil"/>
              <w:bottom w:val="nil"/>
              <w:right w:val="nil"/>
            </w:tcBorders>
            <w:vAlign w:val="center"/>
            <w:hideMark/>
          </w:tcPr>
          <w:p w14:paraId="685841FF" w14:textId="77777777" w:rsidR="000D1EAE" w:rsidRPr="000D1EAE" w:rsidRDefault="000D1EAE" w:rsidP="000D1EAE">
            <w:pPr>
              <w:overflowPunct/>
              <w:autoSpaceDE/>
              <w:autoSpaceDN/>
              <w:adjustRightInd/>
              <w:spacing w:before="0" w:after="0"/>
              <w:ind w:firstLine="6"/>
              <w:textAlignment w:val="auto"/>
              <w:rPr>
                <w:rFonts w:eastAsia="Times New Roman" w:cs="Arial"/>
                <w:iCs/>
                <w:kern w:val="0"/>
                <w:sz w:val="20"/>
                <w:szCs w:val="20"/>
                <w14:ligatures w14:val="none"/>
              </w:rPr>
            </w:pPr>
          </w:p>
        </w:tc>
        <w:tc>
          <w:tcPr>
            <w:tcW w:w="3220" w:type="dxa"/>
            <w:tcBorders>
              <w:top w:val="nil"/>
              <w:left w:val="nil"/>
              <w:bottom w:val="nil"/>
              <w:right w:val="nil"/>
            </w:tcBorders>
            <w:vAlign w:val="center"/>
            <w:hideMark/>
          </w:tcPr>
          <w:p w14:paraId="1CE8BFC3" w14:textId="77777777" w:rsidR="000D1EAE" w:rsidRPr="000D1EAE" w:rsidRDefault="000D1EAE" w:rsidP="000D1EAE">
            <w:pPr>
              <w:overflowPunct/>
              <w:autoSpaceDE/>
              <w:autoSpaceDN/>
              <w:adjustRightInd/>
              <w:spacing w:before="0" w:after="0"/>
              <w:ind w:firstLine="45"/>
              <w:textAlignment w:val="auto"/>
              <w:rPr>
                <w:rFonts w:eastAsia="Times New Roman" w:cs="Arial"/>
                <w:i/>
                <w:iCs/>
                <w:color w:val="000000" w:themeColor="text1"/>
                <w:sz w:val="20"/>
                <w:szCs w:val="20"/>
              </w:rPr>
            </w:pPr>
            <w:r w:rsidRPr="000D1EAE">
              <w:rPr>
                <w:rFonts w:eastAsia="Times New Roman" w:cs="Arial"/>
                <w:i/>
                <w:iCs/>
                <w:color w:val="000000"/>
                <w:kern w:val="0"/>
                <w:sz w:val="20"/>
                <w:szCs w:val="20"/>
                <w14:ligatures w14:val="none"/>
              </w:rPr>
              <w:t xml:space="preserve">Calomys laucha </w:t>
            </w:r>
          </w:p>
          <w:p w14:paraId="28115370" w14:textId="77777777" w:rsidR="000D1EAE" w:rsidRPr="000D1EAE" w:rsidRDefault="000D1EAE" w:rsidP="000D1EAE">
            <w:pPr>
              <w:overflowPunct/>
              <w:autoSpaceDE/>
              <w:autoSpaceDN/>
              <w:adjustRightInd/>
              <w:spacing w:before="0" w:after="0"/>
              <w:ind w:firstLine="45"/>
              <w:textAlignment w:val="auto"/>
              <w:rPr>
                <w:rFonts w:eastAsia="Times New Roman" w:cs="Arial"/>
                <w:i/>
                <w:iCs/>
                <w:color w:val="000000"/>
                <w:kern w:val="0"/>
                <w:sz w:val="20"/>
                <w:szCs w:val="20"/>
                <w14:ligatures w14:val="none"/>
              </w:rPr>
            </w:pPr>
            <w:r w:rsidRPr="000D1EAE">
              <w:rPr>
                <w:rFonts w:eastAsia="Times New Roman" w:cs="Arial"/>
                <w:i/>
                <w:iCs/>
                <w:color w:val="000000"/>
                <w:kern w:val="0"/>
                <w:sz w:val="20"/>
                <w:szCs w:val="20"/>
                <w14:ligatures w14:val="none"/>
              </w:rPr>
              <w:t>(</w:t>
            </w:r>
            <w:r w:rsidRPr="000D1EAE">
              <w:rPr>
                <w:rFonts w:eastAsia="Times New Roman" w:cs="Arial"/>
                <w:iCs/>
                <w:color w:val="000000"/>
                <w:kern w:val="0"/>
                <w:sz w:val="20"/>
                <w:szCs w:val="20"/>
                <w14:ligatures w14:val="none"/>
              </w:rPr>
              <w:t>Small Vesper mouse</w:t>
            </w:r>
            <w:r w:rsidRPr="000D1EAE">
              <w:rPr>
                <w:rFonts w:eastAsia="Times New Roman" w:cs="Arial"/>
                <w:i/>
                <w:iCs/>
                <w:color w:val="000000"/>
                <w:kern w:val="0"/>
                <w:sz w:val="20"/>
                <w:szCs w:val="20"/>
                <w14:ligatures w14:val="none"/>
              </w:rPr>
              <w:t>)</w:t>
            </w:r>
          </w:p>
        </w:tc>
        <w:tc>
          <w:tcPr>
            <w:tcW w:w="1700" w:type="dxa"/>
            <w:tcBorders>
              <w:top w:val="nil"/>
              <w:left w:val="nil"/>
              <w:bottom w:val="nil"/>
              <w:right w:val="nil"/>
            </w:tcBorders>
            <w:vAlign w:val="center"/>
            <w:hideMark/>
          </w:tcPr>
          <w:p w14:paraId="3BBAC0FC" w14:textId="77777777" w:rsidR="000D1EAE" w:rsidRPr="000D1EAE" w:rsidRDefault="000D1EAE" w:rsidP="000D1EAE">
            <w:pPr>
              <w:overflowPunct/>
              <w:autoSpaceDE/>
              <w:autoSpaceDN/>
              <w:adjustRightInd/>
              <w:spacing w:before="0" w:after="0"/>
              <w:ind w:firstLine="0"/>
              <w:textAlignment w:val="auto"/>
              <w:rPr>
                <w:rFonts w:eastAsia="Times New Roman" w:cs="Arial"/>
                <w:i/>
                <w:iCs/>
                <w:color w:val="000000"/>
                <w:kern w:val="0"/>
                <w:sz w:val="20"/>
                <w:szCs w:val="20"/>
                <w14:ligatures w14:val="none"/>
              </w:rPr>
            </w:pPr>
          </w:p>
        </w:tc>
      </w:tr>
      <w:tr w:rsidR="000D1EAE" w:rsidRPr="000D1EAE" w14:paraId="59F85D3F" w14:textId="77777777" w:rsidTr="00837138">
        <w:trPr>
          <w:trHeight w:val="300"/>
        </w:trPr>
        <w:tc>
          <w:tcPr>
            <w:tcW w:w="2040" w:type="dxa"/>
            <w:tcBorders>
              <w:top w:val="nil"/>
              <w:left w:val="nil"/>
              <w:bottom w:val="nil"/>
              <w:right w:val="nil"/>
            </w:tcBorders>
            <w:vAlign w:val="center"/>
            <w:hideMark/>
          </w:tcPr>
          <w:p w14:paraId="05A34B57" w14:textId="77777777" w:rsidR="000D1EAE" w:rsidRPr="000D1EAE" w:rsidRDefault="000D1EAE" w:rsidP="000D1EAE">
            <w:pPr>
              <w:overflowPunct/>
              <w:autoSpaceDE/>
              <w:autoSpaceDN/>
              <w:adjustRightInd/>
              <w:spacing w:before="0" w:after="0"/>
              <w:ind w:hanging="23"/>
              <w:textAlignment w:val="auto"/>
              <w:rPr>
                <w:rFonts w:eastAsia="Times New Roman" w:cs="Arial"/>
                <w:iCs/>
                <w:kern w:val="0"/>
                <w:sz w:val="20"/>
                <w:szCs w:val="20"/>
                <w14:ligatures w14:val="none"/>
              </w:rPr>
            </w:pPr>
          </w:p>
        </w:tc>
        <w:tc>
          <w:tcPr>
            <w:tcW w:w="2400" w:type="dxa"/>
            <w:tcBorders>
              <w:top w:val="nil"/>
              <w:left w:val="nil"/>
              <w:bottom w:val="nil"/>
              <w:right w:val="nil"/>
            </w:tcBorders>
            <w:vAlign w:val="center"/>
            <w:hideMark/>
          </w:tcPr>
          <w:p w14:paraId="648DEC1F" w14:textId="77777777" w:rsidR="000D1EAE" w:rsidRPr="000D1EAE" w:rsidRDefault="000D1EAE" w:rsidP="000D1EAE">
            <w:pPr>
              <w:overflowPunct/>
              <w:autoSpaceDE/>
              <w:autoSpaceDN/>
              <w:adjustRightInd/>
              <w:spacing w:before="0" w:after="0"/>
              <w:ind w:firstLine="6"/>
              <w:textAlignment w:val="auto"/>
              <w:rPr>
                <w:rFonts w:eastAsia="Times New Roman" w:cs="Arial"/>
                <w:iCs/>
                <w:kern w:val="0"/>
                <w:sz w:val="20"/>
                <w:szCs w:val="20"/>
                <w14:ligatures w14:val="none"/>
              </w:rPr>
            </w:pPr>
          </w:p>
        </w:tc>
        <w:tc>
          <w:tcPr>
            <w:tcW w:w="3220" w:type="dxa"/>
            <w:tcBorders>
              <w:top w:val="nil"/>
              <w:left w:val="nil"/>
              <w:bottom w:val="nil"/>
              <w:right w:val="nil"/>
            </w:tcBorders>
            <w:vAlign w:val="center"/>
            <w:hideMark/>
          </w:tcPr>
          <w:p w14:paraId="33A83ED9" w14:textId="77777777" w:rsidR="000D1EAE" w:rsidRPr="000D1EAE" w:rsidRDefault="000D1EAE" w:rsidP="000D1EAE">
            <w:pPr>
              <w:overflowPunct/>
              <w:autoSpaceDE/>
              <w:autoSpaceDN/>
              <w:adjustRightInd/>
              <w:spacing w:before="0" w:after="0"/>
              <w:ind w:firstLine="45"/>
              <w:textAlignment w:val="auto"/>
              <w:rPr>
                <w:rFonts w:eastAsia="Times New Roman" w:cs="Arial"/>
                <w:i/>
                <w:iCs/>
                <w:color w:val="000000" w:themeColor="text1"/>
                <w:sz w:val="20"/>
                <w:szCs w:val="20"/>
              </w:rPr>
            </w:pPr>
            <w:r w:rsidRPr="000D1EAE">
              <w:rPr>
                <w:rFonts w:eastAsia="Times New Roman" w:cs="Arial"/>
                <w:i/>
                <w:iCs/>
                <w:color w:val="000000"/>
                <w:kern w:val="0"/>
                <w:sz w:val="20"/>
                <w:szCs w:val="20"/>
                <w14:ligatures w14:val="none"/>
              </w:rPr>
              <w:t xml:space="preserve">Oligoryzomys flavescens </w:t>
            </w:r>
          </w:p>
          <w:p w14:paraId="587FDFA6" w14:textId="77777777" w:rsidR="000D1EAE" w:rsidRPr="000D1EAE" w:rsidRDefault="000D1EAE" w:rsidP="000D1EAE">
            <w:pPr>
              <w:overflowPunct/>
              <w:autoSpaceDE/>
              <w:autoSpaceDN/>
              <w:adjustRightInd/>
              <w:spacing w:before="0" w:after="0"/>
              <w:ind w:firstLine="45"/>
              <w:textAlignment w:val="auto"/>
              <w:rPr>
                <w:rFonts w:eastAsia="Times New Roman" w:cs="Arial"/>
                <w:i/>
                <w:iCs/>
                <w:color w:val="000000"/>
                <w:kern w:val="0"/>
                <w:sz w:val="20"/>
                <w:szCs w:val="20"/>
                <w14:ligatures w14:val="none"/>
              </w:rPr>
            </w:pPr>
            <w:r w:rsidRPr="000D1EAE">
              <w:rPr>
                <w:rFonts w:eastAsia="Times New Roman" w:cs="Arial"/>
                <w:i/>
                <w:iCs/>
                <w:color w:val="000000"/>
                <w:kern w:val="0"/>
                <w:sz w:val="20"/>
                <w:szCs w:val="20"/>
                <w14:ligatures w14:val="none"/>
              </w:rPr>
              <w:t>(Yellow pygmy rice rat)</w:t>
            </w:r>
          </w:p>
        </w:tc>
        <w:tc>
          <w:tcPr>
            <w:tcW w:w="1700" w:type="dxa"/>
            <w:tcBorders>
              <w:top w:val="nil"/>
              <w:left w:val="nil"/>
              <w:bottom w:val="nil"/>
              <w:right w:val="nil"/>
            </w:tcBorders>
            <w:vAlign w:val="center"/>
            <w:hideMark/>
          </w:tcPr>
          <w:p w14:paraId="3CB3D4D2" w14:textId="77777777" w:rsidR="000D1EAE" w:rsidRPr="000D1EAE" w:rsidRDefault="000D1EAE" w:rsidP="000D1EAE">
            <w:pPr>
              <w:overflowPunct/>
              <w:autoSpaceDE/>
              <w:autoSpaceDN/>
              <w:adjustRightInd/>
              <w:spacing w:before="0" w:after="0"/>
              <w:ind w:firstLine="0"/>
              <w:textAlignment w:val="auto"/>
              <w:rPr>
                <w:rFonts w:eastAsia="Times New Roman" w:cs="Arial"/>
                <w:i/>
                <w:iCs/>
                <w:color w:val="000000"/>
                <w:kern w:val="0"/>
                <w:sz w:val="20"/>
                <w:szCs w:val="20"/>
                <w14:ligatures w14:val="none"/>
              </w:rPr>
            </w:pPr>
          </w:p>
        </w:tc>
      </w:tr>
      <w:tr w:rsidR="000D1EAE" w:rsidRPr="000D1EAE" w14:paraId="123498D0" w14:textId="77777777" w:rsidTr="00837138">
        <w:trPr>
          <w:trHeight w:val="300"/>
        </w:trPr>
        <w:tc>
          <w:tcPr>
            <w:tcW w:w="2040" w:type="dxa"/>
            <w:tcBorders>
              <w:top w:val="nil"/>
              <w:left w:val="nil"/>
              <w:bottom w:val="nil"/>
              <w:right w:val="nil"/>
            </w:tcBorders>
            <w:vAlign w:val="center"/>
            <w:hideMark/>
          </w:tcPr>
          <w:p w14:paraId="281E1560" w14:textId="77777777" w:rsidR="000D1EAE" w:rsidRPr="000D1EAE" w:rsidRDefault="000D1EAE" w:rsidP="000D1EAE">
            <w:pPr>
              <w:overflowPunct/>
              <w:autoSpaceDE/>
              <w:autoSpaceDN/>
              <w:adjustRightInd/>
              <w:spacing w:before="0" w:after="0"/>
              <w:ind w:hanging="23"/>
              <w:textAlignment w:val="auto"/>
              <w:rPr>
                <w:rFonts w:eastAsia="Times New Roman" w:cs="Arial"/>
                <w:b/>
                <w:bCs/>
                <w:iCs/>
                <w:color w:val="000000" w:themeColor="text1"/>
                <w:sz w:val="20"/>
                <w:szCs w:val="20"/>
              </w:rPr>
            </w:pPr>
            <w:r w:rsidRPr="000D1EAE">
              <w:rPr>
                <w:rFonts w:eastAsia="Times New Roman" w:cs="Arial"/>
                <w:b/>
                <w:bCs/>
                <w:iCs/>
                <w:color w:val="000000"/>
                <w:kern w:val="0"/>
                <w:sz w:val="20"/>
                <w:szCs w:val="20"/>
                <w14:ligatures w14:val="none"/>
              </w:rPr>
              <w:t xml:space="preserve">Machupo virus </w:t>
            </w:r>
          </w:p>
          <w:p w14:paraId="2526D566" w14:textId="77777777" w:rsidR="000D1EAE" w:rsidRPr="000D1EAE" w:rsidRDefault="000D1EAE" w:rsidP="000D1EAE">
            <w:pPr>
              <w:overflowPunct/>
              <w:autoSpaceDE/>
              <w:autoSpaceDN/>
              <w:adjustRightInd/>
              <w:spacing w:before="0" w:after="0"/>
              <w:ind w:hanging="23"/>
              <w:textAlignment w:val="auto"/>
              <w:rPr>
                <w:rFonts w:eastAsia="Times New Roman" w:cs="Arial"/>
                <w:b/>
                <w:bCs/>
                <w:iCs/>
                <w:color w:val="000000"/>
                <w:kern w:val="0"/>
                <w:sz w:val="20"/>
                <w:szCs w:val="20"/>
                <w14:ligatures w14:val="none"/>
              </w:rPr>
            </w:pPr>
            <w:r w:rsidRPr="000D1EAE">
              <w:rPr>
                <w:rFonts w:eastAsia="Times New Roman" w:cs="Arial"/>
                <w:b/>
                <w:bCs/>
                <w:iCs/>
                <w:color w:val="000000"/>
                <w:kern w:val="0"/>
                <w:sz w:val="20"/>
                <w:szCs w:val="20"/>
                <w14:ligatures w14:val="none"/>
              </w:rPr>
              <w:t>(MACV)</w:t>
            </w:r>
          </w:p>
        </w:tc>
        <w:tc>
          <w:tcPr>
            <w:tcW w:w="2400" w:type="dxa"/>
            <w:tcBorders>
              <w:top w:val="nil"/>
              <w:left w:val="nil"/>
              <w:bottom w:val="nil"/>
              <w:right w:val="nil"/>
            </w:tcBorders>
            <w:vAlign w:val="center"/>
            <w:hideMark/>
          </w:tcPr>
          <w:p w14:paraId="5DD57582" w14:textId="77777777" w:rsidR="000D1EAE" w:rsidRPr="000D1EAE" w:rsidRDefault="000D1EAE" w:rsidP="000D1EAE">
            <w:pPr>
              <w:overflowPunct/>
              <w:autoSpaceDE/>
              <w:autoSpaceDN/>
              <w:adjustRightInd/>
              <w:spacing w:before="0" w:after="0"/>
              <w:ind w:firstLine="6"/>
              <w:textAlignment w:val="auto"/>
              <w:rPr>
                <w:rFonts w:eastAsia="Times New Roman" w:cs="Arial"/>
                <w:iCs/>
                <w:color w:val="000000"/>
                <w:kern w:val="0"/>
                <w:sz w:val="20"/>
                <w:szCs w:val="20"/>
                <w14:ligatures w14:val="none"/>
              </w:rPr>
            </w:pPr>
            <w:r w:rsidRPr="000D1EAE">
              <w:rPr>
                <w:rFonts w:eastAsia="Times New Roman" w:cs="Arial"/>
                <w:iCs/>
                <w:color w:val="000000"/>
                <w:kern w:val="0"/>
                <w:sz w:val="20"/>
                <w:szCs w:val="20"/>
                <w14:ligatures w14:val="none"/>
              </w:rPr>
              <w:t>Bolivian Hemorrhagic fever</w:t>
            </w:r>
          </w:p>
        </w:tc>
        <w:tc>
          <w:tcPr>
            <w:tcW w:w="3220" w:type="dxa"/>
            <w:tcBorders>
              <w:top w:val="nil"/>
              <w:left w:val="nil"/>
              <w:bottom w:val="nil"/>
              <w:right w:val="nil"/>
            </w:tcBorders>
            <w:vAlign w:val="center"/>
            <w:hideMark/>
          </w:tcPr>
          <w:p w14:paraId="6109D2B1" w14:textId="77777777" w:rsidR="000D1EAE" w:rsidRPr="000D1EAE" w:rsidRDefault="000D1EAE" w:rsidP="000D1EAE">
            <w:pPr>
              <w:overflowPunct/>
              <w:autoSpaceDE/>
              <w:autoSpaceDN/>
              <w:adjustRightInd/>
              <w:spacing w:before="0" w:after="0"/>
              <w:ind w:firstLine="45"/>
              <w:textAlignment w:val="auto"/>
              <w:rPr>
                <w:rFonts w:eastAsia="Times New Roman" w:cs="Arial"/>
                <w:i/>
                <w:iCs/>
                <w:color w:val="000000" w:themeColor="text1"/>
                <w:sz w:val="20"/>
                <w:szCs w:val="20"/>
              </w:rPr>
            </w:pPr>
            <w:r w:rsidRPr="000D1EAE">
              <w:rPr>
                <w:rFonts w:eastAsia="Times New Roman" w:cs="Arial"/>
                <w:i/>
                <w:iCs/>
                <w:color w:val="000000"/>
                <w:kern w:val="0"/>
                <w:sz w:val="20"/>
                <w:szCs w:val="20"/>
                <w14:ligatures w14:val="none"/>
              </w:rPr>
              <w:t>Calomys callosus</w:t>
            </w:r>
          </w:p>
          <w:p w14:paraId="50E4C1AB" w14:textId="77777777" w:rsidR="000D1EAE" w:rsidRPr="000D1EAE" w:rsidRDefault="000D1EAE" w:rsidP="000D1EAE">
            <w:pPr>
              <w:overflowPunct/>
              <w:autoSpaceDE/>
              <w:autoSpaceDN/>
              <w:adjustRightInd/>
              <w:spacing w:before="0" w:after="0"/>
              <w:ind w:firstLine="45"/>
              <w:textAlignment w:val="auto"/>
              <w:rPr>
                <w:rFonts w:eastAsia="Times New Roman" w:cs="Arial"/>
                <w:i/>
                <w:iCs/>
                <w:color w:val="000000"/>
                <w:kern w:val="0"/>
                <w:sz w:val="20"/>
                <w:szCs w:val="20"/>
                <w14:ligatures w14:val="none"/>
              </w:rPr>
            </w:pPr>
            <w:r w:rsidRPr="000D1EAE">
              <w:rPr>
                <w:rFonts w:eastAsia="Times New Roman" w:cs="Arial"/>
                <w:i/>
                <w:iCs/>
                <w:color w:val="000000"/>
                <w:kern w:val="0"/>
                <w:sz w:val="20"/>
                <w:szCs w:val="20"/>
                <w14:ligatures w14:val="none"/>
              </w:rPr>
              <w:t>(Large Vesper mouse)</w:t>
            </w:r>
          </w:p>
        </w:tc>
        <w:tc>
          <w:tcPr>
            <w:tcW w:w="1700" w:type="dxa"/>
            <w:tcBorders>
              <w:top w:val="nil"/>
              <w:left w:val="nil"/>
              <w:bottom w:val="nil"/>
              <w:right w:val="nil"/>
            </w:tcBorders>
            <w:vAlign w:val="center"/>
            <w:hideMark/>
          </w:tcPr>
          <w:p w14:paraId="72E69024" w14:textId="77777777" w:rsidR="000D1EAE" w:rsidRPr="000D1EAE" w:rsidRDefault="000D1EAE" w:rsidP="000D1EAE">
            <w:pPr>
              <w:overflowPunct/>
              <w:autoSpaceDE/>
              <w:autoSpaceDN/>
              <w:adjustRightInd/>
              <w:spacing w:before="0" w:after="0"/>
              <w:ind w:firstLine="0"/>
              <w:textAlignment w:val="auto"/>
              <w:rPr>
                <w:rFonts w:eastAsia="Times New Roman" w:cs="Arial"/>
                <w:iCs/>
                <w:color w:val="000000"/>
                <w:kern w:val="0"/>
                <w:sz w:val="20"/>
                <w:szCs w:val="20"/>
                <w14:ligatures w14:val="none"/>
              </w:rPr>
            </w:pPr>
            <w:r w:rsidRPr="000D1EAE">
              <w:rPr>
                <w:rFonts w:eastAsia="Times New Roman" w:cs="Arial"/>
                <w:iCs/>
                <w:color w:val="000000"/>
                <w:kern w:val="0"/>
                <w:sz w:val="20"/>
                <w:szCs w:val="20"/>
                <w14:ligatures w14:val="none"/>
              </w:rPr>
              <w:t>1960s</w:t>
            </w:r>
          </w:p>
        </w:tc>
      </w:tr>
      <w:tr w:rsidR="000D1EAE" w:rsidRPr="000D1EAE" w14:paraId="16755233" w14:textId="77777777" w:rsidTr="00837138">
        <w:trPr>
          <w:trHeight w:val="300"/>
        </w:trPr>
        <w:tc>
          <w:tcPr>
            <w:tcW w:w="2040" w:type="dxa"/>
            <w:tcBorders>
              <w:top w:val="nil"/>
              <w:left w:val="nil"/>
              <w:bottom w:val="nil"/>
              <w:right w:val="nil"/>
            </w:tcBorders>
            <w:vAlign w:val="center"/>
            <w:hideMark/>
          </w:tcPr>
          <w:p w14:paraId="06D70E0D" w14:textId="77777777" w:rsidR="000D1EAE" w:rsidRPr="000D1EAE" w:rsidRDefault="000D1EAE" w:rsidP="000D1EAE">
            <w:pPr>
              <w:overflowPunct/>
              <w:autoSpaceDE/>
              <w:autoSpaceDN/>
              <w:adjustRightInd/>
              <w:spacing w:before="0" w:after="0"/>
              <w:ind w:hanging="23"/>
              <w:textAlignment w:val="auto"/>
              <w:rPr>
                <w:rFonts w:eastAsia="Times New Roman" w:cs="Arial"/>
                <w:b/>
                <w:bCs/>
                <w:iCs/>
                <w:color w:val="000000" w:themeColor="text1"/>
                <w:sz w:val="20"/>
                <w:szCs w:val="20"/>
              </w:rPr>
            </w:pPr>
            <w:r w:rsidRPr="000D1EAE">
              <w:rPr>
                <w:rFonts w:eastAsia="Times New Roman" w:cs="Arial"/>
                <w:b/>
                <w:bCs/>
                <w:iCs/>
                <w:color w:val="000000"/>
                <w:kern w:val="0"/>
                <w:sz w:val="20"/>
                <w:szCs w:val="20"/>
                <w14:ligatures w14:val="none"/>
              </w:rPr>
              <w:t xml:space="preserve">Guanarito virus </w:t>
            </w:r>
          </w:p>
          <w:p w14:paraId="0342BBD4" w14:textId="77777777" w:rsidR="000D1EAE" w:rsidRPr="000D1EAE" w:rsidRDefault="000D1EAE" w:rsidP="000D1EAE">
            <w:pPr>
              <w:overflowPunct/>
              <w:autoSpaceDE/>
              <w:autoSpaceDN/>
              <w:adjustRightInd/>
              <w:spacing w:before="0" w:after="0"/>
              <w:ind w:hanging="23"/>
              <w:textAlignment w:val="auto"/>
              <w:rPr>
                <w:rFonts w:eastAsia="Times New Roman" w:cs="Arial"/>
                <w:b/>
                <w:bCs/>
                <w:iCs/>
                <w:color w:val="000000"/>
                <w:kern w:val="0"/>
                <w:sz w:val="20"/>
                <w:szCs w:val="20"/>
                <w14:ligatures w14:val="none"/>
              </w:rPr>
            </w:pPr>
            <w:r w:rsidRPr="000D1EAE">
              <w:rPr>
                <w:rFonts w:eastAsia="Times New Roman" w:cs="Arial"/>
                <w:b/>
                <w:bCs/>
                <w:iCs/>
                <w:color w:val="000000"/>
                <w:kern w:val="0"/>
                <w:sz w:val="20"/>
                <w:szCs w:val="20"/>
                <w14:ligatures w14:val="none"/>
              </w:rPr>
              <w:t>(GTOV)</w:t>
            </w:r>
          </w:p>
        </w:tc>
        <w:tc>
          <w:tcPr>
            <w:tcW w:w="2400" w:type="dxa"/>
            <w:tcBorders>
              <w:top w:val="nil"/>
              <w:left w:val="nil"/>
              <w:bottom w:val="nil"/>
              <w:right w:val="nil"/>
            </w:tcBorders>
            <w:vAlign w:val="center"/>
            <w:hideMark/>
          </w:tcPr>
          <w:p w14:paraId="322C62D9" w14:textId="77777777" w:rsidR="000D1EAE" w:rsidRPr="000D1EAE" w:rsidRDefault="000D1EAE" w:rsidP="000D1EAE">
            <w:pPr>
              <w:overflowPunct/>
              <w:autoSpaceDE/>
              <w:autoSpaceDN/>
              <w:adjustRightInd/>
              <w:spacing w:before="0" w:after="0"/>
              <w:ind w:firstLine="6"/>
              <w:textAlignment w:val="auto"/>
              <w:rPr>
                <w:rFonts w:eastAsia="Times New Roman" w:cs="Arial"/>
                <w:iCs/>
                <w:color w:val="000000"/>
                <w:kern w:val="0"/>
                <w:sz w:val="20"/>
                <w:szCs w:val="20"/>
                <w14:ligatures w14:val="none"/>
              </w:rPr>
            </w:pPr>
            <w:r w:rsidRPr="000D1EAE">
              <w:rPr>
                <w:rFonts w:eastAsia="Times New Roman" w:cs="Arial"/>
                <w:iCs/>
                <w:color w:val="000000"/>
                <w:kern w:val="0"/>
                <w:sz w:val="20"/>
                <w:szCs w:val="20"/>
                <w14:ligatures w14:val="none"/>
              </w:rPr>
              <w:t>Venezuelan Hemorrhagic fever</w:t>
            </w:r>
          </w:p>
        </w:tc>
        <w:tc>
          <w:tcPr>
            <w:tcW w:w="3220" w:type="dxa"/>
            <w:tcBorders>
              <w:top w:val="nil"/>
              <w:left w:val="nil"/>
              <w:bottom w:val="nil"/>
              <w:right w:val="nil"/>
            </w:tcBorders>
            <w:vAlign w:val="center"/>
            <w:hideMark/>
          </w:tcPr>
          <w:p w14:paraId="6BD8E677" w14:textId="77777777" w:rsidR="000D1EAE" w:rsidRPr="000D1EAE" w:rsidRDefault="000D1EAE" w:rsidP="000D1EAE">
            <w:pPr>
              <w:overflowPunct/>
              <w:autoSpaceDE/>
              <w:autoSpaceDN/>
              <w:adjustRightInd/>
              <w:spacing w:before="0" w:after="0"/>
              <w:ind w:firstLine="45"/>
              <w:textAlignment w:val="auto"/>
              <w:rPr>
                <w:rFonts w:eastAsia="Times New Roman" w:cs="Arial"/>
                <w:i/>
                <w:iCs/>
                <w:color w:val="000000" w:themeColor="text1"/>
                <w:sz w:val="20"/>
                <w:szCs w:val="20"/>
              </w:rPr>
            </w:pPr>
            <w:r w:rsidRPr="000D1EAE">
              <w:rPr>
                <w:rFonts w:eastAsia="Times New Roman" w:cs="Arial"/>
                <w:i/>
                <w:iCs/>
                <w:color w:val="000000"/>
                <w:kern w:val="0"/>
                <w:sz w:val="20"/>
                <w:szCs w:val="20"/>
                <w14:ligatures w14:val="none"/>
              </w:rPr>
              <w:t>Zygodontomys brevicauda</w:t>
            </w:r>
          </w:p>
          <w:p w14:paraId="7B0E4695" w14:textId="77777777" w:rsidR="000D1EAE" w:rsidRPr="000D1EAE" w:rsidRDefault="000D1EAE" w:rsidP="000D1EAE">
            <w:pPr>
              <w:overflowPunct/>
              <w:autoSpaceDE/>
              <w:autoSpaceDN/>
              <w:adjustRightInd/>
              <w:spacing w:before="0" w:after="0"/>
              <w:ind w:firstLine="45"/>
              <w:textAlignment w:val="auto"/>
              <w:rPr>
                <w:rFonts w:eastAsia="Times New Roman" w:cs="Arial"/>
                <w:i/>
                <w:iCs/>
                <w:color w:val="000000"/>
                <w:kern w:val="0"/>
                <w:sz w:val="20"/>
                <w:szCs w:val="20"/>
                <w14:ligatures w14:val="none"/>
              </w:rPr>
            </w:pPr>
            <w:r w:rsidRPr="000D1EAE">
              <w:rPr>
                <w:rFonts w:eastAsia="Times New Roman" w:cs="Arial"/>
                <w:i/>
                <w:iCs/>
                <w:color w:val="000000"/>
                <w:kern w:val="0"/>
                <w:sz w:val="20"/>
                <w:szCs w:val="20"/>
                <w14:ligatures w14:val="none"/>
              </w:rPr>
              <w:t>(Short-tailed Cane mouse)</w:t>
            </w:r>
          </w:p>
        </w:tc>
        <w:tc>
          <w:tcPr>
            <w:tcW w:w="1700" w:type="dxa"/>
            <w:tcBorders>
              <w:top w:val="nil"/>
              <w:left w:val="nil"/>
              <w:bottom w:val="nil"/>
              <w:right w:val="nil"/>
            </w:tcBorders>
            <w:vAlign w:val="center"/>
            <w:hideMark/>
          </w:tcPr>
          <w:p w14:paraId="6DB6BCC9" w14:textId="77777777" w:rsidR="000D1EAE" w:rsidRPr="000D1EAE" w:rsidRDefault="000D1EAE" w:rsidP="000D1EAE">
            <w:pPr>
              <w:overflowPunct/>
              <w:autoSpaceDE/>
              <w:autoSpaceDN/>
              <w:adjustRightInd/>
              <w:spacing w:before="0" w:after="0"/>
              <w:ind w:firstLine="0"/>
              <w:textAlignment w:val="auto"/>
              <w:rPr>
                <w:rFonts w:eastAsia="Times New Roman" w:cs="Arial"/>
                <w:iCs/>
                <w:color w:val="000000"/>
                <w:kern w:val="0"/>
                <w:sz w:val="20"/>
                <w:szCs w:val="20"/>
                <w14:ligatures w14:val="none"/>
              </w:rPr>
            </w:pPr>
            <w:r w:rsidRPr="000D1EAE">
              <w:rPr>
                <w:rFonts w:eastAsia="Times New Roman" w:cs="Arial"/>
                <w:iCs/>
                <w:color w:val="000000"/>
                <w:kern w:val="0"/>
                <w:sz w:val="20"/>
                <w:szCs w:val="20"/>
                <w14:ligatures w14:val="none"/>
              </w:rPr>
              <w:t>1989-2010</w:t>
            </w:r>
          </w:p>
        </w:tc>
      </w:tr>
      <w:tr w:rsidR="000D1EAE" w:rsidRPr="000D1EAE" w14:paraId="18596035" w14:textId="77777777" w:rsidTr="00837138">
        <w:trPr>
          <w:trHeight w:val="300"/>
        </w:trPr>
        <w:tc>
          <w:tcPr>
            <w:tcW w:w="2040" w:type="dxa"/>
            <w:tcBorders>
              <w:top w:val="nil"/>
              <w:left w:val="nil"/>
              <w:bottom w:val="single" w:sz="4" w:space="0" w:color="auto"/>
              <w:right w:val="nil"/>
            </w:tcBorders>
            <w:vAlign w:val="center"/>
            <w:hideMark/>
          </w:tcPr>
          <w:p w14:paraId="2DDF26A6" w14:textId="77777777" w:rsidR="000D1EAE" w:rsidRPr="000D1EAE" w:rsidRDefault="000D1EAE" w:rsidP="000D1EAE">
            <w:pPr>
              <w:overflowPunct/>
              <w:autoSpaceDE/>
              <w:autoSpaceDN/>
              <w:adjustRightInd/>
              <w:spacing w:before="0" w:after="0"/>
              <w:ind w:hanging="23"/>
              <w:textAlignment w:val="auto"/>
              <w:rPr>
                <w:rFonts w:eastAsia="Times New Roman" w:cs="Arial"/>
                <w:i/>
                <w:iCs/>
                <w:color w:val="000000"/>
                <w:kern w:val="0"/>
                <w:sz w:val="20"/>
                <w:szCs w:val="20"/>
                <w14:ligatures w14:val="none"/>
              </w:rPr>
            </w:pPr>
            <w:r w:rsidRPr="000D1EAE">
              <w:rPr>
                <w:rFonts w:eastAsia="Times New Roman" w:cs="Arial"/>
                <w:i/>
                <w:iCs/>
                <w:color w:val="000000"/>
                <w:kern w:val="0"/>
                <w:sz w:val="20"/>
                <w:szCs w:val="20"/>
                <w14:ligatures w14:val="none"/>
              </w:rPr>
              <w:t> </w:t>
            </w:r>
          </w:p>
        </w:tc>
        <w:tc>
          <w:tcPr>
            <w:tcW w:w="2400" w:type="dxa"/>
            <w:tcBorders>
              <w:top w:val="nil"/>
              <w:left w:val="nil"/>
              <w:bottom w:val="single" w:sz="4" w:space="0" w:color="auto"/>
              <w:right w:val="nil"/>
            </w:tcBorders>
            <w:vAlign w:val="center"/>
            <w:hideMark/>
          </w:tcPr>
          <w:p w14:paraId="64DA8A04" w14:textId="77777777" w:rsidR="000D1EAE" w:rsidRPr="000D1EAE" w:rsidRDefault="000D1EAE" w:rsidP="000D1EAE">
            <w:pPr>
              <w:overflowPunct/>
              <w:autoSpaceDE/>
              <w:autoSpaceDN/>
              <w:adjustRightInd/>
              <w:spacing w:before="0" w:after="0"/>
              <w:ind w:firstLine="6"/>
              <w:textAlignment w:val="auto"/>
              <w:rPr>
                <w:rFonts w:eastAsia="Times New Roman" w:cs="Arial"/>
                <w:i/>
                <w:iCs/>
                <w:color w:val="000000"/>
                <w:kern w:val="0"/>
                <w:sz w:val="20"/>
                <w:szCs w:val="20"/>
                <w14:ligatures w14:val="none"/>
              </w:rPr>
            </w:pPr>
            <w:r w:rsidRPr="000D1EAE">
              <w:rPr>
                <w:rFonts w:eastAsia="Times New Roman" w:cs="Arial"/>
                <w:i/>
                <w:iCs/>
                <w:color w:val="000000"/>
                <w:kern w:val="0"/>
                <w:sz w:val="20"/>
                <w:szCs w:val="20"/>
                <w14:ligatures w14:val="none"/>
              </w:rPr>
              <w:t> </w:t>
            </w:r>
          </w:p>
        </w:tc>
        <w:tc>
          <w:tcPr>
            <w:tcW w:w="3220" w:type="dxa"/>
            <w:tcBorders>
              <w:top w:val="nil"/>
              <w:left w:val="nil"/>
              <w:bottom w:val="single" w:sz="4" w:space="0" w:color="auto"/>
              <w:right w:val="nil"/>
            </w:tcBorders>
            <w:vAlign w:val="center"/>
            <w:hideMark/>
          </w:tcPr>
          <w:p w14:paraId="2EEDA1E2" w14:textId="77777777" w:rsidR="000D1EAE" w:rsidRPr="000D1EAE" w:rsidRDefault="000D1EAE" w:rsidP="000D1EAE">
            <w:pPr>
              <w:overflowPunct/>
              <w:autoSpaceDE/>
              <w:autoSpaceDN/>
              <w:adjustRightInd/>
              <w:spacing w:before="0" w:after="0"/>
              <w:ind w:firstLine="45"/>
              <w:textAlignment w:val="auto"/>
              <w:rPr>
                <w:rFonts w:eastAsia="Times New Roman" w:cs="Arial"/>
                <w:i/>
                <w:iCs/>
                <w:color w:val="000000" w:themeColor="text1"/>
                <w:sz w:val="20"/>
                <w:szCs w:val="20"/>
              </w:rPr>
            </w:pPr>
            <w:r w:rsidRPr="000D1EAE">
              <w:rPr>
                <w:rFonts w:eastAsia="Times New Roman" w:cs="Arial"/>
                <w:i/>
                <w:iCs/>
                <w:color w:val="000000"/>
                <w:kern w:val="0"/>
                <w:sz w:val="20"/>
                <w:szCs w:val="20"/>
                <w14:ligatures w14:val="none"/>
              </w:rPr>
              <w:t xml:space="preserve">Sigmodon alstoni </w:t>
            </w:r>
          </w:p>
          <w:p w14:paraId="6D681A30" w14:textId="77777777" w:rsidR="000D1EAE" w:rsidRPr="000D1EAE" w:rsidRDefault="000D1EAE" w:rsidP="000D1EAE">
            <w:pPr>
              <w:overflowPunct/>
              <w:autoSpaceDE/>
              <w:autoSpaceDN/>
              <w:adjustRightInd/>
              <w:spacing w:before="0" w:after="0"/>
              <w:ind w:firstLine="45"/>
              <w:textAlignment w:val="auto"/>
              <w:rPr>
                <w:rFonts w:eastAsia="Times New Roman" w:cs="Arial"/>
                <w:i/>
                <w:iCs/>
                <w:color w:val="000000"/>
                <w:kern w:val="0"/>
                <w:sz w:val="20"/>
                <w:szCs w:val="20"/>
                <w14:ligatures w14:val="none"/>
              </w:rPr>
            </w:pPr>
            <w:r w:rsidRPr="000D1EAE">
              <w:rPr>
                <w:rFonts w:eastAsia="Times New Roman" w:cs="Arial"/>
                <w:i/>
                <w:iCs/>
                <w:color w:val="000000"/>
                <w:kern w:val="0"/>
                <w:sz w:val="20"/>
                <w:szCs w:val="20"/>
                <w14:ligatures w14:val="none"/>
              </w:rPr>
              <w:t>(Alston's Cotton rat)</w:t>
            </w:r>
          </w:p>
        </w:tc>
        <w:tc>
          <w:tcPr>
            <w:tcW w:w="1700" w:type="dxa"/>
            <w:tcBorders>
              <w:top w:val="nil"/>
              <w:left w:val="nil"/>
              <w:bottom w:val="single" w:sz="4" w:space="0" w:color="auto"/>
              <w:right w:val="nil"/>
            </w:tcBorders>
            <w:vAlign w:val="center"/>
            <w:hideMark/>
          </w:tcPr>
          <w:p w14:paraId="4DC1A164" w14:textId="77777777" w:rsidR="000D1EAE" w:rsidRPr="000D1EAE" w:rsidRDefault="000D1EAE" w:rsidP="000D1EAE">
            <w:pPr>
              <w:overflowPunct/>
              <w:autoSpaceDE/>
              <w:autoSpaceDN/>
              <w:adjustRightInd/>
              <w:spacing w:before="0" w:after="0"/>
              <w:ind w:firstLine="0"/>
              <w:textAlignment w:val="auto"/>
              <w:rPr>
                <w:rFonts w:eastAsia="Times New Roman" w:cs="Arial"/>
                <w:iCs/>
                <w:color w:val="000000"/>
                <w:kern w:val="0"/>
                <w:sz w:val="20"/>
                <w:szCs w:val="20"/>
                <w14:ligatures w14:val="none"/>
              </w:rPr>
            </w:pPr>
            <w:r w:rsidRPr="000D1EAE">
              <w:rPr>
                <w:rFonts w:eastAsia="Times New Roman" w:cs="Arial"/>
                <w:iCs/>
                <w:color w:val="000000"/>
                <w:kern w:val="0"/>
                <w:sz w:val="20"/>
                <w:szCs w:val="20"/>
                <w14:ligatures w14:val="none"/>
              </w:rPr>
              <w:t> </w:t>
            </w:r>
          </w:p>
        </w:tc>
      </w:tr>
    </w:tbl>
    <w:p w14:paraId="37CC93CB" w14:textId="77777777" w:rsidR="000D1EAE" w:rsidRPr="000D1EAE" w:rsidRDefault="000D1EAE" w:rsidP="000D1EAE">
      <w:pPr>
        <w:keepNext/>
        <w:keepLines/>
        <w:spacing w:before="0" w:after="0"/>
        <w:ind w:firstLine="0"/>
        <w:outlineLvl w:val="1"/>
        <w:rPr>
          <w:rFonts w:eastAsiaTheme="majorEastAsia" w:cstheme="majorBidi"/>
          <w:b/>
          <w:szCs w:val="26"/>
        </w:rPr>
      </w:pPr>
    </w:p>
    <w:p w14:paraId="3E4E919D" w14:textId="77777777" w:rsidR="000D1EAE" w:rsidRPr="000D1EAE" w:rsidRDefault="000D1EAE" w:rsidP="000D1EAE">
      <w:pPr>
        <w:pStyle w:val="Heading2"/>
      </w:pPr>
      <w:r w:rsidRPr="000D1EAE">
        <w:t>Species Distribution Model (SDM)</w:t>
      </w:r>
    </w:p>
    <w:p w14:paraId="6734F6B8" w14:textId="727463E1" w:rsidR="000D1EAE" w:rsidRPr="000D1EAE" w:rsidRDefault="000D1EAE" w:rsidP="000D1EAE">
      <w:pPr>
        <w:spacing w:after="0" w:line="259" w:lineRule="auto"/>
        <w:rPr>
          <w:iCs/>
        </w:rPr>
      </w:pPr>
      <w:r w:rsidRPr="000D1EAE">
        <w:rPr>
          <w:iCs/>
        </w:rPr>
        <w:t xml:space="preserve">Modeling frameworks such as Species Distribution Models (SDMs), which can incorporate bioclimatic and environmental factors to estimate the habitats of the rodent reservoirs could be effectively employed in predicting transmission risk for associated diseases </w:t>
      </w:r>
      <w:r w:rsidRPr="000D1EAE">
        <w:rPr>
          <w:iCs/>
        </w:rPr>
        <w:fldChar w:fldCharType="begin"/>
      </w:r>
      <w:r>
        <w:rPr>
          <w:iCs/>
        </w:rPr>
        <w:instrText xml:space="preserve"> ADDIN ZOTERO_ITEM CSL_CITATION {"citationID":"mnGiYIjv","properties":{"formattedCitation":"\\super 9\\nosupersub{}","plainCitation":"9","noteIndex":0},"citationItems":[{"id":705,"uris":["http://zotero.org/groups/5467322/items/UN7XHWW8"],"itemData":{"id":705,"type":"article-journal","abstract":"Species distribution models (SDMs) are numerical tools that combine observations of species occurrence or abundance with environmental estimates. They are used to gain ecological and evolutionary insights and to predict distributions across landscapes, sometimes requiring extrapolation in space and time. SDMs are now widely used across terrestrial, freshwater, and marine realms. Differences in methods between disciplines reflect both differences in species mobility and in “established use.” Model realism and robustness is influenced by selection of relevant predictors and modeling method, consideration of scale, how the interplay between environmental and geographic factors is handled, and the extent of extrapolation. Current linkages between SDM practice and ecological theory are often weak, hindering progress. Remaining challenges include: improvement of methods for modeling presence-only data and for model selection and evaluation; accounting for biotic interactions; and assessing model uncertainty.","container-title":"Annual Review of Ecology, Evolution, and Systematics","DOI":"10.1146/annurev.ecolsys.110308.120159","ISSN":"1543-592X, 1545-2069","issue":"Volume 40, 2009","language":"en","note":"publisher: Annual Reviews","page":"677-697","source":"www.annualreviews.org","title":"Species Distribution Models: Ecological Explanation and Prediction Across Space and Time","title-short":"Species Distribution Models","volume":"40","author":[{"family":"Elith","given":"Jane"},{"family":"Leathwick","given":"John R."}],"issued":{"date-parts":[["2009",12,1]]}}}],"schema":"https://github.com/citation-style-language/schema/raw/master/csl-citation.json"} </w:instrText>
      </w:r>
      <w:r w:rsidRPr="000D1EAE">
        <w:rPr>
          <w:iCs/>
        </w:rPr>
        <w:fldChar w:fldCharType="separate"/>
      </w:r>
      <w:r w:rsidRPr="000D1EAE">
        <w:rPr>
          <w:rFonts w:cs="Arial"/>
          <w:kern w:val="0"/>
          <w:vertAlign w:val="superscript"/>
        </w:rPr>
        <w:t>9</w:t>
      </w:r>
      <w:r w:rsidRPr="000D1EAE">
        <w:rPr>
          <w:iCs/>
        </w:rPr>
        <w:fldChar w:fldCharType="end"/>
      </w:r>
      <w:r w:rsidRPr="000D1EAE">
        <w:rPr>
          <w:iCs/>
        </w:rPr>
        <w:t>. Since the modeled association between climate change</w:t>
      </w:r>
      <w:r w:rsidRPr="000D1EAE" w:rsidDel="0C7F1F80">
        <w:rPr>
          <w:iCs/>
        </w:rPr>
        <w:t xml:space="preserve"> </w:t>
      </w:r>
      <w:r w:rsidRPr="000D1EAE">
        <w:rPr>
          <w:iCs/>
        </w:rPr>
        <w:t xml:space="preserve">and species distribution were not expected to be monotonic </w:t>
      </w:r>
      <w:r w:rsidRPr="000D1EAE">
        <w:rPr>
          <w:iCs/>
        </w:rPr>
        <w:fldChar w:fldCharType="begin"/>
      </w:r>
      <w:r>
        <w:rPr>
          <w:iCs/>
        </w:rPr>
        <w:instrText xml:space="preserve"> ADDIN ZOTERO_ITEM CSL_CITATION {"citationID":"WPtwRns1","properties":{"formattedCitation":"\\super 10\\nosupersub{}","plainCitation":"10","noteIndex":0},"citationItems":[{"id":794,"uris":["http://zotero.org/groups/5467322/items/FIZDDTRQ"],"itemData":{"id":794,"type":"article-journal","abstract":"Uneven patterns in the rate of climate change have profound implications for adaptation. Assuming a linear or monotonic increase in global or regional temperatures can lead to inefficient planning processes that underestimate the magnitude, pattern, and timing of the risks faced by human and natural systems, which could exaggerate future impacts and the costs of managing them. Adaptation planning needs to move beyond imposing linear thinking and analysis onto nonlinear systems. Doing so would improve research into adaptive management processes that learn from and adapt to new knowledge at a pace that reflects non-linearity. Specifically, the pace of adaptation must consider the potential consequences of uneven increases in weather and climate variables as a means to reduce system vulnerability. Projections simulating periods of relative stability with those of rapid change would lead to more complex and more accurate expectations of future risks and associated consequences for human and natural systems. Adaptation planning based on such projections could then consider the implications of non-linear climate change on the extent of any adaptation effort, including quantified (or qualitative) risks and associated costs and benefits. Adaptation planning could be improved by projections that incorporate more nuanced understandings of how development processes could interact with climate change to alter future risks and vulnerabilities. Two examples are highlighted to illustrate the complexity and dynamic nature of non-monotonic climate-development-response scenarios: vector borne diseases and agricultural productivity.","container-title":"Climatic Change","DOI":"10.1007/s10584-016-1816-9","ISSN":"1573-1480","issue":"3","journalAbbreviation":"Climatic Change","language":"en","page":"341-349","source":"Springer Link","title":"The shape of impacts to come: lessons and opportunities for adaptation from uneven increases in global and regional temperatures","title-short":"The shape of impacts to come","volume":"139","author":[{"family":"Ebi","given":"Kristie L."},{"family":"Ziska","given":"Lewis H."},{"family":"Yohe","given":"Gary W."}],"issued":{"date-parts":[["2016",12,1]]}}}],"schema":"https://github.com/citation-style-language/schema/raw/master/csl-citation.json"} </w:instrText>
      </w:r>
      <w:r w:rsidRPr="000D1EAE">
        <w:rPr>
          <w:iCs/>
        </w:rPr>
        <w:fldChar w:fldCharType="separate"/>
      </w:r>
      <w:r w:rsidRPr="000D1EAE">
        <w:rPr>
          <w:rFonts w:cs="Arial"/>
          <w:kern w:val="0"/>
          <w:vertAlign w:val="superscript"/>
        </w:rPr>
        <w:t>10</w:t>
      </w:r>
      <w:r w:rsidRPr="000D1EAE">
        <w:rPr>
          <w:iCs/>
        </w:rPr>
        <w:fldChar w:fldCharType="end"/>
      </w:r>
      <w:r w:rsidRPr="000D1EAE">
        <w:rPr>
          <w:iCs/>
        </w:rPr>
        <w:t xml:space="preserve"> but rather complex and subtle, modifying the SDM framework to employ ensemble tree-based techniques such as random forest (rf), extra trees (et), extreme gradient boost (</w:t>
      </w:r>
      <w:proofErr w:type="spellStart"/>
      <w:r w:rsidRPr="000D1EAE">
        <w:rPr>
          <w:iCs/>
        </w:rPr>
        <w:t>xgb</w:t>
      </w:r>
      <w:proofErr w:type="spellEnd"/>
      <w:r w:rsidRPr="000D1EAE">
        <w:rPr>
          <w:iCs/>
        </w:rPr>
        <w:t>) and light gradient boosting machine (</w:t>
      </w:r>
      <w:proofErr w:type="spellStart"/>
      <w:r w:rsidRPr="000D1EAE">
        <w:rPr>
          <w:iCs/>
        </w:rPr>
        <w:t>lgbm</w:t>
      </w:r>
      <w:proofErr w:type="spellEnd"/>
      <w:r w:rsidRPr="000D1EAE">
        <w:rPr>
          <w:iCs/>
        </w:rPr>
        <w:t xml:space="preserve">) is warranted </w:t>
      </w:r>
      <w:r w:rsidRPr="000D1EAE">
        <w:rPr>
          <w:iCs/>
        </w:rPr>
        <w:fldChar w:fldCharType="begin"/>
      </w:r>
      <w:r>
        <w:rPr>
          <w:iCs/>
        </w:rPr>
        <w:instrText xml:space="preserve"> ADDIN ZOTERO_ITEM CSL_CITATION {"citationID":"p4QKyMAK","properties":{"formattedCitation":"\\super 11\\nosupersub{}","plainCitation":"11","noteIndex":0},"citationItems":[{"id":707,"uris":["http://zotero.org/groups/5467322/items/V9IERQIE"],"itemData":{"id":707,"type":"webpage","title":"Predictive performance of presence</w:instrText>
      </w:r>
      <w:r>
        <w:rPr>
          <w:rFonts w:ascii="Cambria Math" w:hAnsi="Cambria Math" w:cs="Cambria Math"/>
          <w:iCs/>
        </w:rPr>
        <w:instrText>‐</w:instrText>
      </w:r>
      <w:r>
        <w:rPr>
          <w:iCs/>
        </w:rPr>
        <w:instrText xml:space="preserve">only species distribution models: a benchmark study with reproducible code - Valavi - 2022 - Ecological Monographs - Wiley Online Library","URL":"https://esajournals.onlinelibrary.wiley.com/doi/full/10.1002/ecm.1486","accessed":{"date-parts":[["2024",11,24]]}}}],"schema":"https://github.com/citation-style-language/schema/raw/master/csl-citation.json"} </w:instrText>
      </w:r>
      <w:r w:rsidRPr="000D1EAE">
        <w:rPr>
          <w:iCs/>
        </w:rPr>
        <w:fldChar w:fldCharType="separate"/>
      </w:r>
      <w:r w:rsidRPr="000D1EAE">
        <w:rPr>
          <w:rFonts w:cs="Arial"/>
          <w:kern w:val="0"/>
          <w:vertAlign w:val="superscript"/>
        </w:rPr>
        <w:t>11</w:t>
      </w:r>
      <w:r w:rsidRPr="000D1EAE">
        <w:rPr>
          <w:iCs/>
        </w:rPr>
        <w:fldChar w:fldCharType="end"/>
      </w:r>
      <w:r w:rsidRPr="000D1EAE">
        <w:rPr>
          <w:iCs/>
        </w:rPr>
        <w:t xml:space="preserve">. We followed a similar protocol to the one we used previously for modeling the species distribution of </w:t>
      </w:r>
      <w:r w:rsidRPr="000D1EAE">
        <w:rPr>
          <w:i/>
          <w:iCs/>
        </w:rPr>
        <w:t>Calomys musculinus</w:t>
      </w:r>
      <w:r w:rsidRPr="000D1EAE">
        <w:rPr>
          <w:iCs/>
        </w:rPr>
        <w:t xml:space="preserve"> in Argentina </w:t>
      </w:r>
      <w:r w:rsidRPr="000D1EAE">
        <w:rPr>
          <w:iCs/>
        </w:rPr>
        <w:fldChar w:fldCharType="begin"/>
      </w:r>
      <w:r>
        <w:rPr>
          <w:iCs/>
        </w:rPr>
        <w:instrText xml:space="preserve"> ADDIN ZOTERO_ITEM CSL_CITATION {"citationID":"a2e4dsltq2b","properties":{"formattedCitation":"\\super 12\\nosupersub{}","plainCitation":"12","noteIndex":0},"citationItems":[{"id":1054,"uris":["http://zotero.org/groups/5467322/items/XN6I465X"],"itemData":{"id":1054,"type":"article-journal","abstract":"Abstract\n            \n              The drylands vesper mouse (\n              Calomys musculinus)\n              is the primary host for\n              Junin mammarenavirus\n              (JUNV), the etiological agent of Argentine hemorrhagic fever in humans. We assessed the potential distribution of\n              C. musculinus\n              and identified disease transmission hotspots under current climatic conditions and projected future scenarios, including severe (Representative Concentration Pathway 8.5) and intermediate (Representative Concentration Pathway 4.5) climate change scenarios in 2050 and 2070. Utilizing tree-based machine learning algorithms, we modeled\n              C. musculinus\n              distribution by incorporating bioclimatic and landscape predictors. The model showed strong performance, achieving\n              F\n              -scores between 80.22 and 83.09%. Key predictors indicated that\n              C. musculinus\n              prefers warm temperatures, moderate annual precipitation, low precipitation variability, and low pasture coverage. Under the severe climate change scenario, suitable areas for the rodent and hotspots for potential disease decreased. The intermediate scenario showed an expansion in\n              C. musculinus\n              distribution alongside increased potential hotspot zones. Despite the complexity of ecological systems and the limitations of the model, our findings offer a framework for preventive measures and ecological studies in regions prone to the expansion of\n              C. musculinus\n              and in hotspots for disease transmission driven by climate change.","container-title":"EcoHealth","DOI":"10.1007/s10393-025-01723-z","ISSN":"1612-9210","journalAbbreviation":"EcoHealth","language":"en","source":"DOI.org (Crossref)","title":"Climate Change Impact on Human-Rodent Interfaces: Modeling Junin Virus Reservoir Shifts","title-short":"Climate Change Impact on Human-Rodent Interfaces","URL":"https://link.springer.com/10.1007/s10393-025-01723-z","author":[{"family":"Flores-Pérez","given":"Nuri"},{"family":"Kulkarni","given":"Pranav"},{"family":"Uhart","given":"Marcela"},{"family":"Pandit","given":"Pranav S."}],"accessed":{"date-parts":[["2025",7,1]]},"issued":{"date-parts":[["2025",6,27]]}}}],"schema":"https://github.com/citation-style-language/schema/raw/master/csl-citation.json"} </w:instrText>
      </w:r>
      <w:r w:rsidRPr="000D1EAE">
        <w:rPr>
          <w:iCs/>
        </w:rPr>
        <w:fldChar w:fldCharType="separate"/>
      </w:r>
      <w:r w:rsidRPr="000D1EAE">
        <w:rPr>
          <w:rFonts w:cs="Arial"/>
          <w:kern w:val="0"/>
          <w:vertAlign w:val="superscript"/>
        </w:rPr>
        <w:t>12</w:t>
      </w:r>
      <w:r w:rsidRPr="000D1EAE">
        <w:rPr>
          <w:iCs/>
        </w:rPr>
        <w:fldChar w:fldCharType="end"/>
      </w:r>
      <w:r w:rsidRPr="000D1EAE">
        <w:rPr>
          <w:iCs/>
        </w:rPr>
        <w:t xml:space="preserve">. The protocol was adapted to each of the rodent species selected for this study (Table 1). Here is a summary of the SDM protocol (Figure 6) used to model the rodent reservoirs of NWA following the guidelines established for reporting Ecological Niche Models (ENMs) or SDMs to maximize reproducibility as closely as possible pertaining to our study </w:t>
      </w:r>
      <w:r w:rsidRPr="000D1EAE">
        <w:rPr>
          <w:iCs/>
        </w:rPr>
        <w:fldChar w:fldCharType="begin"/>
      </w:r>
      <w:r>
        <w:rPr>
          <w:iCs/>
        </w:rPr>
        <w:instrText xml:space="preserve"> ADDIN ZOTERO_ITEM CSL_CITATION {"citationID":"YnYsK0Uy","properties":{"formattedCitation":"\\super 13\\nosupersub{}","plainCitation":"13","noteIndex":0},"citationItems":[{"id":921,"uris":["http://zotero.org/groups/5467322/items/VRDF97TF"],"itemData":{"id":921,"type":"article-journal","abstract":"Reporting specific modelling methods and metadata is essential to the reproducibility of ecological studies, yet guidelines rarely exist regarding what information should be noted. Here, we address this issue for ecological niche modelling or species distribution modelling, a rapidly developing toolset in ecology used across many aspects of biodiversity science. Our quantitative review of the recent literature reveals a general lack of sufficient information to fully reproduce the work. Over two-thirds of the examined studies neglected to report the version or access date of the underlying data, and only half reported model parameters. To address this problem, we propose adopting a checklist to guide studies in reporting at least the minimum information necessary for ecological niche modelling reproducibility, offering a straightforward way to balance efficiency and accuracy. We encourage the ecological niche modelling community, as well as journal reviewers and editors, to utilize and further develop this framework to facilitate and improve the reproducibility of future work. The proposed checklist framework is generalizable to other areas of ecology, especially those utilizing biodiversity data, environmental data and statistical modelling, and could also be adopted by a broader array of disciplines.","container-title":"Nature Ecology &amp; Evolution","DOI":"10.1038/s41559-019-0972-5","ISSN":"2397-334X","issue":"10","journalAbbreviation":"Nat Ecol Evol","language":"en","license":"2019 The Author(s)","note":"publisher: Nature Publishing Group","page":"1382-1395","source":"www.nature.com","title":"A checklist for maximizing reproducibility of ecological niche models","volume":"3","author":[{"family":"Feng","given":"Xiao"},{"family":"Park","given":"Daniel S."},{"family":"Walker","given":"Cassondra"},{"family":"Peterson","given":"A. Townsend"},{"family":"Merow","given":"Cory"},{"family":"Papeş","given":"Monica"}],"issued":{"date-parts":[["2019",10]]}}}],"schema":"https://github.com/citation-style-language/schema/raw/master/csl-citation.json"} </w:instrText>
      </w:r>
      <w:r w:rsidRPr="000D1EAE">
        <w:rPr>
          <w:iCs/>
        </w:rPr>
        <w:fldChar w:fldCharType="separate"/>
      </w:r>
      <w:r w:rsidRPr="000D1EAE">
        <w:rPr>
          <w:rFonts w:cs="Arial"/>
          <w:kern w:val="0"/>
          <w:vertAlign w:val="superscript"/>
        </w:rPr>
        <w:t>13</w:t>
      </w:r>
      <w:r w:rsidRPr="000D1EAE">
        <w:rPr>
          <w:iCs/>
        </w:rPr>
        <w:fldChar w:fldCharType="end"/>
      </w:r>
      <w:r w:rsidRPr="000D1EAE">
        <w:rPr>
          <w:iCs/>
        </w:rPr>
        <w:t>.</w:t>
      </w:r>
    </w:p>
    <w:p w14:paraId="75E9E401" w14:textId="77777777" w:rsidR="000D1EAE" w:rsidRPr="000D1EAE" w:rsidRDefault="000D1EAE" w:rsidP="000D1EAE">
      <w:pPr>
        <w:pStyle w:val="Heading3"/>
      </w:pPr>
      <w:r w:rsidRPr="000D1EAE">
        <w:t>Data</w:t>
      </w:r>
    </w:p>
    <w:p w14:paraId="28DD0189" w14:textId="146EE70D" w:rsidR="000D1EAE" w:rsidRPr="000D1EAE" w:rsidRDefault="000D1EAE" w:rsidP="000D1EAE">
      <w:pPr>
        <w:spacing w:after="0"/>
        <w:rPr>
          <w:iCs/>
        </w:rPr>
      </w:pPr>
      <w:r w:rsidRPr="000D1EAE">
        <w:rPr>
          <w:iCs/>
        </w:rPr>
        <w:t xml:space="preserve">Occurrence data on all six rodent species were sourced from Global Biodiversity Information Facility (GBIF) database (presence-only) </w:t>
      </w:r>
      <w:r w:rsidRPr="000D1EAE">
        <w:rPr>
          <w:iCs/>
        </w:rPr>
        <w:fldChar w:fldCharType="begin"/>
      </w:r>
      <w:r>
        <w:rPr>
          <w:iCs/>
        </w:rPr>
        <w:instrText xml:space="preserve"> ADDIN ZOTERO_ITEM CSL_CITATION {"citationID":"YhEa612s","properties":{"formattedCitation":"\\super 14\\nosupersub{}","plainCitation":"14","noteIndex":0},"citationItems":[{"id":711,"uris":["http://zotero.org/groups/5467322/items/B65CWCAK"],"itemData":{"id":711,"type":"webpage","abstract":"Global Biodiversity Information Facility. Free and Open Access to Biodiversity Data.","language":"en","title":"What is GBIF?","URL":"https://www.gbif.org/what-is-gbif","author":[{"literal":"GBIF"}],"accessed":{"date-parts":[["2024",11,24]]}}}],"schema":"https://github.com/citation-style-language/schema/raw/master/csl-citation.json"} </w:instrText>
      </w:r>
      <w:r w:rsidRPr="000D1EAE">
        <w:rPr>
          <w:iCs/>
        </w:rPr>
        <w:fldChar w:fldCharType="separate"/>
      </w:r>
      <w:r w:rsidRPr="000D1EAE">
        <w:rPr>
          <w:rFonts w:cs="Arial"/>
          <w:kern w:val="0"/>
          <w:vertAlign w:val="superscript"/>
        </w:rPr>
        <w:t>14</w:t>
      </w:r>
      <w:r w:rsidRPr="000D1EAE">
        <w:rPr>
          <w:iCs/>
        </w:rPr>
        <w:fldChar w:fldCharType="end"/>
      </w:r>
      <w:r w:rsidRPr="000D1EAE">
        <w:rPr>
          <w:iCs/>
        </w:rPr>
        <w:t xml:space="preserve"> using R-package </w:t>
      </w:r>
      <w:proofErr w:type="spellStart"/>
      <w:r w:rsidRPr="000D1EAE">
        <w:rPr>
          <w:iCs/>
        </w:rPr>
        <w:t>dismo</w:t>
      </w:r>
      <w:proofErr w:type="spellEnd"/>
      <w:r w:rsidRPr="000D1EAE">
        <w:rPr>
          <w:iCs/>
        </w:rPr>
        <w:t xml:space="preserve"> </w:t>
      </w:r>
      <w:r w:rsidRPr="000D1EAE">
        <w:rPr>
          <w:iCs/>
        </w:rPr>
        <w:fldChar w:fldCharType="begin"/>
      </w:r>
      <w:r>
        <w:rPr>
          <w:iCs/>
        </w:rPr>
        <w:instrText xml:space="preserve"> ADDIN ZOTERO_ITEM CSL_CITATION {"citationID":"h4pRYgwq","properties":{"formattedCitation":"\\super 15\\nosupersub{}","plainCitation":"15","noteIndex":0},"citationItems":[{"id":926,"uris":["http://zotero.org/groups/5467322/items/LTAEABIC"],"itemData":{"id":926,"type":"dataset","abstract":"Methods for species distribution modeling, that is, predicting the environmental similarity of any site to that of the locations of known occurrences of a species.","DOI":"10.32614/CRAN.package.dismo","language":"en","note":"Institution: Comprehensive R Archive Network\npage: 1.3-16","source":"DOI.org (Crossref)","title":"dismo: Species Distribution Modeling","title-short":"dismo","URL":"https://CRAN.R-project.org/package=dismo","author":[{"family":"Hijmans","given":"Robert J."},{"family":"Phillips","given":"Steven"},{"family":"Leathwick","given":"John"},{"family":"Elith","given":"Jane"}],"accessed":{"date-parts":[["2025",2,24]]},"issued":{"date-parts":[["2010",7,26]]}}}],"schema":"https://github.com/citation-style-language/schema/raw/master/csl-citation.json"} </w:instrText>
      </w:r>
      <w:r w:rsidRPr="000D1EAE">
        <w:rPr>
          <w:iCs/>
        </w:rPr>
        <w:fldChar w:fldCharType="separate"/>
      </w:r>
      <w:r w:rsidRPr="000D1EAE">
        <w:rPr>
          <w:rFonts w:cs="Arial"/>
          <w:kern w:val="0"/>
          <w:vertAlign w:val="superscript"/>
        </w:rPr>
        <w:t>15</w:t>
      </w:r>
      <w:r w:rsidRPr="000D1EAE">
        <w:rPr>
          <w:iCs/>
        </w:rPr>
        <w:fldChar w:fldCharType="end"/>
      </w:r>
      <w:r w:rsidRPr="000D1EAE">
        <w:rPr>
          <w:iCs/>
        </w:rPr>
        <w:t xml:space="preserve"> (Derived datasets </w:t>
      </w:r>
      <w:r w:rsidRPr="000D1EAE">
        <w:rPr>
          <w:iCs/>
        </w:rPr>
        <w:fldChar w:fldCharType="begin"/>
      </w:r>
      <w:r>
        <w:rPr>
          <w:iCs/>
        </w:rPr>
        <w:instrText xml:space="preserve"> ADDIN ZOTERO_ITEM CSL_CITATION {"citationID":"a2mdckoupi","properties":{"formattedCitation":"\\super 16\\nosupersub{}","plainCitation":"16","noteIndex":0},"citationItems":[{"id":1082,"uris":["http://zotero.org/groups/5467322/items/IHR76EF4"],"itemData":{"id":1082,"type":"dataset","abstract":"Derived dataset of occurrences of *Zygodontomys brevicauda, Sigmodon alstoni, Calomys musculinus, Calomys callosus, Calomys laucha, Oligoryzomys flavescens* downloaded with R'dismo' package.","DOI":"10.15468/DD.6U8HUK","publisher":"The Global Biodiversity Information Facility","source":"DOI.org (Datacite)","title":"Derived dataset for Kulkarni et al.","URL":"https://www.gbif.org/derivedDataset/10.15468/dd.6u8huk","author":[{"literal":"Pranav S. Kulkarni (uid: vetpsk)"}],"accessed":{"date-parts":[["2025",8,20]]},"issued":{"date-parts":[["2025"]]}}}],"schema":"https://github.com/citation-style-language/schema/raw/master/csl-citation.json"} </w:instrText>
      </w:r>
      <w:r w:rsidRPr="000D1EAE">
        <w:rPr>
          <w:iCs/>
        </w:rPr>
        <w:fldChar w:fldCharType="separate"/>
      </w:r>
      <w:r w:rsidRPr="000D1EAE">
        <w:rPr>
          <w:rFonts w:cs="Arial"/>
          <w:kern w:val="0"/>
          <w:vertAlign w:val="superscript"/>
        </w:rPr>
        <w:t>16</w:t>
      </w:r>
      <w:r w:rsidRPr="000D1EAE">
        <w:rPr>
          <w:iCs/>
        </w:rPr>
        <w:fldChar w:fldCharType="end"/>
      </w:r>
      <w:r w:rsidRPr="000D1EAE">
        <w:rPr>
          <w:iCs/>
        </w:rPr>
        <w:t xml:space="preserve">). This data was cleaned to remove duplicates and restricted to years 1990 to the last reported record of occurrence in the GBIF database. All occurrences in the South American continent </w:t>
      </w:r>
      <w:r w:rsidRPr="000D1EAE">
        <w:rPr>
          <w:iCs/>
        </w:rPr>
        <w:lastRenderedPageBreak/>
        <w:t xml:space="preserve">were retained regardless of the country. Presence-only data was preprocessed to be converted to 1:1 presence-absence data using habitat suitability analysis with R-package </w:t>
      </w:r>
      <w:r w:rsidRPr="000D1EAE">
        <w:rPr>
          <w:i/>
          <w:iCs/>
        </w:rPr>
        <w:t>USE::</w:t>
      </w:r>
      <w:proofErr w:type="spellStart"/>
      <w:r w:rsidRPr="000D1EAE">
        <w:rPr>
          <w:i/>
          <w:iCs/>
        </w:rPr>
        <w:t>paSampling</w:t>
      </w:r>
      <w:proofErr w:type="spellEnd"/>
      <w:r w:rsidRPr="000D1EAE">
        <w:rPr>
          <w:i/>
          <w:iCs/>
        </w:rPr>
        <w:t>()</w:t>
      </w:r>
      <w:r w:rsidRPr="000D1EAE">
        <w:rPr>
          <w:iCs/>
        </w:rPr>
        <w:t xml:space="preserve"> utilizing a uniform approach</w:t>
      </w:r>
      <w:r w:rsidRPr="000D1EAE">
        <w:rPr>
          <w:iCs/>
        </w:rPr>
        <w:fldChar w:fldCharType="begin"/>
      </w:r>
      <w:r>
        <w:rPr>
          <w:iCs/>
        </w:rPr>
        <w:instrText xml:space="preserve"> ADDIN ZOTERO_ITEM CSL_CITATION {"citationID":"9D8KjeKH","properties":{"formattedCitation":"\\super 17\\nosupersub{}","plainCitation":"17","noteIndex":0},"citationItems":[{"id":713,"uris":["http://zotero.org/groups/5467322/items/PYYP7Z6C"],"itemData":{"id":713,"type":"webpage","title":"USE it: Uniformly sampling pseudo</w:instrText>
      </w:r>
      <w:r>
        <w:rPr>
          <w:rFonts w:ascii="Cambria Math" w:hAnsi="Cambria Math" w:cs="Cambria Math"/>
          <w:iCs/>
        </w:rPr>
        <w:instrText>‐</w:instrText>
      </w:r>
      <w:r>
        <w:rPr>
          <w:iCs/>
        </w:rPr>
        <w:instrText xml:space="preserve">absences within the environmental space for applications in habitat suitability models - Da Re - 2023 - Methods in Ecology and Evolution - Wiley Online Library","URL":"https://besjournals.onlinelibrary.wiley.com/doi/full/10.1111/2041-210X.14209","accessed":{"date-parts":[["2024",11,24]]}}}],"schema":"https://github.com/citation-style-language/schema/raw/master/csl-citation.json"} </w:instrText>
      </w:r>
      <w:r w:rsidRPr="000D1EAE">
        <w:rPr>
          <w:iCs/>
        </w:rPr>
        <w:fldChar w:fldCharType="separate"/>
      </w:r>
      <w:r w:rsidRPr="000D1EAE">
        <w:rPr>
          <w:rFonts w:cs="Arial"/>
          <w:kern w:val="0"/>
          <w:vertAlign w:val="superscript"/>
        </w:rPr>
        <w:t>17</w:t>
      </w:r>
      <w:r w:rsidRPr="000D1EAE">
        <w:rPr>
          <w:iCs/>
        </w:rPr>
        <w:fldChar w:fldCharType="end"/>
      </w:r>
      <w:r w:rsidRPr="000D1EAE">
        <w:rPr>
          <w:iCs/>
        </w:rPr>
        <w:t xml:space="preserve">. This was done to avoid sample location bias that commonly occurs with random sampling of a geographical extent without considering the environmental conditions as discussed by Da Re et al. (see Supplementary Section C3.4 for details) </w:t>
      </w:r>
      <w:r w:rsidRPr="000D1EAE">
        <w:rPr>
          <w:iCs/>
        </w:rPr>
        <w:fldChar w:fldCharType="begin"/>
      </w:r>
      <w:r>
        <w:rPr>
          <w:iCs/>
        </w:rPr>
        <w:instrText xml:space="preserve"> ADDIN ZOTERO_ITEM CSL_CITATION {"citationID":"s8qBVc5B","properties":{"formattedCitation":"\\super 18\\nosupersub{}","plainCitation":"18","noteIndex":0},"citationItems":[{"id":799,"uris":["http://zotero.org/groups/5467322/items/YIYYDD7B"],"itemData":{"id":799,"type":"article-journal","abstract":"Habitat suitability models infer the geographical distribution of species using occurrence data and environmental variables. While data on species presence are increasingly accessible, the difficulty of confirming real absences in the field often forces researchers to generate them in silico. To this aim, pseudo-absences are commonly sampled randomly across the study area (i.e. the geographical space). However, this introduces sample location bias (i.e. the sampling is unbalanced towards the most frequent habitats occurring within the geographical space) and favours class overlap (i.e. overlap between environmental conditions associated with species presences and pseudo-absences) in the training dataset. To mitigate this, we propose an alternative methodology (i.e. the uniform approach) that systematically samples pseudo-absences within a portion of the environmental space delimited by a kernel-based filter, which seeks to minimise the number of false absences included in the training dataset. We simulated 50 virtual species and modelled their distribution using training datasets assembled with the presence points of the virtual species and pseudo-absences collected using the uniform approach and other approaches that randomly sample pseudo-absences within the geographical space. We compared the predictive performance of habitat suitability models and evaluated the extent of sample location bias and class overlap associated with the different sampling strategies. Results indicated that the uniform approach: (i) effectively reduces sample location bias and class overlap; (ii) provides comparable predictive performance to sampling strategies carried out in the geographical space; and (iii) ensures gathering pseudo-absences adequately representing the environmental conditions available across the study area. We developed a set of R functions in an accompanying R package called USE to disseminate the uniform approach.","container-title":"Methods in Ecology and Evolution","DOI":"10.1111/2041-210X.14209","ISSN":"2041-210X","issue":"11","language":"en","license":"© 2023 The Authors. Methods in Ecology and Evolution published by John Wiley &amp; Sons Ltd on behalf of British Ecological Society.","note":"_eprint: https://onlinelibrary.wiley.com/doi/pdf/10.1111/2041-210X.14209","page":"2873-2887","source":"Wiley Online Library","title":"USE it: Uniformly sampling pseudo-absences within the environmental space for applications in habitat suitability models","title-short":"USE it","volume":"14","author":[{"family":"Da Re","given":"Daniele"},{"family":"Tordoni","given":"Enrico"},{"family":"Lenoir","given":"Jonathan"},{"family":"Lembrechts","given":"Jonas J."},{"family":"Vanwambeke","given":"Sophie O."},{"family":"Rocchini","given":"Duccio"},{"family":"Bazzichetto","given":"Manuele"}],"issued":{"date-parts":[["2023"]]}}}],"schema":"https://github.com/citation-style-language/schema/raw/master/csl-citation.json"} </w:instrText>
      </w:r>
      <w:r w:rsidRPr="000D1EAE">
        <w:rPr>
          <w:iCs/>
        </w:rPr>
        <w:fldChar w:fldCharType="separate"/>
      </w:r>
      <w:r w:rsidRPr="000D1EAE">
        <w:rPr>
          <w:rFonts w:cs="Arial"/>
          <w:kern w:val="0"/>
          <w:vertAlign w:val="superscript"/>
        </w:rPr>
        <w:t>18</w:t>
      </w:r>
      <w:r w:rsidRPr="000D1EAE">
        <w:rPr>
          <w:iCs/>
        </w:rPr>
        <w:fldChar w:fldCharType="end"/>
      </w:r>
      <w:r w:rsidRPr="000D1EAE">
        <w:rPr>
          <w:iCs/>
        </w:rPr>
        <w:t>. Environmental and ecological data was sourced from open-source datasets, such as  19 Bioclimatic variables from World Clim (</w:t>
      </w:r>
      <w:proofErr w:type="spellStart"/>
      <w:r w:rsidRPr="000D1EAE">
        <w:rPr>
          <w:i/>
          <w:iCs/>
        </w:rPr>
        <w:t>Bioclim</w:t>
      </w:r>
      <w:proofErr w:type="spellEnd"/>
      <w:r w:rsidRPr="000D1EAE">
        <w:rPr>
          <w:iCs/>
        </w:rPr>
        <w:t>), Normalized Differential Vegetation Index (</w:t>
      </w:r>
      <w:r w:rsidRPr="000D1EAE">
        <w:rPr>
          <w:i/>
          <w:iCs/>
        </w:rPr>
        <w:t>NDVI)</w:t>
      </w:r>
      <w:r w:rsidRPr="000D1EAE">
        <w:rPr>
          <w:iCs/>
        </w:rPr>
        <w:t xml:space="preserve"> and Digital Elevation Model (</w:t>
      </w:r>
      <w:r w:rsidRPr="000D1EAE">
        <w:rPr>
          <w:i/>
          <w:iCs/>
        </w:rPr>
        <w:t>DEM</w:t>
      </w:r>
      <w:r w:rsidRPr="000D1EAE">
        <w:rPr>
          <w:iCs/>
        </w:rPr>
        <w:t xml:space="preserve">) from </w:t>
      </w:r>
      <w:r w:rsidRPr="000D1EAE">
        <w:rPr>
          <w:rFonts w:eastAsia="Arial" w:cs="Arial"/>
          <w:i/>
          <w:iCs/>
          <w:color w:val="202122"/>
        </w:rPr>
        <w:t>Moderate-Resolution Imaging Spectroradiometer</w:t>
      </w:r>
      <w:r w:rsidRPr="000D1EAE">
        <w:rPr>
          <w:rFonts w:eastAsia="Arial" w:cs="Arial"/>
          <w:i/>
          <w:iCs/>
        </w:rPr>
        <w:t xml:space="preserve"> (MODIS) satellite database and 5 Land Use datasets from </w:t>
      </w:r>
      <w:r w:rsidRPr="000D1EAE">
        <w:rPr>
          <w:rFonts w:eastAsia="Arial" w:cs="Arial"/>
          <w:i/>
          <w:iCs/>
          <w:color w:val="000000" w:themeColor="text1"/>
        </w:rPr>
        <w:t>Land-Cover and Land-Use Change</w:t>
      </w:r>
      <w:r w:rsidRPr="000D1EAE">
        <w:rPr>
          <w:iCs/>
        </w:rPr>
        <w:t xml:space="preserve"> (LCLUC) program maintained jointly by NASA and University of Maryland </w:t>
      </w:r>
      <w:r w:rsidRPr="000D1EAE">
        <w:rPr>
          <w:iCs/>
        </w:rPr>
        <w:fldChar w:fldCharType="begin"/>
      </w:r>
      <w:r>
        <w:rPr>
          <w:iCs/>
        </w:rPr>
        <w:instrText xml:space="preserve"> ADDIN ZOTERO_ITEM CSL_CITATION {"citationID":"a1pkdcb0cv","properties":{"formattedCitation":"\\super 19\\uc0\\u8211{}23\\nosupersub{}","plainCitation":"19–23","noteIndex":0},"citationItems":[{"id":596,"uris":["http://zotero.org/groups/5467322/items/VTCGGMZ3"],"itemData":{"id":596,"type":"article-journal","container-title":"International Journal of Climatology: A Journal of the Royal Meteorological Society","ISSN":"0899-8418","issue":"15","journalAbbreviation":"International Journal of Climatology: A Journal of the Royal Meteorological Society","note":"publisher: John Wiley &amp; Sons, Ltd. Chichester, UK","page":"1965-1978","title":"Very high resolution interpolated climate surfaces for global land areas","volume":"25","author":[{"family":"Hijmans","given":"Robert J"},{"family":"Cameron","given":"Susan E"},{"family":"Parra","given":"Juan L"},{"family":"Jones","given":"Peter G"},{"family":"Jarvis","given":"Andy"}],"issued":{"date-parts":[["2005"]]}}},{"id":715,"uris":["http://zotero.org/groups/5467322/items/KZ7L2MJK"],"itemData":{"id":715,"type":"dataset","DOI":"10.5067/MODIS/MOD13A1.061","publisher":"NASA EOSDIS Land Processes Distributed Active Archive Center","source":"DOI.org (Datacite)","title":"MODIS/Terra Vegetation Indices 16-Day L3 Global 500m SIN Grid V061","URL":"https://lpdaac.usgs.gov/products/mod13a1v061/","author":[{"family":"Didan","given":"Kamel"}],"accessed":{"date-parts":[["2024",11,24]]},"issued":{"date-parts":[["2021"]]}}},{"id":717,"uris":["http://zotero.org/groups/5467322/items/BZNYXQVV"],"itemData":{"id":717,"type":"dataset","abstract":"The Shuttle Radar Topography Mission (SRTM) was flown aboard the space shuttle Endeavour February 11-22, 2000. The National Aeronautics and Space Administration (NASA) and the National Geospatial-Intelligence Agency (NGA) participated in an international project to acquire radar data which were used to create the first near-global set of land elevations. \n \nThe radars used during the SRTM mission were actually developed and flown on two Endeavour missions in 1994. The C-band Spaceborne Imaging Radar and the X-Band Synthetic Aperture Radar (X-SAR) hardware were used on board the space shuttle in April and October 1994 to gather data about Earth's environment. The technology was modified for the SRTM mission to collect interferometric radar, which compared two radar images or signals taken at slightly different angles. This mission used single-pass interferometry, which acquired two signals at the same time by using two different radar antennas. An antenna located on board the space shuttle collected one data set and the other data set was collected by an antenna located at the end of a 60-meter mast that extended from the shuttle. Differences between the two signals allowed for the calculation of surface elevation. \n \nEndeavour orbited Earth 16 times each day during the 11-day mission, completing 176 orbits. SRTM successfully collected radar data over 80% of the Earth's land surface between 60 degrees north and 56 degrees south latitude with data points posted every 1 arc-second (approximately 30 meters).","DOI":"10.5066/F7PR7TFT","medium":"tiff","publisher":"U.S. Geological Survey","source":"DOI.org (Datacite)","title":"Shuttle Radar Topography Mission (SRTM) 1 Arc-Second Global","URL":"https://www.usgs.gov/centers/eros/science/usgs-eros-archive-digital-elevation-shuttle-radar-topography-mission-srtm-1-arc?qt-science_center_objects=0#qt-science_center_objects","author":[{"literal":"Earth Resources Observation And Science (EROS) Center"}],"accessed":{"date-parts":[["2024",11,25]]},"issued":{"date-parts":[["2017"]]}}},{"id":718,"uris":["http://zotero.org/groups/5467322/items/CDW3L3V9"],"itemData":{"id":718,"type":"article-journal","abstract":"Recent advances in Landsat archive data processing and characterization enhanced our capacity to map land cover and land use globally with higher precision, temporal frequency, and thematic detail. Here, we present the first results from a project aimed at annual multidecadal land monitoring providing critical information for tracking global progress towards sustainable development. The global 30-m spatial resolution dataset quantifies changes in forest extent and height, cropland, built-up lands, surface water, and perennial snow and ice extent from the year 2000 to 2020. Landsat Analysis Ready Data served as an input for land cover and use mapping. Each thematic product was independently derived using locally and regionally calibrated machine learning tools. Thematic maps validation using a statistical sample of reference data confirmed their high accuracy (user’s and producer’s accuracies above 85% for all land cover and land use themes, except for built-up lands). Our results revealed dramatic changes in global land cover and land use over the past 20 years. The bitemporal dataset is publicly available and serves as a first input for the global land monitoring system.","container-title":"Frontiers in Remote Sensing","DOI":"10.3389/frsen.2022.856903","ISSN":"2673-6187","journalAbbreviation":"Front. Remote Sens.","page":"856903","source":"DOI.org (Crossref)","title":"The Global 2000-2020 Land Cover and Land Use Change Dataset Derived From the Landsat Archive: First Results","title-short":"The Global 2000-2020 Land Cover and Land Use Change Dataset Derived From the Landsat Archive","volume":"3","author":[{"family":"Potapov","given":"Peter"},{"family":"Hansen","given":"Matthew C."},{"family":"Pickens","given":"Amy"},{"family":"Hernandez-Serna","given":"Andres"},{"family":"Tyukavina","given":"Alexandra"},{"family":"Turubanova","given":"Svetlana"},{"family":"Zalles","given":"Viviana"},{"family":"Li","given":"Xinyuan"},{"family":"Khan","given":"Ahmad"},{"family":"Stolle","given":"Fred"},{"family":"Harris","given":"Nancy"},{"family":"Song","given":"Xiao-Peng"},{"family":"Baggett","given":"Antoine"},{"family":"Kommareddy","given":"Indrani"},{"family":"Kommareddy","given":"Anil"}],"issued":{"date-parts":[["2022",4,13]]}}},{"id":1079,"uris":["http://zotero.org/groups/5467322/items/Z9EICZ3K"],"itemData":{"id":1079,"type":"article-journal","abstract":"Abstract\n            \n              Aim\n              \n                Interest in species distribution models (\n                SDM\n                s) and related niche studies has increased dramatically in recent years, with several books and reviews being prepared since 2000. The earliest\n                SDM\n                studies are dealt with only briefly even in the books. Consequently, many researchers are unaware of when the first\n                SDM\n                software package (\n                bioclim\n                ) was developed and how a broad range of applications using the package was explored within the first 8 years following its release. The purpose of this study is to clarify these early developments and initial applications, as well as to highlight\n                bioclim\n                's continuing relevance to current studies.\n              \n            \n            \n              Location\n              Mainly Australia and New Zealand, but also some global applications.\n            \n            \n              Methods\n              \n                We outline the development of the\n                bioclim\n                package, early applications (1984–1991) and its current relevance.\n              \n            \n            \n              Results\n              \n                bioclim\n                was the first\n                SDM\n                package to be widely used. Early applications explored many of the possible uses of\n                SDM\n                s in conservation biogeography, such as quantifying the environmental niche of species, identifying areas where a species might be invasive, assisting conservation planning and assessing the likely impacts of climate change on species distributions.\n              \n            \n            \n              Main conclusions\n              \n                Understanding this pioneering work is worthwhile as\n                bioclim\n                was for many years one of the leading\n                SDM\n                packages and remains widely used. Climate interpolation methods developed for\n                bioclim\n                were used to create the WorldClim database, the most common source of climate data for\n                SDM\n                studies, and\n                bioclim\n                variables are used in about 76% of recent published\n                MaxEnt\n                analyses of terrestrial ecosystems. Also, some of the\n                bioclim\n                studies from the late 1980s, such as measuring niche (both realized and fundamental) and assessing possible impacts of climate change, are still highly relevant to key conservation biogeography issues.","container-title":"Diversity and Distributions","DOI":"10.1111/ddi.12144","ISSN":"1366-9516, 1472-4642","issue":"1","journalAbbreviation":"Diversity and Distributions","language":"en","license":"http://onlinelibrary.wiley.com/termsAndConditions#vor","page":"1-9","source":"DOI.org (Crossref)","title":"&lt;span style=\"font-variant:small-caps;\"&gt;bioclim&lt;/span&gt; : the first species distribution modelling package, its early applications and relevance to most current &lt;span style=\"font-variant:small-caps;\"&gt;MaxEnt&lt;/span&gt; studies","title-short":"&lt;span style=\"font-variant","volume":"20","author":[{"family":"Booth","given":"Trevor H."},{"family":"Nix","given":"Henry A."},{"family":"Busby","given":"John R."},{"family":"Hutchinson","given":"Michael F."}],"editor":[{"family":"Franklin","given":"Janet"}],"issued":{"date-parts":[["2014",1]]}}}],"schema":"https://github.com/citation-style-language/schema/raw/master/csl-citation.json"} </w:instrText>
      </w:r>
      <w:r w:rsidRPr="000D1EAE">
        <w:rPr>
          <w:iCs/>
        </w:rPr>
        <w:fldChar w:fldCharType="separate"/>
      </w:r>
      <w:r w:rsidRPr="000D1EAE">
        <w:rPr>
          <w:rFonts w:cs="Arial"/>
          <w:kern w:val="0"/>
          <w:vertAlign w:val="superscript"/>
        </w:rPr>
        <w:t>19–23</w:t>
      </w:r>
      <w:r w:rsidRPr="000D1EAE">
        <w:rPr>
          <w:iCs/>
        </w:rPr>
        <w:fldChar w:fldCharType="end"/>
      </w:r>
      <w:r w:rsidRPr="000D1EAE">
        <w:rPr>
          <w:iCs/>
        </w:rPr>
        <w:t xml:space="preserve">. These datasets were resampled to the highest common resolution and clipped to the extent of species occurrence data mentioned above for each individual rodent reservoir. In total, three sets of 24 to 26 rasters and six occurrence datasets were used for the SDMs (Supplementary Table S2.1). </w:t>
      </w:r>
    </w:p>
    <w:p w14:paraId="4190B252" w14:textId="7EAF3672" w:rsidR="000D1EAE" w:rsidRPr="000D1EAE" w:rsidRDefault="000D1EAE" w:rsidP="000D1EAE">
      <w:pPr>
        <w:spacing w:after="0"/>
        <w:rPr>
          <w:iCs/>
        </w:rPr>
      </w:pPr>
      <w:r w:rsidRPr="000D1EAE">
        <w:rPr>
          <w:iCs/>
        </w:rPr>
        <w:t xml:space="preserve">Similarly, for predicting the species distribution in the future, analogous raster data for </w:t>
      </w:r>
      <w:proofErr w:type="spellStart"/>
      <w:r w:rsidRPr="000D1EAE">
        <w:rPr>
          <w:iCs/>
        </w:rPr>
        <w:t>Bioclimactic</w:t>
      </w:r>
      <w:proofErr w:type="spellEnd"/>
      <w:r w:rsidRPr="000D1EAE">
        <w:rPr>
          <w:iCs/>
        </w:rPr>
        <w:t xml:space="preserve"> variables </w:t>
      </w:r>
      <w:r w:rsidRPr="000D1EAE">
        <w:rPr>
          <w:iCs/>
        </w:rPr>
        <w:fldChar w:fldCharType="begin"/>
      </w:r>
      <w:r>
        <w:rPr>
          <w:iCs/>
        </w:rPr>
        <w:instrText xml:space="preserve"> ADDIN ZOTERO_ITEM CSL_CITATION {"citationID":"lQOfJUKZ","properties":{"formattedCitation":"\\super 24\\nosupersub{}","plainCitation":"24","noteIndex":0},"citationItems":[{"id":720,"uris":["http://zotero.org/groups/5467322/items/9WQDJQ2Q"],"itemData":{"id":720,"type":"webpage","title":"Presentation and Evaluation of the IPSL</w:instrText>
      </w:r>
      <w:r>
        <w:rPr>
          <w:rFonts w:ascii="Cambria Math" w:hAnsi="Cambria Math" w:cs="Cambria Math"/>
          <w:iCs/>
        </w:rPr>
        <w:instrText>‐</w:instrText>
      </w:r>
      <w:r>
        <w:rPr>
          <w:iCs/>
        </w:rPr>
        <w:instrText>CM6A</w:instrText>
      </w:r>
      <w:r>
        <w:rPr>
          <w:rFonts w:ascii="Cambria Math" w:hAnsi="Cambria Math" w:cs="Cambria Math"/>
          <w:iCs/>
        </w:rPr>
        <w:instrText>‐</w:instrText>
      </w:r>
      <w:r>
        <w:rPr>
          <w:iCs/>
        </w:rPr>
        <w:instrText xml:space="preserve">LR Climate Model - Boucher - 2020 - Journal of Advances in Modeling Earth Systems - Wiley Online Library","URL":"https://agupubs.onlinelibrary.wiley.com/doi/full/10.1029/2019MS002010","accessed":{"date-parts":[["2024",11,25]]}}}],"schema":"https://github.com/citation-style-language/schema/raw/master/csl-citation.json"} </w:instrText>
      </w:r>
      <w:r w:rsidRPr="000D1EAE">
        <w:rPr>
          <w:iCs/>
        </w:rPr>
        <w:fldChar w:fldCharType="separate"/>
      </w:r>
      <w:r w:rsidRPr="000D1EAE">
        <w:rPr>
          <w:rFonts w:cs="Arial"/>
          <w:kern w:val="0"/>
          <w:vertAlign w:val="superscript"/>
        </w:rPr>
        <w:t>24</w:t>
      </w:r>
      <w:r w:rsidRPr="000D1EAE">
        <w:rPr>
          <w:iCs/>
        </w:rPr>
        <w:fldChar w:fldCharType="end"/>
      </w:r>
      <w:r w:rsidRPr="000D1EAE">
        <w:rPr>
          <w:iCs/>
        </w:rPr>
        <w:t xml:space="preserve">, NDVI (data from 2020 for NDVI </w:t>
      </w:r>
      <w:r w:rsidRPr="000D1EAE">
        <w:rPr>
          <w:iCs/>
        </w:rPr>
        <w:fldChar w:fldCharType="begin"/>
      </w:r>
      <w:r>
        <w:rPr>
          <w:iCs/>
        </w:rPr>
        <w:instrText xml:space="preserve"> ADDIN ZOTERO_ITEM CSL_CITATION {"citationID":"6uwxRx18","properties":{"formattedCitation":"\\super 20\\nosupersub{}","plainCitation":"20","noteIndex":0},"citationItems":[{"id":715,"uris":["http://zotero.org/groups/5467322/items/KZ7L2MJK"],"itemData":{"id":715,"type":"dataset","DOI":"10.5067/MODIS/MOD13A1.061","publisher":"NASA EOSDIS Land Processes Distributed Active Archive Center","source":"DOI.org (Datacite)","title":"MODIS/Terra Vegetation Indices 16-Day L3 Global 500m SIN Grid V061","URL":"https://lpdaac.usgs.gov/products/mod13a1v061/","author":[{"family":"Didan","given":"Kamel"}],"accessed":{"date-parts":[["2024",11,24]]},"issued":{"date-parts":[["2021"]]}}}],"schema":"https://github.com/citation-style-language/schema/raw/master/csl-citation.json"} </w:instrText>
      </w:r>
      <w:r w:rsidRPr="000D1EAE">
        <w:rPr>
          <w:iCs/>
        </w:rPr>
        <w:fldChar w:fldCharType="separate"/>
      </w:r>
      <w:r w:rsidRPr="000D1EAE">
        <w:rPr>
          <w:rFonts w:cs="Arial"/>
          <w:kern w:val="0"/>
          <w:vertAlign w:val="superscript"/>
        </w:rPr>
        <w:t>20</w:t>
      </w:r>
      <w:r w:rsidRPr="000D1EAE">
        <w:rPr>
          <w:iCs/>
        </w:rPr>
        <w:fldChar w:fldCharType="end"/>
      </w:r>
      <w:r w:rsidRPr="000D1EAE">
        <w:rPr>
          <w:iCs/>
        </w:rPr>
        <w:t xml:space="preserve">), DEM </w:t>
      </w:r>
      <w:r w:rsidRPr="000D1EAE">
        <w:rPr>
          <w:iCs/>
        </w:rPr>
        <w:fldChar w:fldCharType="begin"/>
      </w:r>
      <w:r>
        <w:rPr>
          <w:iCs/>
        </w:rPr>
        <w:instrText xml:space="preserve"> ADDIN ZOTERO_ITEM CSL_CITATION {"citationID":"p8v01f23","properties":{"formattedCitation":"\\super 21\\nosupersub{}","plainCitation":"21","noteIndex":0},"citationItems":[{"id":717,"uris":["http://zotero.org/groups/5467322/items/BZNYXQVV"],"itemData":{"id":717,"type":"dataset","abstract":"The Shuttle Radar Topography Mission (SRTM) was flown aboard the space shuttle Endeavour February 11-22, 2000. The National Aeronautics and Space Administration (NASA) and the National Geospatial-Intelligence Agency (NGA) participated in an international project to acquire radar data which were used to create the first near-global set of land elevations. \n \nThe radars used during the SRTM mission were actually developed and flown on two Endeavour missions in 1994. The C-band Spaceborne Imaging Radar and the X-Band Synthetic Aperture Radar (X-SAR) hardware were used on board the space shuttle in April and October 1994 to gather data about Earth's environment. The technology was modified for the SRTM mission to collect interferometric radar, which compared two radar images or signals taken at slightly different angles. This mission used single-pass interferometry, which acquired two signals at the same time by using two different radar antennas. An antenna located on board the space shuttle collected one data set and the other data set was collected by an antenna located at the end of a 60-meter mast that extended from the shuttle. Differences between the two signals allowed for the calculation of surface elevation. \n \nEndeavour orbited Earth 16 times each day during the 11-day mission, completing 176 orbits. SRTM successfully collected radar data over 80% of the Earth's land surface between 60 degrees north and 56 degrees south latitude with data points posted every 1 arc-second (approximately 30 meters).","DOI":"10.5066/F7PR7TFT","medium":"tiff","publisher":"U.S. Geological Survey","source":"DOI.org (Datacite)","title":"Shuttle Radar Topography Mission (SRTM) 1 Arc-Second Global","URL":"https://www.usgs.gov/centers/eros/science/usgs-eros-archive-digital-elevation-shuttle-radar-topography-mission-srtm-1-arc?qt-science_center_objects=0#qt-science_center_objects","author":[{"literal":"Earth Resources Observation And Science (EROS) Center"}],"accessed":{"date-parts":[["2024",11,25]]},"issued":{"date-parts":[["2017"]]}}}],"schema":"https://github.com/citation-style-language/schema/raw/master/csl-citation.json"} </w:instrText>
      </w:r>
      <w:r w:rsidRPr="000D1EAE">
        <w:rPr>
          <w:iCs/>
        </w:rPr>
        <w:fldChar w:fldCharType="separate"/>
      </w:r>
      <w:r w:rsidRPr="000D1EAE">
        <w:rPr>
          <w:rFonts w:cs="Arial"/>
          <w:kern w:val="0"/>
          <w:vertAlign w:val="superscript"/>
        </w:rPr>
        <w:t>21</w:t>
      </w:r>
      <w:r w:rsidRPr="000D1EAE">
        <w:rPr>
          <w:iCs/>
        </w:rPr>
        <w:fldChar w:fldCharType="end"/>
      </w:r>
      <w:r w:rsidRPr="000D1EAE">
        <w:rPr>
          <w:iCs/>
        </w:rPr>
        <w:t xml:space="preserve"> and land use </w:t>
      </w:r>
      <w:r w:rsidRPr="000D1EAE">
        <w:rPr>
          <w:iCs/>
        </w:rPr>
        <w:fldChar w:fldCharType="begin"/>
      </w:r>
      <w:r>
        <w:rPr>
          <w:iCs/>
        </w:rPr>
        <w:instrText xml:space="preserve"> ADDIN ZOTERO_ITEM CSL_CITATION {"citationID":"scwHKa8s","properties":{"formattedCitation":"\\super 25\\nosupersub{}","plainCitation":"25","noteIndex":0},"citationItems":[{"id":723,"uris":["http://zotero.org/groups/5467322/items/7HQ7IVSF"],"itemData":{"id":723,"type":"dataset","abstract":"CMIP6 Forcing Datasets (input4MIPs): These data include all datasets published for 'input4MIPs.CMIP6.ScenarioMIP.UofMD' with the full Data Reference Syntax following the template 'activity_id.mip_era.target_mip.institution_id.source_id.realm.frequency.variable_id.grid_label'. The model UofMD-landState (UofMD-landState) was run by the UofMD (UofMD) in native nominal resolutions: unknown. Project: The forcing datasets (and boundary conditions) needed for CMIP6 experiments are being prepared by a number of different experts. Initially many of these datasets may only be available from those experts, but over time as part of the 'input4MIPs' activity most of them will be archived by PCMDI and served by the Earth System Grid Federation (https://esgf-node.llnl.gov/search/input4mips/ ). More information is available in the living document: http://goo.gl/r8up31 .","DOI":"10.22033/ESGF/INPUT4MIPS.10468","language":"en","license":"Creative Commons Attribution Share Alike 4.0 International","medium":"application/x-netcdf","publisher":"Earth System Grid Federation","source":"DOI.org (Datacite)","title":"Harmonization of Global Land Use Change and Management for the Period 2015-2300","URL":"http://cera-www.dkrz.de/WDCC/meta/CMIP6/input4MIPs.CMIP6.ScenarioMIP.UofMD","version":"20230220","author":[{"family":"Hurtt","given":"George"},{"family":"Chini","given":"Louise"},{"family":"Sahajpal","given":"Ritvik"},{"family":"Frolking","given":"Steve"},{"family":"Bodirsky","given":"Benjamin Leon"},{"family":"Calvin","given":"Kate"},{"family":"Doelman","given":"Jonathan"},{"family":"Fisk","given":"Justin"},{"family":"Fujimori","given":"Shinichiro"},{"family":"Goldewijk","given":"Kees Klein"},{"family":"Hasegawa","given":"Tomoko"},{"family":"Havlik","given":"Petr"},{"family":"Heinimann","given":"Andreas"},{"family":"Humpenöder","given":"Florian"},{"family":"Jungclaus","given":"Johann"},{"family":"Kaplan","given":"Jed"},{"family":"Krisztin","given":"Tamás"},{"family":"Lawrence","given":"David"},{"family":"Lawrence","given":"Peter"},{"family":"Mertz","given":"Ole"},{"family":"Pongratz","given":"Julia"},{"family":"Popp","given":"Alexander"},{"family":"Riahi","given":"Keywan"},{"family":"Shevliakova","given":"Elena"},{"family":"Stehfest","given":"Elke"},{"family":"Thornton","given":"Peter"},{"family":"Vuuren","given":"Detlef","non-dropping-particle":"van"},{"family":"Zhang","given":"Xin"}],"contributor":[{"family":"Hurtt","given":"George"}],"accessed":{"date-parts":[["2024",11,25]]},"issued":{"date-parts":[["2019"]]}}}],"schema":"https://github.com/citation-style-language/schema/raw/master/csl-citation.json"} </w:instrText>
      </w:r>
      <w:r w:rsidRPr="000D1EAE">
        <w:rPr>
          <w:iCs/>
        </w:rPr>
        <w:fldChar w:fldCharType="separate"/>
      </w:r>
      <w:r w:rsidRPr="000D1EAE">
        <w:rPr>
          <w:rFonts w:cs="Arial"/>
          <w:kern w:val="0"/>
          <w:vertAlign w:val="superscript"/>
        </w:rPr>
        <w:t>25</w:t>
      </w:r>
      <w:r w:rsidRPr="000D1EAE">
        <w:rPr>
          <w:iCs/>
        </w:rPr>
        <w:fldChar w:fldCharType="end"/>
      </w:r>
      <w:r w:rsidRPr="000D1EAE">
        <w:rPr>
          <w:iCs/>
        </w:rPr>
        <w:t xml:space="preserve"> were downloaded for Shared Socioeconomic Pathways 6 (SSP) scenarios of Moderate (SSP 2-4.5) and Extreme (SSP 5-8.5) predictions for climate change in the future as established by Coupled Model Intercomparison Project v6 (CMIP6) for years 2041 to 2060 </w:t>
      </w:r>
      <w:r w:rsidRPr="000D1EAE">
        <w:rPr>
          <w:iCs/>
        </w:rPr>
        <w:fldChar w:fldCharType="begin"/>
      </w:r>
      <w:r>
        <w:rPr>
          <w:iCs/>
        </w:rPr>
        <w:instrText xml:space="preserve"> ADDIN ZOTERO_ITEM CSL_CITATION {"citationID":"eY0pvBbz","properties":{"formattedCitation":"\\super 26\\nosupersub{}","plainCitation":"26","noteIndex":0},"citationItems":[{"id":710,"uris":["http://zotero.org/groups/5467322/items/4IXHUHKZ"],"itemData":{"id":710,"type":"report","event-place":"Switzerland","language":"English","publisher":"IPCC","publisher-place":"Switzerland","title":"Summary for Policymakers. In: Climate Change 2021: The Physical Science Basis. Contribution of Working Group I to the Sixth Assessment Report of the Intergovernmental Panel on Climate Change","URL":"https://www.ipcc.ch/report/ar6/wg1/downloads/report/IPCC_AR6_WGI_SPM_final.pdf","author":[{"literal":"Masson-Delmotte, V., P. Zhai, A. Pirani, S.L."},{"literal":"Connors, C. Péan, S. Berger, N. Caud, Y. Chen, L. Goldfarb, M.I. Gomis, M. Huang, K. Leitzell, E. Lonnoy, J.B.R. Matthews, T.K."},{"literal":"Maycock, T. Waterfield, O. Yelekçi, R. Yu, and B. Zhou"}],"accessed":{"date-parts":[["2024",11,25]]},"issued":{"date-parts":[["2021"]]}}}],"schema":"https://github.com/citation-style-language/schema/raw/master/csl-citation.json"} </w:instrText>
      </w:r>
      <w:r w:rsidRPr="000D1EAE">
        <w:rPr>
          <w:iCs/>
        </w:rPr>
        <w:fldChar w:fldCharType="separate"/>
      </w:r>
      <w:r w:rsidRPr="000D1EAE">
        <w:rPr>
          <w:rFonts w:cs="Arial"/>
          <w:kern w:val="0"/>
          <w:vertAlign w:val="superscript"/>
        </w:rPr>
        <w:t>26</w:t>
      </w:r>
      <w:r w:rsidRPr="000D1EAE">
        <w:rPr>
          <w:iCs/>
        </w:rPr>
        <w:fldChar w:fldCharType="end"/>
      </w:r>
      <w:r w:rsidRPr="000D1EAE">
        <w:rPr>
          <w:iCs/>
        </w:rPr>
        <w:t xml:space="preserve">. These datasets were also preprocessed and resampled to the highest common resolution and averaged over the 20-year </w:t>
      </w:r>
      <w:proofErr w:type="gramStart"/>
      <w:r w:rsidRPr="000D1EAE">
        <w:rPr>
          <w:iCs/>
        </w:rPr>
        <w:t>time period</w:t>
      </w:r>
      <w:proofErr w:type="gramEnd"/>
      <w:r w:rsidRPr="000D1EAE">
        <w:rPr>
          <w:iCs/>
        </w:rPr>
        <w:t>.</w:t>
      </w:r>
    </w:p>
    <w:p w14:paraId="6715CD8D" w14:textId="77777777" w:rsidR="000D1EAE" w:rsidRPr="000D1EAE" w:rsidRDefault="000D1EAE" w:rsidP="000D1EAE">
      <w:pPr>
        <w:spacing w:before="0" w:after="0" w:line="480" w:lineRule="auto"/>
        <w:rPr>
          <w:rFonts w:cs="Arial"/>
          <w:iCs/>
        </w:rPr>
      </w:pPr>
    </w:p>
    <w:p w14:paraId="4A7B8B4A" w14:textId="77777777" w:rsidR="000D1EAE" w:rsidRPr="000D1EAE" w:rsidRDefault="000D1EAE" w:rsidP="000D1EAE">
      <w:pPr>
        <w:pStyle w:val="Heading3"/>
      </w:pPr>
      <w:r w:rsidRPr="000D1EAE">
        <w:t>Modeling algorithms</w:t>
      </w:r>
    </w:p>
    <w:p w14:paraId="009B7366" w14:textId="77777777" w:rsidR="000D1EAE" w:rsidRPr="000D1EAE" w:rsidRDefault="000D1EAE" w:rsidP="000D1EAE">
      <w:pPr>
        <w:spacing w:after="0"/>
        <w:rPr>
          <w:iCs/>
        </w:rPr>
        <w:sectPr w:rsidR="000D1EAE" w:rsidRPr="000D1EAE" w:rsidSect="000D1EAE">
          <w:pgSz w:w="12240" w:h="15840"/>
          <w:pgMar w:top="1440" w:right="1440" w:bottom="1440" w:left="1440" w:header="720" w:footer="720" w:gutter="0"/>
          <w:lnNumType w:countBy="1" w:restart="continuous"/>
          <w:cols w:space="720"/>
          <w:docGrid w:linePitch="360"/>
        </w:sectPr>
      </w:pPr>
    </w:p>
    <w:p w14:paraId="66A6B78A" w14:textId="77777777" w:rsidR="000D1EAE" w:rsidRPr="000D1EAE" w:rsidRDefault="000D1EAE" w:rsidP="000D1EAE">
      <w:pPr>
        <w:spacing w:after="0"/>
        <w:rPr>
          <w:iCs/>
        </w:rPr>
      </w:pPr>
    </w:p>
    <w:p w14:paraId="24DC1EC6" w14:textId="77777777" w:rsidR="000D1EAE" w:rsidRPr="000D1EAE" w:rsidRDefault="000D1EAE" w:rsidP="000D1EAE">
      <w:pPr>
        <w:spacing w:before="0" w:after="0" w:line="480" w:lineRule="auto"/>
        <w:ind w:firstLine="0"/>
        <w:rPr>
          <w:rFonts w:cs="Arial"/>
          <w:iCs/>
        </w:rPr>
      </w:pPr>
      <w:r w:rsidRPr="000D1EAE">
        <w:rPr>
          <w:rFonts w:cs="Arial"/>
          <w:iCs/>
          <w:noProof/>
        </w:rPr>
        <w:drawing>
          <wp:inline distT="0" distB="0" distL="0" distR="0" wp14:anchorId="155B976A" wp14:editId="75CC6897">
            <wp:extent cx="8257789" cy="3784821"/>
            <wp:effectExtent l="0" t="0" r="0" b="0"/>
            <wp:docPr id="1687805073" name="Picture 5" descr="A diagram of different species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05073" name="Picture 5" descr="A diagram of different species distribution&#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8299743" cy="3804050"/>
                    </a:xfrm>
                    <a:prstGeom prst="rect">
                      <a:avLst/>
                    </a:prstGeom>
                  </pic:spPr>
                </pic:pic>
              </a:graphicData>
            </a:graphic>
          </wp:inline>
        </w:drawing>
      </w:r>
    </w:p>
    <w:p w14:paraId="2B95579D" w14:textId="77777777" w:rsidR="000D1EAE" w:rsidRPr="000D1EAE" w:rsidRDefault="000D1EAE" w:rsidP="000D1EAE">
      <w:pPr>
        <w:pStyle w:val="Caption1"/>
      </w:pPr>
      <w:r w:rsidRPr="000D1EAE">
        <w:t xml:space="preserve">Figure 6. Schematic illustration of the framework for deriving the impact of climate change on the spillover risk for the three New World Arenaviruses (NWAs) in South America. (Abbrev: ML: Machine Learning, CMIP6: Coupled Model Intercomparison Project phase 6, FOI: Force-of-Infection, H: Human Population/ unit area, R: Rodent Population/ unit area, </w:t>
      </w:r>
      <w:r w:rsidRPr="000D1EAE">
        <w:rPr>
          <w:bCs/>
        </w:rPr>
        <w:sym w:font="Symbol" w:char="F062"/>
      </w:r>
      <w:r w:rsidRPr="000D1EAE">
        <w:rPr>
          <w:bCs/>
        </w:rPr>
        <w:t>: transmission rate parameter)</w:t>
      </w:r>
    </w:p>
    <w:p w14:paraId="1B4EF908" w14:textId="77777777" w:rsidR="000D1EAE" w:rsidRPr="000D1EAE" w:rsidRDefault="000D1EAE" w:rsidP="000D1EAE">
      <w:pPr>
        <w:spacing w:after="0"/>
        <w:ind w:firstLine="0"/>
        <w:rPr>
          <w:iCs/>
          <w:color w:val="0E2841" w:themeColor="text2"/>
          <w:sz w:val="20"/>
          <w:szCs w:val="18"/>
        </w:rPr>
        <w:sectPr w:rsidR="000D1EAE" w:rsidRPr="000D1EAE" w:rsidSect="000D1EAE">
          <w:pgSz w:w="15840" w:h="12240" w:orient="landscape"/>
          <w:pgMar w:top="1440" w:right="1440" w:bottom="1440" w:left="1440" w:header="720" w:footer="720" w:gutter="0"/>
          <w:lnNumType w:countBy="1" w:restart="continuous"/>
          <w:cols w:space="720"/>
          <w:docGrid w:linePitch="360"/>
        </w:sectPr>
      </w:pPr>
    </w:p>
    <w:p w14:paraId="3FB456F6" w14:textId="77777777" w:rsidR="000D1EAE" w:rsidRPr="000D1EAE" w:rsidRDefault="000D1EAE" w:rsidP="000D1EAE">
      <w:pPr>
        <w:spacing w:after="0"/>
        <w:ind w:firstLine="0"/>
        <w:rPr>
          <w:iCs/>
          <w:color w:val="0E2841" w:themeColor="text2"/>
          <w:sz w:val="20"/>
          <w:szCs w:val="18"/>
        </w:rPr>
      </w:pPr>
    </w:p>
    <w:p w14:paraId="0478F7E8" w14:textId="2D06FD60" w:rsidR="000D1EAE" w:rsidRPr="000D1EAE" w:rsidRDefault="000D1EAE" w:rsidP="000D1EAE">
      <w:pPr>
        <w:spacing w:after="0"/>
        <w:rPr>
          <w:iCs/>
        </w:rPr>
      </w:pPr>
      <w:r w:rsidRPr="000D1EAE">
        <w:rPr>
          <w:iCs/>
        </w:rPr>
        <w:t>SDMs were developed by fitting four ensemble tree-based classifier algorithms, namely, random forest (rf), extra trees (et), extreme gradient boost (</w:t>
      </w:r>
      <w:proofErr w:type="spellStart"/>
      <w:r w:rsidRPr="000D1EAE">
        <w:rPr>
          <w:iCs/>
        </w:rPr>
        <w:t>xgb</w:t>
      </w:r>
      <w:proofErr w:type="spellEnd"/>
      <w:r w:rsidRPr="000D1EAE">
        <w:rPr>
          <w:iCs/>
        </w:rPr>
        <w:t>) and light gradient boosting machine (</w:t>
      </w:r>
      <w:proofErr w:type="spellStart"/>
      <w:r w:rsidRPr="000D1EAE">
        <w:rPr>
          <w:iCs/>
        </w:rPr>
        <w:t>lgbm</w:t>
      </w:r>
      <w:proofErr w:type="spellEnd"/>
      <w:r w:rsidRPr="000D1EAE">
        <w:rPr>
          <w:iCs/>
        </w:rPr>
        <w:t xml:space="preserve">). Data was split into train-test ratio of 4:1 (80% train; 20% test) and missing values were imputed using </w:t>
      </w:r>
      <w:proofErr w:type="spellStart"/>
      <w:r w:rsidRPr="000D1EAE">
        <w:rPr>
          <w:i/>
          <w:iCs/>
        </w:rPr>
        <w:t>SimpleImputer</w:t>
      </w:r>
      <w:proofErr w:type="spellEnd"/>
      <w:r w:rsidRPr="000D1EAE">
        <w:rPr>
          <w:i/>
          <w:iCs/>
        </w:rPr>
        <w:t>()</w:t>
      </w:r>
      <w:r w:rsidRPr="000D1EAE">
        <w:rPr>
          <w:iCs/>
        </w:rPr>
        <w:t xml:space="preserve"> from </w:t>
      </w:r>
      <w:r w:rsidRPr="000D1EAE">
        <w:rPr>
          <w:i/>
          <w:iCs/>
        </w:rPr>
        <w:t>scikit-learn</w:t>
      </w:r>
      <w:r w:rsidRPr="000D1EAE">
        <w:rPr>
          <w:iCs/>
        </w:rPr>
        <w:t xml:space="preserve"> python library </w:t>
      </w:r>
      <w:r w:rsidRPr="000D1EAE">
        <w:rPr>
          <w:iCs/>
        </w:rPr>
        <w:fldChar w:fldCharType="begin"/>
      </w:r>
      <w:r>
        <w:rPr>
          <w:iCs/>
        </w:rPr>
        <w:instrText xml:space="preserve"> ADDIN ZOTERO_ITEM CSL_CITATION {"citationID":"6mjGlKzx","properties":{"formattedCitation":"\\super 27\\nosupersub{}","plainCitation":"27","noteIndex":0},"citationItems":[{"id":725,"uris":["http://zotero.org/groups/5467322/items/K2GQ8CAZ","http://zotero.org/groups/5467322/items/QVIFRJX9"],"itemData":{"id":725,"type":"article-journal","abstract":"Scikit-learn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simpliﬁed BSD license, encouraging its use in both academic and commercial settings. Source code, binaries, and documentation can be downloaded from http://scikit-learn.sourceforge.net.","container-title":"MACHINE LEARNING IN PYTHON","language":"en","source":"Zotero","title":"Scikit-learn: Machine Learning in Python","author":[{"family":"Pedregosa","given":"Fabian"},{"family":"Varoquaux","given":"Gael"},{"family":"Gramfort","given":"Alexandre"},{"family":"Michel","given":"Vincent"},{"family":"Thirion","given":"Bertrand"},{"family":"Grisel","given":"Olivier"},{"family":"Blondel","given":"Mathieu"},{"family":"Prettenhofer","given":"Peter"},{"family":"Weiss","given":"Ron"},{"family":"Dubourg","given":"Vincent"},{"family":"Vanderplas","given":"Jake"},{"family":"Passos","given":"Alexandre"},{"family":"Cournapeau","given":"David"}]}}],"schema":"https://github.com/citation-style-language/schema/raw/master/csl-citation.json"} </w:instrText>
      </w:r>
      <w:r w:rsidRPr="000D1EAE">
        <w:rPr>
          <w:iCs/>
        </w:rPr>
        <w:fldChar w:fldCharType="separate"/>
      </w:r>
      <w:r w:rsidRPr="000D1EAE">
        <w:rPr>
          <w:rFonts w:cs="Arial"/>
          <w:kern w:val="0"/>
          <w:vertAlign w:val="superscript"/>
        </w:rPr>
        <w:t>27</w:t>
      </w:r>
      <w:r w:rsidRPr="000D1EAE">
        <w:rPr>
          <w:iCs/>
        </w:rPr>
        <w:fldChar w:fldCharType="end"/>
      </w:r>
      <w:r w:rsidRPr="000D1EAE">
        <w:rPr>
          <w:iCs/>
        </w:rPr>
        <w:t>. Each algorithm was trained with 5-fold cross validation and the predictions for training and the test set were generated to extract cross-validation accuracy, precision, recall and the F1 score based on (</w:t>
      </w:r>
      <w:proofErr w:type="spellStart"/>
      <w:r w:rsidRPr="000D1EAE">
        <w:rPr>
          <w:iCs/>
        </w:rPr>
        <w:t>i</w:t>
      </w:r>
      <w:proofErr w:type="spellEnd"/>
      <w:r w:rsidRPr="000D1EAE">
        <w:rPr>
          <w:iCs/>
        </w:rPr>
        <w:t>) 5-fold Cross Validation and (ii) test set confusion matrices. This process was iterated 100 times to add to the robustness of the models using 100 different presence-absence resamples from the occurrence data. </w:t>
      </w:r>
    </w:p>
    <w:p w14:paraId="2FCB3F45" w14:textId="77777777" w:rsidR="000D1EAE" w:rsidRPr="000D1EAE" w:rsidRDefault="000D1EAE" w:rsidP="000D1EAE">
      <w:pPr>
        <w:pStyle w:val="Heading3"/>
      </w:pPr>
      <w:proofErr w:type="spellStart"/>
      <w:r w:rsidRPr="000D1EAE">
        <w:t>Hypertuning</w:t>
      </w:r>
      <w:proofErr w:type="spellEnd"/>
      <w:r w:rsidRPr="000D1EAE">
        <w:t xml:space="preserve"> and Feature selection</w:t>
      </w:r>
    </w:p>
    <w:p w14:paraId="2347188E" w14:textId="48A90FD6" w:rsidR="000D1EAE" w:rsidRPr="000D1EAE" w:rsidRDefault="000D1EAE" w:rsidP="000D1EAE">
      <w:pPr>
        <w:spacing w:after="0"/>
        <w:rPr>
          <w:iCs/>
        </w:rPr>
      </w:pPr>
      <w:r w:rsidRPr="000D1EAE">
        <w:rPr>
          <w:iCs/>
        </w:rPr>
        <w:t xml:space="preserve">Since hyper tuning did not yield significant improvements to any of the four classifier algorithms (results not shown), the default hyper parameters were used. We expected a high level of collinearity between the rasters based on spatial correlation analysis (results not shown), given the nature of geospatial data. To counter this, a recursive feature selection (RFE) was performed in each iteration to improve the accuracy of the model without having potential issues with multicollinearity. In each iteration, 10 features were selected per classifier algorithm based on stratified cross validation of RFE performed before the iterative model training using </w:t>
      </w:r>
      <w:r w:rsidRPr="000D1EAE">
        <w:rPr>
          <w:i/>
          <w:iCs/>
        </w:rPr>
        <w:t>RFECV()</w:t>
      </w:r>
      <w:r w:rsidRPr="000D1EAE">
        <w:rPr>
          <w:iCs/>
        </w:rPr>
        <w:t xml:space="preserve"> from scikit-learn</w:t>
      </w:r>
      <w:r w:rsidRPr="000D1EAE">
        <w:rPr>
          <w:iCs/>
        </w:rPr>
        <w:fldChar w:fldCharType="begin"/>
      </w:r>
      <w:r>
        <w:rPr>
          <w:iCs/>
        </w:rPr>
        <w:instrText xml:space="preserve"> ADDIN ZOTERO_ITEM CSL_CITATION {"citationID":"qb01AHaL","properties":{"formattedCitation":"\\super 27\\nosupersub{}","plainCitation":"27","noteIndex":0},"citationItems":[{"id":725,"uris":["http://zotero.org/groups/5467322/items/K2GQ8CAZ","http://zotero.org/groups/5467322/items/QVIFRJX9"],"itemData":{"id":725,"type":"article-journal","abstract":"Scikit-learn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simpliﬁed BSD license, encouraging its use in both academic and commercial settings. Source code, binaries, and documentation can be downloaded from http://scikit-learn.sourceforge.net.","container-title":"MACHINE LEARNING IN PYTHON","language":"en","source":"Zotero","title":"Scikit-learn: Machine Learning in Python","author":[{"family":"Pedregosa","given":"Fabian"},{"family":"Varoquaux","given":"Gael"},{"family":"Gramfort","given":"Alexandre"},{"family":"Michel","given":"Vincent"},{"family":"Thirion","given":"Bertrand"},{"family":"Grisel","given":"Olivier"},{"family":"Blondel","given":"Mathieu"},{"family":"Prettenhofer","given":"Peter"},{"family":"Weiss","given":"Ron"},{"family":"Dubourg","given":"Vincent"},{"family":"Vanderplas","given":"Jake"},{"family":"Passos","given":"Alexandre"},{"family":"Cournapeau","given":"David"}]}}],"schema":"https://github.com/citation-style-language/schema/raw/master/csl-citation.json"} </w:instrText>
      </w:r>
      <w:r w:rsidRPr="000D1EAE">
        <w:rPr>
          <w:iCs/>
        </w:rPr>
        <w:fldChar w:fldCharType="separate"/>
      </w:r>
      <w:r w:rsidRPr="000D1EAE">
        <w:rPr>
          <w:rFonts w:cs="Arial"/>
          <w:kern w:val="0"/>
          <w:vertAlign w:val="superscript"/>
        </w:rPr>
        <w:t>27</w:t>
      </w:r>
      <w:r w:rsidRPr="000D1EAE">
        <w:rPr>
          <w:iCs/>
        </w:rPr>
        <w:fldChar w:fldCharType="end"/>
      </w:r>
      <w:r w:rsidRPr="000D1EAE">
        <w:rPr>
          <w:iCs/>
        </w:rPr>
        <w:t>. Final fitted models were taken as average of all the iterations and of the four classifier algorithms.</w:t>
      </w:r>
    </w:p>
    <w:p w14:paraId="7985B4EF" w14:textId="77777777" w:rsidR="000D1EAE" w:rsidRPr="000D1EAE" w:rsidRDefault="000D1EAE" w:rsidP="000D1EAE">
      <w:pPr>
        <w:pStyle w:val="Heading3"/>
      </w:pPr>
      <w:r w:rsidRPr="000D1EAE">
        <w:t>Model fitting, interpolation and projection</w:t>
      </w:r>
    </w:p>
    <w:p w14:paraId="14D65266" w14:textId="6DA29AFD" w:rsidR="000D1EAE" w:rsidRPr="000D1EAE" w:rsidRDefault="000D1EAE" w:rsidP="000D1EAE">
      <w:pPr>
        <w:spacing w:after="0"/>
        <w:rPr>
          <w:iCs/>
        </w:rPr>
      </w:pPr>
      <w:r w:rsidRPr="000D1EAE">
        <w:rPr>
          <w:iCs/>
        </w:rPr>
        <w:t xml:space="preserve">Based on the fitted models, the current distribution probabilities  of each rodent species were imputed to the geographical extent of their occurrence data using </w:t>
      </w:r>
      <w:proofErr w:type="spellStart"/>
      <w:r w:rsidRPr="000D1EAE">
        <w:rPr>
          <w:i/>
          <w:iCs/>
        </w:rPr>
        <w:t>pyimpute</w:t>
      </w:r>
      <w:proofErr w:type="spellEnd"/>
      <w:r w:rsidRPr="000D1EAE">
        <w:rPr>
          <w:i/>
          <w:iCs/>
        </w:rPr>
        <w:t xml:space="preserve"> </w:t>
      </w:r>
      <w:r w:rsidRPr="000D1EAE">
        <w:rPr>
          <w:iCs/>
        </w:rPr>
        <w:t xml:space="preserve">library in python </w:t>
      </w:r>
      <w:r w:rsidRPr="000D1EAE">
        <w:rPr>
          <w:iCs/>
        </w:rPr>
        <w:fldChar w:fldCharType="begin"/>
      </w:r>
      <w:r>
        <w:rPr>
          <w:iCs/>
        </w:rPr>
        <w:instrText xml:space="preserve"> ADDIN ZOTERO_ITEM CSL_CITATION {"citationID":"Wdm2kU87","properties":{"formattedCitation":"\\super 28\\nosupersub{}","plainCitation":"28","noteIndex":0},"citationItems":[{"id":729,"uris":["http://zotero.org/groups/5467322/items/WAPUDEKY"],"itemData":{"id":729,"type":"software","genre":"Python","license":"OSI Approved :: BSD License","medium":"OS Independent","source":"PyPI","title":"pyimpute: Utilities for applying scikit-learn to spatial datasets","title-short":"pyimpute","URL":"https://github.com/perrygeo/pyimpute","version":"0.3","author":[{"literal":"Matthew Perry"}],"accessed":{"date-parts":[["2024",11,25]]},"issued":{"date-parts":[["2022"]]}}}],"schema":"https://github.com/citation-style-language/schema/raw/master/csl-citation.json"} </w:instrText>
      </w:r>
      <w:r w:rsidRPr="000D1EAE">
        <w:rPr>
          <w:iCs/>
        </w:rPr>
        <w:fldChar w:fldCharType="separate"/>
      </w:r>
      <w:r w:rsidRPr="000D1EAE">
        <w:rPr>
          <w:rFonts w:cs="Arial"/>
          <w:kern w:val="0"/>
          <w:vertAlign w:val="superscript"/>
        </w:rPr>
        <w:t>28</w:t>
      </w:r>
      <w:r w:rsidRPr="000D1EAE">
        <w:rPr>
          <w:iCs/>
        </w:rPr>
        <w:fldChar w:fldCharType="end"/>
      </w:r>
      <w:r w:rsidRPr="000D1EAE">
        <w:rPr>
          <w:iCs/>
        </w:rPr>
        <w:t>. Similarly, the future distributions of the rodents in response to SSP 2-4.5 and SSP 5-8.5 scenarios of CMIP6 climate change were imputed based on the fitted models. Changes in the distribution probabilities were mapped on the raster for each of the scenarios by subtracting current probabilities from the future probabilities of species distribution. The process is illustrated in Figure 5. </w:t>
      </w:r>
    </w:p>
    <w:p w14:paraId="5254EFDA" w14:textId="77777777" w:rsidR="000D1EAE" w:rsidRPr="000D1EAE" w:rsidRDefault="000D1EAE" w:rsidP="000D1EAE">
      <w:pPr>
        <w:pStyle w:val="Heading2"/>
      </w:pPr>
      <w:r w:rsidRPr="000D1EAE">
        <w:t>Zoonotic risk for spillover and force of infection</w:t>
      </w:r>
    </w:p>
    <w:p w14:paraId="1F8260E1" w14:textId="77777777" w:rsidR="000D1EAE" w:rsidRPr="000D1EAE" w:rsidRDefault="000D1EAE" w:rsidP="000D1EAE">
      <w:pPr>
        <w:spacing w:after="0"/>
        <w:rPr>
          <w:iCs/>
        </w:rPr>
      </w:pPr>
      <w:r w:rsidRPr="000D1EAE">
        <w:rPr>
          <w:iCs/>
        </w:rPr>
        <w:t>Based on the distribution probabilities of the SDM for each rodent reservoir, a risk profile for human outbreak, i.e. zoonotic spillover of NWA, was modeled using infection dynamics simulation. The current and CMIP6 scenario-based projections of human population density were overlaid on the SDM probabilities to generate a risk profile based on the force of infection for NWA spillover. Force-of-infection (FOI) was calculated based on the contact rate between humans and the rodent reservoirs and the possibility of the rodent testing positive as reservoir for the NWA.</w:t>
      </w:r>
    </w:p>
    <w:p w14:paraId="67CB53AE" w14:textId="77777777" w:rsidR="000D1EAE" w:rsidRPr="000D1EAE" w:rsidRDefault="000D1EAE" w:rsidP="000D1EAE">
      <w:pPr>
        <w:spacing w:after="0"/>
        <w:rPr>
          <w:iCs/>
        </w:rPr>
      </w:pPr>
      <w:r w:rsidRPr="000D1EAE">
        <w:rPr>
          <w:iCs/>
        </w:rPr>
        <w:t>The mechanistic model used for estimating FOI was a density dependent contact rate model with binomial sampling as detailed in Eq 1.</w:t>
      </w:r>
    </w:p>
    <w:p w14:paraId="7E562009" w14:textId="77777777" w:rsidR="000D1EAE" w:rsidRPr="000D1EAE" w:rsidRDefault="000D1EAE" w:rsidP="000D1EAE">
      <w:pPr>
        <w:spacing w:before="0" w:after="0" w:line="480" w:lineRule="auto"/>
        <w:rPr>
          <w:rFonts w:cs="Arial"/>
          <w:iCs/>
        </w:rPr>
      </w:pPr>
      <m:oMath>
        <m:r>
          <w:rPr>
            <w:rFonts w:ascii="Cambria Math" w:hAnsi="Cambria Math" w:cs="Arial"/>
          </w:rPr>
          <m:t>FOI=β</m:t>
        </m:r>
        <m:f>
          <m:fPr>
            <m:ctrlPr>
              <w:rPr>
                <w:rFonts w:ascii="Cambria Math" w:hAnsi="Cambria Math" w:cs="Arial"/>
                <w:i/>
                <w:iCs/>
              </w:rPr>
            </m:ctrlPr>
          </m:fPr>
          <m:num>
            <m:r>
              <w:rPr>
                <w:rFonts w:ascii="Cambria Math" w:hAnsi="Cambria Math" w:cs="Arial"/>
              </w:rPr>
              <m:t>H × R</m:t>
            </m:r>
          </m:num>
          <m:den>
            <m:r>
              <w:rPr>
                <w:rFonts w:ascii="Cambria Math" w:hAnsi="Cambria Math" w:cs="Arial"/>
              </w:rPr>
              <m:t>(H+R)</m:t>
            </m:r>
          </m:den>
        </m:f>
        <m:r>
          <w:rPr>
            <w:rFonts w:ascii="Cambria Math" w:eastAsiaTheme="minorEastAsia" w:hAnsi="Cambria Math" w:cs="Arial"/>
          </w:rPr>
          <m:t xml:space="preserve"> </m:t>
        </m:r>
      </m:oMath>
      <w:r w:rsidRPr="000D1EAE">
        <w:rPr>
          <w:rFonts w:eastAsiaTheme="minorEastAsia" w:cs="Arial"/>
          <w:iCs/>
        </w:rPr>
        <w:tab/>
      </w:r>
      <w:r w:rsidRPr="000D1EAE">
        <w:rPr>
          <w:rFonts w:eastAsiaTheme="minorEastAsia" w:cs="Arial"/>
          <w:iCs/>
        </w:rPr>
        <w:tab/>
      </w:r>
      <w:r w:rsidRPr="000D1EAE">
        <w:rPr>
          <w:rFonts w:eastAsiaTheme="minorEastAsia" w:cs="Arial"/>
          <w:iCs/>
        </w:rPr>
        <w:tab/>
      </w:r>
      <w:r w:rsidRPr="000D1EAE">
        <w:rPr>
          <w:rFonts w:eastAsiaTheme="minorEastAsia" w:cs="Arial"/>
          <w:iCs/>
        </w:rPr>
        <w:tab/>
      </w:r>
      <w:r w:rsidRPr="000D1EAE">
        <w:rPr>
          <w:rFonts w:eastAsiaTheme="minorEastAsia" w:cs="Arial"/>
          <w:iCs/>
        </w:rPr>
        <w:tab/>
        <w:t>Eq (1)</w:t>
      </w:r>
    </w:p>
    <w:p w14:paraId="4917F3B4" w14:textId="52F561E5" w:rsidR="000D1EAE" w:rsidRPr="000D1EAE" w:rsidRDefault="000D1EAE" w:rsidP="000D1EAE">
      <w:pPr>
        <w:spacing w:after="0"/>
        <w:rPr>
          <w:iCs/>
        </w:rPr>
      </w:pPr>
      <w:r w:rsidRPr="000D1EAE">
        <w:rPr>
          <w:iCs/>
        </w:rPr>
        <w:t xml:space="preserve">Where, </w:t>
      </w:r>
      <m:oMath>
        <m:r>
          <w:rPr>
            <w:rFonts w:ascii="Cambria Math" w:hAnsi="Cambria Math"/>
          </w:rPr>
          <m:t>FOI</m:t>
        </m:r>
      </m:oMath>
      <w:r w:rsidRPr="000D1EAE">
        <w:rPr>
          <w:iCs/>
        </w:rPr>
        <w:t xml:space="preserve"> is the force of infection defined as the contact rate between susceptible humans and infectious rodents resulting in the successful transmission of infection, </w:t>
      </w:r>
      <m:oMath>
        <m:r>
          <w:rPr>
            <w:rFonts w:ascii="Cambria Math" w:hAnsi="Cambria Math"/>
          </w:rPr>
          <m:t>β</m:t>
        </m:r>
      </m:oMath>
      <w:r w:rsidRPr="000D1EAE">
        <w:rPr>
          <w:iCs/>
        </w:rPr>
        <w:t xml:space="preserve"> is the transmission rate parameter derived from review of analogous viral transmission dynamics studies (see Appendix: Force of Infection), </w:t>
      </w:r>
      <m:oMath>
        <m:r>
          <w:rPr>
            <w:rFonts w:ascii="Cambria Math" w:hAnsi="Cambria Math"/>
          </w:rPr>
          <m:t>H</m:t>
        </m:r>
      </m:oMath>
      <w:r w:rsidRPr="000D1EAE">
        <w:rPr>
          <w:iCs/>
        </w:rPr>
        <w:t xml:space="preserve"> is the population of susceptible humans set at 0.95 times that of total human population in the same geospatial coordinates of SDMs (author’s expertise and from study performed on Lassa Fever in Nigeria </w:t>
      </w:r>
      <w:r w:rsidRPr="000D1EAE">
        <w:rPr>
          <w:iCs/>
        </w:rPr>
        <w:fldChar w:fldCharType="begin"/>
      </w:r>
      <w:r>
        <w:rPr>
          <w:iCs/>
        </w:rPr>
        <w:instrText xml:space="preserve"> ADDIN ZOTERO_ITEM CSL_CITATION {"citationID":"V3YyFkhC","properties":{"formattedCitation":"\\super 29\\nosupersub{}","plainCitation":"29","noteIndex":0},"citationItems":[{"id":740,"uris":["http://zotero.org/groups/5467322/items/CTP95NUF"],"itemData":{"id":740,"type":"article-journal","container-title":"Heliyon","DOI":"10.1016/j.heliyon.2021.e07760","ISSN":"2405-8440","issue":"8","journalAbbreviation":"Heliyon","language":"English","note":"publisher: Elsevier\nPMID: 34430743","source":"www.cell.com","title":"A seasonal model to assess intervention strategies for preventing periodic recurrence of Lassa fever","URL":"https://www.cell.com/heliyon/abstract/S2405-8440(21)01863-6","volume":"7","author":[{"family":"Barua","given":"Saumen"},{"family":"Dénes","given":"Attila"},{"family":"Ibrahim","given":"Mahmoud A."}],"accessed":{"date-parts":[["2024",11,25]]},"issued":{"date-parts":[["2021",8,1]]}}}],"schema":"https://github.com/citation-style-language/schema/raw/master/csl-citation.json"} </w:instrText>
      </w:r>
      <w:r w:rsidRPr="000D1EAE">
        <w:rPr>
          <w:iCs/>
        </w:rPr>
        <w:fldChar w:fldCharType="separate"/>
      </w:r>
      <w:r w:rsidRPr="000D1EAE">
        <w:rPr>
          <w:rFonts w:cs="Arial"/>
          <w:kern w:val="0"/>
          <w:vertAlign w:val="superscript"/>
        </w:rPr>
        <w:t>29</w:t>
      </w:r>
      <w:r w:rsidRPr="000D1EAE">
        <w:rPr>
          <w:iCs/>
        </w:rPr>
        <w:fldChar w:fldCharType="end"/>
      </w:r>
      <w:r w:rsidRPr="000D1EAE">
        <w:rPr>
          <w:iCs/>
        </w:rPr>
        <w:t xml:space="preserve">) and </w:t>
      </w:r>
      <m:oMath>
        <m:r>
          <w:rPr>
            <w:rFonts w:ascii="Cambria Math" w:hAnsi="Cambria Math"/>
          </w:rPr>
          <m:t>R</m:t>
        </m:r>
      </m:oMath>
      <w:r w:rsidRPr="000D1EAE">
        <w:rPr>
          <w:iCs/>
        </w:rPr>
        <w:t xml:space="preserve"> is the infectious proportion of the </w:t>
      </w:r>
      <w:r w:rsidRPr="000D1EAE">
        <w:rPr>
          <w:iCs/>
        </w:rPr>
        <w:lastRenderedPageBreak/>
        <w:t xml:space="preserve">rodent population based on the binomial sampling between 1 and 15 rodents per grid cell, adjusted with the probability of presence of rodents in the given geospatial coordinates based of the SDMs. The denominator </w:t>
      </w:r>
      <m:oMath>
        <m:d>
          <m:dPr>
            <m:ctrlPr>
              <w:rPr>
                <w:rFonts w:ascii="Cambria Math" w:hAnsi="Cambria Math"/>
                <w:iCs/>
              </w:rPr>
            </m:ctrlPr>
          </m:dPr>
          <m:e>
            <m:r>
              <w:rPr>
                <w:rFonts w:ascii="Cambria Math" w:hAnsi="Cambria Math"/>
              </w:rPr>
              <m:t>H</m:t>
            </m:r>
            <m:r>
              <m:rPr>
                <m:sty m:val="p"/>
              </m:rPr>
              <w:rPr>
                <w:rFonts w:ascii="Cambria Math" w:hAnsi="Cambria Math"/>
              </w:rPr>
              <m:t>+</m:t>
            </m:r>
            <m:r>
              <w:rPr>
                <w:rFonts w:ascii="Cambria Math" w:hAnsi="Cambria Math"/>
              </w:rPr>
              <m:t>R</m:t>
            </m:r>
          </m:e>
        </m:d>
      </m:oMath>
      <w:r w:rsidRPr="000D1EAE">
        <w:rPr>
          <w:iCs/>
        </w:rPr>
        <w:t xml:space="preserve"> represents the total density of the interacting populations of human hosts and rodent reservoirs. Eq (1) was adapted from a generalized formula used in similar transmission studies of vector and rodent borne infections with and without the effect of climate change </w:t>
      </w:r>
      <w:r w:rsidRPr="000D1EAE">
        <w:rPr>
          <w:iCs/>
        </w:rPr>
        <w:fldChar w:fldCharType="begin"/>
      </w:r>
      <w:r>
        <w:rPr>
          <w:iCs/>
        </w:rPr>
        <w:instrText xml:space="preserve"> ADDIN ZOTERO_ITEM CSL_CITATION {"citationID":"BoKDAIGP","properties":{"formattedCitation":"\\super 30\\uc0\\u8211{}32\\nosupersub{}","plainCitation":"30–32","noteIndex":0},"citationItems":[{"id":731,"uris":["http://zotero.org/groups/5467322/items/FYV6Y22T"],"itemData":{"id":731,"type":"article-journal","abstract":"Transmission is the driving force in the dynamics of any infectious disease. A crucial element in understanding disease dynamics, therefore, is the ‘transmission term’ describing the rate at which susceptible hosts are ‘converted’ into infected hosts by their contact with infectious material. Recently, the conventional form of this term has been increasingly questioned, and new terminologies and conventions have been proposed. Here, therefore, we review the derivation of transmission terms, explain the basis of confusion, and provide clarification. The root of the problem has been a failure to include explicit consideration of the area occupied by a host population, alongside both the number of infectious hosts and their density within the population. We argue that the terms ‘density-dependent transmission’ and ‘frequency-dependent transmission’ remain valid and useful (though a ‘fuller’ transmission term for the former is identified), but that the terms ‘mass action’, ‘true mass action’ and ‘pseudo mass action’ are all unhelpful and should be dropped. Also, contrary to what has often been assumed, the distinction between homogeneous and heterogeneous mixing in a host population is orthogonal to the distinction between density- and frequency-dependent transmission modes.","container-title":"Epidemiology &amp; Infection","DOI":"10.1017/S0950268802007148","ISSN":"1469-4409, 0950-2688","issue":"1","language":"en","page":"147-153","source":"Cambridge University Press","title":"A clarification of transmission terms in host-microparasite models: numbers, densities and areas","title-short":"A clarification of transmission terms in host-microparasite models","volume":"129","author":[{"family":"Begon","given":"M."},{"family":"Bennett","given":"M."},{"family":"Bowers","given":"R. G."},{"family":"French","given":"N. P."},{"family":"Hazel","given":"S. M."},{"family":"Turner","given":"J."}],"issued":{"date-parts":[["2002",8]]}}},{"id":736,"uris":["http://zotero.org/groups/5467322/items/FGRVVTQE"],"itemData":{"id":736,"type":"article-journal","abstract":"Chagas disease, caused by the parasite Trypanosoma cruzi, is the most important vector-borne disease in Latin America. The vectors are insects belonging to the Triatominae (Hemiptera, Reduviidae), and are widely distributed in the Americas. Here, we assess the implications of climatic projections for 2050 on the geographical footprint of two of the main Chagas disease vectors: Rhodnius prolixus (tropical species) and Triatoma infestans (temperate species). We estimated the epidemiological implications of current to future transitions in the climatic niche in terms of changes in the force of infection (FOI) on the rural population of two countries: Venezuela (tropical) and Argentina (temperate). The climatic projections for 2050 showed heterogeneous impact on the climatic niches of both vector species, with a decreasing trend of suitability of areas that are currently at high-to-moderate transmission risk. Consequently, climatic projections affected differently the FOI for Chagas disease in Venezuela and Argentina. Despite the heterogeneous results, our main conclusions point out a decreasing trend in the number of new cases of Tr. cruzi human infections per year between current and future conditions using a climatic niche approach.","container-title":"Philosophical Transactions of the Royal Society B: Biological Sciences","DOI":"10.1098/rstb.2013.0560","issue":"1665","note":"publisher: Royal Society","page":"20130560","source":"royalsocietypublishing.org (Atypon)","title":"The impact of climate change on the geographical distribution of two vectors of Chagas disease: implications for the force of infection","title-short":"The impact of climate change on the geographical distribution of two vectors of Chagas disease","volume":"370","author":[{"family":"Medone","given":"Paula"},{"family":"Ceccarelli","given":"Soledad"},{"family":"Parham","given":"Paul E."},{"family":"Figuera","given":"Andreína"},{"family":"Rabinovich","given":"Jorge E."}],"issued":{"date-parts":[["2015",4,5]]}}},{"id":733,"uris":["http://zotero.org/groups/5467322/items/3I8WH2WE"],"itemData":{"id":733,"type":"article-journal","abstract":"Understanding the scaling of transmission is critical to predicting how infectious diseases will affect populations of different sizes and densities. The two classic “mean-field” epidemic models—either assuming density-dependent or frequency-dependent transmission—make predictions that are discordant with patterns seen in either within-population dynamics or across-population comparisons. In this paper, we propose that the source of this inconsistency lies in the greatly simplifying “mean-field” assumption of transmission within a fully-mixed population. Mixing in real populations is more accurately represented by a network of contacts, with interactions and infectious contacts confined to the local social neighborhood. We use network models to show that density-dependent transmission on heterogeneous networks often leads to apparent frequency dependency in the scaling of transmission across populations of different sizes. Network-methodology allows us to reconcile seemingly conflicting patterns of within- and across-population epidemiology.","container-title":"Interdisciplinary Perspectives on Infectious Diseases","DOI":"10.1155/2011/267049","ISSN":"1687-708X","journalAbbreviation":"Interdiscip Perspect Infect Dis","note":"PMID: 21436998\nPMCID: PMC3062980","page":"267049","source":"PubMed Central","title":"Pathogens, Social Networks, and the Paradox of Transmission Scaling","volume":"2011","author":[{"family":"Ferrari","given":"Matthew J."},{"family":"Perkins","given":"Sarah E."},{"family":"Pomeroy","given":"Laura W."},{"family":"Bjørnstad","given":"Ottar N."}],"issued":{"date-parts":[["2011"]]}}}],"schema":"https://github.com/citation-style-language/schema/raw/master/csl-citation.json"} </w:instrText>
      </w:r>
      <w:r w:rsidRPr="000D1EAE">
        <w:rPr>
          <w:iCs/>
        </w:rPr>
        <w:fldChar w:fldCharType="separate"/>
      </w:r>
      <w:r w:rsidRPr="000D1EAE">
        <w:rPr>
          <w:rFonts w:cs="Arial"/>
          <w:kern w:val="0"/>
          <w:vertAlign w:val="superscript"/>
        </w:rPr>
        <w:t>30–32</w:t>
      </w:r>
      <w:r w:rsidRPr="000D1EAE">
        <w:rPr>
          <w:iCs/>
        </w:rPr>
        <w:fldChar w:fldCharType="end"/>
      </w:r>
      <w:r w:rsidRPr="000D1EAE">
        <w:rPr>
          <w:iCs/>
        </w:rPr>
        <w:t>.</w:t>
      </w:r>
    </w:p>
    <w:p w14:paraId="36ED1296" w14:textId="0AC9995F" w:rsidR="000D1EAE" w:rsidRPr="000D1EAE" w:rsidRDefault="000D1EAE" w:rsidP="000D1EAE">
      <w:pPr>
        <w:spacing w:after="0"/>
        <w:rPr>
          <w:iCs/>
        </w:rPr>
      </w:pPr>
      <w:r w:rsidRPr="000D1EAE">
        <w:rPr>
          <w:iCs/>
        </w:rPr>
        <w:t xml:space="preserve">A similar methodology was followed using the projected SDM probabilities and the projected human population under the SSP 2-4.5 and SSP 5-8.5 scenarios of CMIP6 </w:t>
      </w:r>
      <w:r w:rsidRPr="000D1EAE">
        <w:rPr>
          <w:iCs/>
        </w:rPr>
        <w:fldChar w:fldCharType="begin"/>
      </w:r>
      <w:r>
        <w:rPr>
          <w:iCs/>
        </w:rPr>
        <w:instrText xml:space="preserve"> ADDIN ZOTERO_ITEM CSL_CITATION {"citationID":"a2qcfgclsvm","properties":{"formattedCitation":"\\super 33\\nosupersub{}","plainCitation":"33","noteIndex":0},"citationItems":[{"id":1060,"uris":["http://zotero.org/groups/5467322/items/D8WVWJQB"],"itemData":{"id":1060,"type":"article-journal","container-title":"Environmental Research Letters","DOI":"10.1088/1748-9326/11/8/084003","ISSN":"1748-9326","issue":"8","journalAbbreviation":"Environ. Res. Lett.","license":"http://iopscience.iop.org/info/page/text-and-data-mining","note":"publisher: IOP Publishing","page":"084003","source":"Crossref","title":"Spatially explicit global population scenarios consistent with the Shared Socioeconomic Pathways","volume":"11","author":[{"family":"Jones","given":"B"},{"family":"O’Neill","given":"B C"}],"issued":{"date-parts":[["2016",8,1]]}}}],"schema":"https://github.com/citation-style-language/schema/raw/master/csl-citation.json"} </w:instrText>
      </w:r>
      <w:r w:rsidRPr="000D1EAE">
        <w:rPr>
          <w:iCs/>
        </w:rPr>
        <w:fldChar w:fldCharType="separate"/>
      </w:r>
      <w:r w:rsidRPr="000D1EAE">
        <w:rPr>
          <w:rFonts w:cs="Arial"/>
          <w:kern w:val="0"/>
          <w:vertAlign w:val="superscript"/>
        </w:rPr>
        <w:t>33</w:t>
      </w:r>
      <w:r w:rsidRPr="000D1EAE">
        <w:rPr>
          <w:iCs/>
        </w:rPr>
        <w:fldChar w:fldCharType="end"/>
      </w:r>
      <w:r w:rsidRPr="000D1EAE">
        <w:rPr>
          <w:iCs/>
        </w:rPr>
        <w:t xml:space="preserve">. For generating these maps, the FOI of each reservoir species of the same virus were combined </w:t>
      </w:r>
      <m:oMath>
        <m:r>
          <w:rPr>
            <w:rFonts w:ascii="Cambria Math" w:hAnsi="Cambria Math"/>
          </w:rPr>
          <m:t>FO</m:t>
        </m:r>
        <m:sSubSup>
          <m:sSubSupPr>
            <m:ctrlPr>
              <w:rPr>
                <w:rFonts w:ascii="Cambria Math" w:hAnsi="Cambria Math"/>
                <w:i/>
                <w:iCs/>
              </w:rPr>
            </m:ctrlPr>
          </m:sSubSupPr>
          <m:e>
            <m:r>
              <w:rPr>
                <w:rFonts w:ascii="Cambria Math" w:hAnsi="Cambria Math"/>
              </w:rPr>
              <m:t>I</m:t>
            </m:r>
          </m:e>
          <m:sub>
            <m:r>
              <w:rPr>
                <w:rFonts w:ascii="Cambria Math" w:hAnsi="Cambria Math"/>
              </w:rPr>
              <m:t>virus</m:t>
            </m:r>
          </m:sub>
          <m:sup>
            <m:r>
              <w:rPr>
                <w:rFonts w:ascii="Cambria Math" w:hAnsi="Cambria Math"/>
              </w:rPr>
              <m:t>t</m:t>
            </m:r>
          </m:sup>
        </m:sSubSup>
        <m:r>
          <w:rPr>
            <w:rFonts w:ascii="Cambria Math" w:hAnsi="Cambria Math"/>
          </w:rPr>
          <m:t xml:space="preserve">= </m:t>
        </m:r>
        <m:nary>
          <m:naryPr>
            <m:chr m:val="∑"/>
            <m:limLoc m:val="undOvr"/>
            <m:ctrlPr>
              <w:rPr>
                <w:rFonts w:ascii="Cambria Math" w:hAnsi="Cambria Math"/>
                <w:i/>
                <w:iCs/>
              </w:rPr>
            </m:ctrlPr>
          </m:naryPr>
          <m:sub>
            <m:r>
              <w:rPr>
                <w:rFonts w:ascii="Cambria Math" w:hAnsi="Cambria Math"/>
              </w:rPr>
              <m:t>r=1</m:t>
            </m:r>
          </m:sub>
          <m:sup>
            <m:r>
              <w:rPr>
                <w:rFonts w:ascii="Cambria Math" w:hAnsi="Cambria Math"/>
              </w:rPr>
              <m:t>n</m:t>
            </m:r>
          </m:sup>
          <m:e>
            <m:r>
              <w:rPr>
                <w:rFonts w:ascii="Cambria Math" w:hAnsi="Cambria Math"/>
              </w:rPr>
              <m:t>FO</m:t>
            </m:r>
            <m:sSubSup>
              <m:sSubSupPr>
                <m:ctrlPr>
                  <w:rPr>
                    <w:rFonts w:ascii="Cambria Math" w:hAnsi="Cambria Math"/>
                    <w:i/>
                    <w:iCs/>
                  </w:rPr>
                </m:ctrlPr>
              </m:sSubSupPr>
              <m:e>
                <m:r>
                  <w:rPr>
                    <w:rFonts w:ascii="Cambria Math" w:hAnsi="Cambria Math"/>
                  </w:rPr>
                  <m:t>I</m:t>
                </m:r>
              </m:e>
              <m:sub>
                <m:r>
                  <w:rPr>
                    <w:rFonts w:ascii="Cambria Math" w:hAnsi="Cambria Math"/>
                  </w:rPr>
                  <m:t>r</m:t>
                </m:r>
              </m:sub>
              <m:sup>
                <m:r>
                  <w:rPr>
                    <w:rFonts w:ascii="Cambria Math" w:hAnsi="Cambria Math"/>
                  </w:rPr>
                  <m:t>t</m:t>
                </m:r>
              </m:sup>
            </m:sSubSup>
          </m:e>
        </m:nary>
      </m:oMath>
      <w:r w:rsidRPr="000D1EAE">
        <w:rPr>
          <w:iCs/>
        </w:rPr>
        <w:t xml:space="preserve"> where </w:t>
      </w:r>
      <m:oMath>
        <m:r>
          <w:rPr>
            <w:rFonts w:ascii="Cambria Math" w:hAnsi="Cambria Math"/>
          </w:rPr>
          <m:t>r</m:t>
        </m:r>
      </m:oMath>
      <w:r w:rsidRPr="000D1EAE">
        <w:rPr>
          <w:iCs/>
        </w:rPr>
        <w:t xml:space="preserve"> was the rodent reservoir and </w:t>
      </w:r>
      <m:oMath>
        <m:r>
          <w:rPr>
            <w:rFonts w:ascii="Cambria Math" w:hAnsi="Cambria Math"/>
          </w:rPr>
          <m:t>t ϵ {current, SSP 2-4.5, SSP 5-8.5}</m:t>
        </m:r>
      </m:oMath>
      <w:r w:rsidRPr="000D1EAE">
        <w:rPr>
          <w:iCs/>
        </w:rPr>
        <w:t xml:space="preserve">. </w:t>
      </w:r>
    </w:p>
    <w:p w14:paraId="3FEEE84C" w14:textId="77777777" w:rsidR="000D1EAE" w:rsidRPr="000D1EAE" w:rsidRDefault="000D1EAE" w:rsidP="000D1EAE">
      <w:pPr>
        <w:spacing w:after="0"/>
        <w:rPr>
          <w:iCs/>
        </w:rPr>
      </w:pPr>
      <w:r w:rsidRPr="000D1EAE">
        <w:rPr>
          <w:iCs/>
        </w:rPr>
        <w:t xml:space="preserve">The FOI of GTOV was formulated as </w:t>
      </w:r>
      <m:oMath>
        <m:r>
          <w:rPr>
            <w:rFonts w:ascii="Cambria Math" w:hAnsi="Cambria Math"/>
          </w:rPr>
          <m:t>FO</m:t>
        </m:r>
        <m:sSubSup>
          <m:sSubSupPr>
            <m:ctrlPr>
              <w:rPr>
                <w:rFonts w:ascii="Cambria Math" w:hAnsi="Cambria Math"/>
                <w:i/>
                <w:iCs/>
              </w:rPr>
            </m:ctrlPr>
          </m:sSubSupPr>
          <m:e>
            <m:r>
              <w:rPr>
                <w:rFonts w:ascii="Cambria Math" w:hAnsi="Cambria Math"/>
              </w:rPr>
              <m:t>I</m:t>
            </m:r>
          </m:e>
          <m:sub>
            <m:r>
              <w:rPr>
                <w:rFonts w:ascii="Cambria Math" w:hAnsi="Cambria Math"/>
              </w:rPr>
              <m:t>GTOV</m:t>
            </m:r>
          </m:sub>
          <m:sup>
            <m:r>
              <w:rPr>
                <w:rFonts w:ascii="Cambria Math" w:hAnsi="Cambria Math"/>
              </w:rPr>
              <m:t>current</m:t>
            </m:r>
          </m:sup>
        </m:sSubSup>
        <m:r>
          <w:rPr>
            <w:rFonts w:ascii="Cambria Math" w:hAnsi="Cambria Math"/>
          </w:rPr>
          <m:t>=FO</m:t>
        </m:r>
        <m:sSubSup>
          <m:sSubSupPr>
            <m:ctrlPr>
              <w:rPr>
                <w:rFonts w:ascii="Cambria Math" w:hAnsi="Cambria Math"/>
                <w:i/>
                <w:iCs/>
              </w:rPr>
            </m:ctrlPr>
          </m:sSubSupPr>
          <m:e>
            <m:r>
              <w:rPr>
                <w:rFonts w:ascii="Cambria Math" w:hAnsi="Cambria Math"/>
              </w:rPr>
              <m:t>I</m:t>
            </m:r>
          </m:e>
          <m:sub>
            <m:r>
              <w:rPr>
                <w:rFonts w:ascii="Cambria Math" w:hAnsi="Cambria Math"/>
              </w:rPr>
              <m:t>Z.brevicauda</m:t>
            </m:r>
          </m:sub>
          <m:sup>
            <m:r>
              <w:rPr>
                <w:rFonts w:ascii="Cambria Math" w:hAnsi="Cambria Math"/>
              </w:rPr>
              <m:t>current</m:t>
            </m:r>
          </m:sup>
        </m:sSubSup>
        <m:r>
          <w:rPr>
            <w:rFonts w:ascii="Cambria Math" w:hAnsi="Cambria Math"/>
          </w:rPr>
          <m:t>+FO</m:t>
        </m:r>
        <m:sSubSup>
          <m:sSubSupPr>
            <m:ctrlPr>
              <w:rPr>
                <w:rFonts w:ascii="Cambria Math" w:hAnsi="Cambria Math"/>
                <w:i/>
                <w:iCs/>
              </w:rPr>
            </m:ctrlPr>
          </m:sSubSupPr>
          <m:e>
            <m:r>
              <w:rPr>
                <w:rFonts w:ascii="Cambria Math" w:hAnsi="Cambria Math"/>
              </w:rPr>
              <m:t>I</m:t>
            </m:r>
          </m:e>
          <m:sub>
            <m:r>
              <w:rPr>
                <w:rFonts w:ascii="Cambria Math" w:hAnsi="Cambria Math"/>
              </w:rPr>
              <m:t>S.alstoni</m:t>
            </m:r>
          </m:sub>
          <m:sup>
            <m:r>
              <w:rPr>
                <w:rFonts w:ascii="Cambria Math" w:hAnsi="Cambria Math"/>
              </w:rPr>
              <m:t>current</m:t>
            </m:r>
          </m:sup>
        </m:sSubSup>
      </m:oMath>
      <w:r w:rsidRPr="000D1EAE">
        <w:rPr>
          <w:iCs/>
        </w:rPr>
        <w:t xml:space="preserve">. </w:t>
      </w:r>
    </w:p>
    <w:p w14:paraId="4B52835A" w14:textId="77777777" w:rsidR="000D1EAE" w:rsidRPr="000D1EAE" w:rsidRDefault="000D1EAE" w:rsidP="000D1EAE">
      <w:pPr>
        <w:spacing w:after="0"/>
        <w:rPr>
          <w:iCs/>
        </w:rPr>
      </w:pPr>
      <w:r w:rsidRPr="000D1EAE">
        <w:rPr>
          <w:iCs/>
        </w:rPr>
        <w:t xml:space="preserve">The FOI of JUNV was similarly formulated as </w:t>
      </w:r>
      <m:oMath>
        <m:r>
          <w:rPr>
            <w:rFonts w:ascii="Cambria Math" w:hAnsi="Cambria Math"/>
          </w:rPr>
          <m:t>FO</m:t>
        </m:r>
        <m:sSubSup>
          <m:sSubSupPr>
            <m:ctrlPr>
              <w:rPr>
                <w:rFonts w:ascii="Cambria Math" w:hAnsi="Cambria Math"/>
                <w:i/>
                <w:iCs/>
              </w:rPr>
            </m:ctrlPr>
          </m:sSubSupPr>
          <m:e>
            <m:r>
              <w:rPr>
                <w:rFonts w:ascii="Cambria Math" w:hAnsi="Cambria Math"/>
              </w:rPr>
              <m:t>I</m:t>
            </m:r>
          </m:e>
          <m:sub>
            <m:r>
              <w:rPr>
                <w:rFonts w:ascii="Cambria Math" w:hAnsi="Cambria Math"/>
              </w:rPr>
              <m:t>JUNV</m:t>
            </m:r>
          </m:sub>
          <m:sup>
            <m:r>
              <w:rPr>
                <w:rFonts w:ascii="Cambria Math" w:hAnsi="Cambria Math"/>
              </w:rPr>
              <m:t>current</m:t>
            </m:r>
          </m:sup>
        </m:sSubSup>
        <m:r>
          <w:rPr>
            <w:rFonts w:ascii="Cambria Math" w:hAnsi="Cambria Math"/>
          </w:rPr>
          <m:t>=FO</m:t>
        </m:r>
        <m:sSubSup>
          <m:sSubSupPr>
            <m:ctrlPr>
              <w:rPr>
                <w:rFonts w:ascii="Cambria Math" w:hAnsi="Cambria Math"/>
                <w:i/>
                <w:iCs/>
              </w:rPr>
            </m:ctrlPr>
          </m:sSubSupPr>
          <m:e>
            <m:r>
              <w:rPr>
                <w:rFonts w:ascii="Cambria Math" w:hAnsi="Cambria Math"/>
              </w:rPr>
              <m:t>I</m:t>
            </m:r>
          </m:e>
          <m:sub>
            <m:r>
              <w:rPr>
                <w:rFonts w:ascii="Cambria Math" w:hAnsi="Cambria Math"/>
              </w:rPr>
              <m:t>C.musculinus</m:t>
            </m:r>
          </m:sub>
          <m:sup>
            <m:r>
              <w:rPr>
                <w:rFonts w:ascii="Cambria Math" w:hAnsi="Cambria Math"/>
              </w:rPr>
              <m:t>current</m:t>
            </m:r>
          </m:sup>
        </m:sSubSup>
        <m:r>
          <w:rPr>
            <w:rFonts w:ascii="Cambria Math" w:hAnsi="Cambria Math"/>
          </w:rPr>
          <m:t>+FO</m:t>
        </m:r>
        <m:sSubSup>
          <m:sSubSupPr>
            <m:ctrlPr>
              <w:rPr>
                <w:rFonts w:ascii="Cambria Math" w:hAnsi="Cambria Math"/>
                <w:i/>
                <w:iCs/>
              </w:rPr>
            </m:ctrlPr>
          </m:sSubSupPr>
          <m:e>
            <m:r>
              <w:rPr>
                <w:rFonts w:ascii="Cambria Math" w:hAnsi="Cambria Math"/>
              </w:rPr>
              <m:t>I</m:t>
            </m:r>
          </m:e>
          <m:sub>
            <m:r>
              <w:rPr>
                <w:rFonts w:ascii="Cambria Math" w:hAnsi="Cambria Math"/>
              </w:rPr>
              <m:t>C.laucha</m:t>
            </m:r>
          </m:sub>
          <m:sup>
            <m:r>
              <w:rPr>
                <w:rFonts w:ascii="Cambria Math" w:hAnsi="Cambria Math"/>
              </w:rPr>
              <m:t>current</m:t>
            </m:r>
          </m:sup>
        </m:sSubSup>
        <m:r>
          <w:rPr>
            <w:rFonts w:ascii="Cambria Math" w:hAnsi="Cambria Math"/>
          </w:rPr>
          <m:t>+FO</m:t>
        </m:r>
        <m:sSubSup>
          <m:sSubSupPr>
            <m:ctrlPr>
              <w:rPr>
                <w:rFonts w:ascii="Cambria Math" w:hAnsi="Cambria Math"/>
                <w:i/>
                <w:iCs/>
              </w:rPr>
            </m:ctrlPr>
          </m:sSubSupPr>
          <m:e>
            <m:r>
              <w:rPr>
                <w:rFonts w:ascii="Cambria Math" w:hAnsi="Cambria Math"/>
              </w:rPr>
              <m:t>I</m:t>
            </m:r>
          </m:e>
          <m:sub>
            <m:r>
              <w:rPr>
                <w:rFonts w:ascii="Cambria Math" w:hAnsi="Cambria Math"/>
              </w:rPr>
              <m:t>O.flavescens</m:t>
            </m:r>
          </m:sub>
          <m:sup>
            <m:r>
              <w:rPr>
                <w:rFonts w:ascii="Cambria Math" w:hAnsi="Cambria Math"/>
              </w:rPr>
              <m:t>current</m:t>
            </m:r>
          </m:sup>
        </m:sSubSup>
      </m:oMath>
      <w:r w:rsidRPr="000D1EAE">
        <w:rPr>
          <w:iCs/>
        </w:rPr>
        <w:t xml:space="preserve">. The FOI for MACV was </w:t>
      </w:r>
      <m:oMath>
        <m:r>
          <w:rPr>
            <w:rFonts w:ascii="Cambria Math" w:hAnsi="Cambria Math"/>
          </w:rPr>
          <m:t>FO</m:t>
        </m:r>
        <m:sSubSup>
          <m:sSubSupPr>
            <m:ctrlPr>
              <w:rPr>
                <w:rFonts w:ascii="Cambria Math" w:hAnsi="Cambria Math"/>
                <w:i/>
                <w:iCs/>
              </w:rPr>
            </m:ctrlPr>
          </m:sSubSupPr>
          <m:e>
            <m:r>
              <w:rPr>
                <w:rFonts w:ascii="Cambria Math" w:hAnsi="Cambria Math"/>
              </w:rPr>
              <m:t>I</m:t>
            </m:r>
          </m:e>
          <m:sub>
            <m:r>
              <w:rPr>
                <w:rFonts w:ascii="Cambria Math" w:hAnsi="Cambria Math"/>
              </w:rPr>
              <m:t>JUNV</m:t>
            </m:r>
          </m:sub>
          <m:sup>
            <m:r>
              <w:rPr>
                <w:rFonts w:ascii="Cambria Math" w:hAnsi="Cambria Math"/>
              </w:rPr>
              <m:t>current</m:t>
            </m:r>
          </m:sup>
        </m:sSubSup>
        <m:r>
          <w:rPr>
            <w:rFonts w:ascii="Cambria Math" w:hAnsi="Cambria Math"/>
          </w:rPr>
          <m:t>=FO</m:t>
        </m:r>
        <m:sSubSup>
          <m:sSubSupPr>
            <m:ctrlPr>
              <w:rPr>
                <w:rFonts w:ascii="Cambria Math" w:hAnsi="Cambria Math"/>
                <w:i/>
                <w:iCs/>
              </w:rPr>
            </m:ctrlPr>
          </m:sSubSupPr>
          <m:e>
            <m:r>
              <w:rPr>
                <w:rFonts w:ascii="Cambria Math" w:hAnsi="Cambria Math"/>
              </w:rPr>
              <m:t>I</m:t>
            </m:r>
          </m:e>
          <m:sub>
            <m:r>
              <w:rPr>
                <w:rFonts w:ascii="Cambria Math" w:hAnsi="Cambria Math"/>
              </w:rPr>
              <m:t>C.callosus</m:t>
            </m:r>
          </m:sub>
          <m:sup>
            <m:r>
              <w:rPr>
                <w:rFonts w:ascii="Cambria Math" w:hAnsi="Cambria Math"/>
              </w:rPr>
              <m:t>current</m:t>
            </m:r>
          </m:sup>
        </m:sSubSup>
      </m:oMath>
      <w:r w:rsidRPr="000D1EAE">
        <w:rPr>
          <w:rFonts w:eastAsiaTheme="minorEastAsia"/>
          <w:iCs/>
        </w:rPr>
        <w:t>.</w:t>
      </w:r>
    </w:p>
    <w:p w14:paraId="3785E212" w14:textId="77777777" w:rsidR="000D1EAE" w:rsidRPr="000D1EAE" w:rsidRDefault="000D1EAE" w:rsidP="000D1EAE">
      <w:pPr>
        <w:spacing w:after="0"/>
        <w:rPr>
          <w:iCs/>
        </w:rPr>
      </w:pPr>
      <w:r w:rsidRPr="000D1EAE">
        <w:rPr>
          <w:iCs/>
        </w:rPr>
        <w:t xml:space="preserve">A similar process was repeated for </w:t>
      </w:r>
      <m:oMath>
        <m:r>
          <w:rPr>
            <w:rFonts w:ascii="Cambria Math" w:hAnsi="Cambria Math"/>
          </w:rPr>
          <m:t>FO</m:t>
        </m:r>
        <m:sSup>
          <m:sSupPr>
            <m:ctrlPr>
              <w:rPr>
                <w:rFonts w:ascii="Cambria Math" w:hAnsi="Cambria Math"/>
                <w:i/>
                <w:iCs/>
              </w:rPr>
            </m:ctrlPr>
          </m:sSupPr>
          <m:e>
            <m:r>
              <w:rPr>
                <w:rFonts w:ascii="Cambria Math" w:hAnsi="Cambria Math"/>
              </w:rPr>
              <m:t>I</m:t>
            </m:r>
          </m:e>
          <m:sup>
            <m:r>
              <w:rPr>
                <w:rFonts w:ascii="Cambria Math" w:hAnsi="Cambria Math"/>
              </w:rPr>
              <m:t>SSP 2-4.5</m:t>
            </m:r>
          </m:sup>
        </m:sSup>
      </m:oMath>
      <w:r w:rsidRPr="000D1EAE">
        <w:rPr>
          <w:iCs/>
        </w:rPr>
        <w:t xml:space="preserve"> and </w:t>
      </w:r>
      <m:oMath>
        <m:r>
          <w:rPr>
            <w:rFonts w:ascii="Cambria Math" w:hAnsi="Cambria Math"/>
          </w:rPr>
          <m:t>FO</m:t>
        </m:r>
        <m:sSup>
          <m:sSupPr>
            <m:ctrlPr>
              <w:rPr>
                <w:rFonts w:ascii="Cambria Math" w:hAnsi="Cambria Math"/>
                <w:i/>
                <w:iCs/>
              </w:rPr>
            </m:ctrlPr>
          </m:sSupPr>
          <m:e>
            <m:r>
              <w:rPr>
                <w:rFonts w:ascii="Cambria Math" w:hAnsi="Cambria Math"/>
              </w:rPr>
              <m:t>I</m:t>
            </m:r>
          </m:e>
          <m:sup>
            <m:r>
              <w:rPr>
                <w:rFonts w:ascii="Cambria Math" w:hAnsi="Cambria Math"/>
              </w:rPr>
              <m:t>SSP 5-8.5</m:t>
            </m:r>
          </m:sup>
        </m:sSup>
      </m:oMath>
      <w:r w:rsidRPr="000D1EAE">
        <w:rPr>
          <w:iCs/>
        </w:rPr>
        <w:t xml:space="preserve">. </w:t>
      </w:r>
    </w:p>
    <w:p w14:paraId="263EA63B" w14:textId="77777777" w:rsidR="000D1EAE" w:rsidRPr="000D1EAE" w:rsidRDefault="000D1EAE" w:rsidP="000D1EAE">
      <w:pPr>
        <w:spacing w:after="0"/>
        <w:rPr>
          <w:iCs/>
        </w:rPr>
      </w:pPr>
      <w:r w:rsidRPr="000D1EAE">
        <w:rPr>
          <w:iCs/>
        </w:rPr>
        <w:t>The differences (</w:t>
      </w:r>
      <m:oMath>
        <m:r>
          <w:rPr>
            <w:rFonts w:ascii="Cambria Math" w:hAnsi="Cambria Math"/>
          </w:rPr>
          <m:t>δ)</m:t>
        </m:r>
      </m:oMath>
      <w:r w:rsidRPr="000D1EAE">
        <w:rPr>
          <w:iCs/>
        </w:rPr>
        <w:t xml:space="preserve"> between the future climate change scenarios (SSP 2-4.5 and SSP 5-8.5) and the current scenario of FOI (</w:t>
      </w:r>
      <m:oMath>
        <m:sSubSup>
          <m:sSubSupPr>
            <m:ctrlPr>
              <w:rPr>
                <w:rFonts w:ascii="Cambria Math" w:hAnsi="Cambria Math"/>
                <w:i/>
                <w:iCs/>
              </w:rPr>
            </m:ctrlPr>
          </m:sSubSupPr>
          <m:e>
            <m:r>
              <w:rPr>
                <w:rFonts w:ascii="Cambria Math" w:hAnsi="Cambria Math"/>
              </w:rPr>
              <m:t>δ</m:t>
            </m:r>
          </m:e>
          <m:sub>
            <m:r>
              <w:rPr>
                <w:rFonts w:ascii="Cambria Math" w:hAnsi="Cambria Math"/>
              </w:rPr>
              <m:t>foi</m:t>
            </m:r>
          </m:sub>
          <m:sup>
            <m:r>
              <w:rPr>
                <w:rFonts w:ascii="Cambria Math" w:hAnsi="Cambria Math"/>
              </w:rPr>
              <m:t>ssp 2-4.5</m:t>
            </m:r>
          </m:sup>
        </m:sSubSup>
      </m:oMath>
      <w:r w:rsidRPr="000D1EAE">
        <w:rPr>
          <w:iCs/>
        </w:rPr>
        <w:t xml:space="preserve"> and </w:t>
      </w:r>
      <m:oMath>
        <m:sSubSup>
          <m:sSubSupPr>
            <m:ctrlPr>
              <w:rPr>
                <w:rFonts w:ascii="Cambria Math" w:hAnsi="Cambria Math"/>
                <w:i/>
                <w:iCs/>
              </w:rPr>
            </m:ctrlPr>
          </m:sSubSupPr>
          <m:e>
            <m:r>
              <w:rPr>
                <w:rFonts w:ascii="Cambria Math" w:hAnsi="Cambria Math"/>
              </w:rPr>
              <m:t>δ</m:t>
            </m:r>
          </m:e>
          <m:sub>
            <m:r>
              <w:rPr>
                <w:rFonts w:ascii="Cambria Math" w:hAnsi="Cambria Math"/>
              </w:rPr>
              <m:t>foi</m:t>
            </m:r>
          </m:sub>
          <m:sup>
            <m:r>
              <w:rPr>
                <w:rFonts w:ascii="Cambria Math" w:hAnsi="Cambria Math"/>
              </w:rPr>
              <m:t>ssp 5.85</m:t>
            </m:r>
          </m:sup>
        </m:sSubSup>
        <m:r>
          <w:rPr>
            <w:rFonts w:ascii="Cambria Math" w:hAnsi="Cambria Math"/>
          </w:rPr>
          <m:t xml:space="preserve"> </m:t>
        </m:r>
      </m:oMath>
      <w:r w:rsidRPr="000D1EAE">
        <w:rPr>
          <w:iCs/>
        </w:rPr>
        <w:t>) were calculated and scaled to be from -100% to +100%.</w:t>
      </w:r>
    </w:p>
    <w:p w14:paraId="48ACF841" w14:textId="76A9D683" w:rsidR="000D1EAE" w:rsidRDefault="000D1EAE" w:rsidP="000D1EAE">
      <w:pPr>
        <w:spacing w:after="0"/>
        <w:rPr>
          <w:iCs/>
        </w:rPr>
      </w:pPr>
      <w:r w:rsidRPr="000D1EAE">
        <w:rPr>
          <w:iCs/>
        </w:rPr>
        <w:t>The map depicting FOI for each of the three viruses under study was further reclassified in 10% quantiles and the geospatial zones which had FOI values in the top 10</w:t>
      </w:r>
      <w:r w:rsidRPr="000D1EAE">
        <w:rPr>
          <w:iCs/>
          <w:vertAlign w:val="superscript"/>
        </w:rPr>
        <w:t>th</w:t>
      </w:r>
      <w:r w:rsidRPr="000D1EAE">
        <w:rPr>
          <w:iCs/>
        </w:rPr>
        <w:t xml:space="preserve"> percentile (&gt;= 90% of the FOI estimated range across the geographical bounds of the raster) were depicted as potential hotspot zones for outbreak of zoonotic arenaviruses.</w:t>
      </w:r>
    </w:p>
    <w:p w14:paraId="3D2794FA" w14:textId="77777777" w:rsidR="007F40A1" w:rsidRPr="000D1EAE" w:rsidRDefault="007F40A1" w:rsidP="000D1EAE">
      <w:pPr>
        <w:spacing w:after="0"/>
        <w:rPr>
          <w:iCs/>
        </w:rPr>
      </w:pPr>
    </w:p>
    <w:p w14:paraId="2EBCA317" w14:textId="77777777" w:rsidR="000D1EAE" w:rsidRPr="000D1EAE" w:rsidRDefault="000D1EAE" w:rsidP="000D1EAE">
      <w:pPr>
        <w:pStyle w:val="Heading2"/>
        <w:rPr>
          <w:rFonts w:eastAsiaTheme="minorEastAsia"/>
        </w:rPr>
      </w:pPr>
      <w:r w:rsidRPr="000D1EAE">
        <w:rPr>
          <w:rFonts w:eastAsiaTheme="minorEastAsia"/>
        </w:rPr>
        <w:t>Association of changing risk with climate change</w:t>
      </w:r>
    </w:p>
    <w:p w14:paraId="15C97C27" w14:textId="77777777" w:rsidR="000D1EAE" w:rsidRPr="000D1EAE" w:rsidRDefault="000D1EAE" w:rsidP="000D1EAE">
      <w:pPr>
        <w:spacing w:after="0"/>
        <w:rPr>
          <w:rFonts w:eastAsiaTheme="minorEastAsia"/>
          <w:iCs/>
        </w:rPr>
      </w:pPr>
      <w:r w:rsidRPr="000D1EAE">
        <w:rPr>
          <w:iCs/>
        </w:rPr>
        <w:t xml:space="preserve">We modeled the associations between the changes in FOI and the changes in 24 bioclimatic and land-use features that were used to predict the species distribution patterns of three NWAs. </w:t>
      </w:r>
      <w:r w:rsidRPr="000D1EAE">
        <w:rPr>
          <w:i/>
          <w:iCs/>
        </w:rPr>
        <w:t>NDVI</w:t>
      </w:r>
      <w:r w:rsidRPr="000D1EAE">
        <w:rPr>
          <w:iCs/>
        </w:rPr>
        <w:t xml:space="preserve"> and </w:t>
      </w:r>
      <w:r w:rsidRPr="000D1EAE">
        <w:rPr>
          <w:i/>
          <w:iCs/>
        </w:rPr>
        <w:t>DEM</w:t>
      </w:r>
      <w:r w:rsidRPr="000D1EAE">
        <w:rPr>
          <w:iCs/>
        </w:rPr>
        <w:t xml:space="preserve"> features were dropped from these analyses due to a high number of missing values in the established resolution (0.042 degrees). The features were converted from raster data to tabular data for current and SSP scenarios. The difference between values was taken for each cell representing the features and the differences were scaled and centered to the mean. A similar process was repeated for the FOI rasters and a dataset representing the changes in the features and FOI was generated. The difference </w:t>
      </w:r>
      <w:r w:rsidRPr="000D1EAE">
        <w:rPr>
          <w:rFonts w:eastAsiaTheme="minorEastAsia"/>
          <w:iCs/>
        </w:rPr>
        <w:t>(</w:t>
      </w:r>
      <m:oMath>
        <m:r>
          <w:rPr>
            <w:rFonts w:ascii="Cambria Math" w:hAnsi="Cambria Math"/>
          </w:rPr>
          <m:t>δ)</m:t>
        </m:r>
      </m:oMath>
      <w:r w:rsidRPr="000D1EAE">
        <w:rPr>
          <w:iCs/>
        </w:rPr>
        <w:t xml:space="preserve"> between</w:t>
      </w:r>
      <w:r w:rsidRPr="000D1EAE" w:rsidDel="614F09B5">
        <w:rPr>
          <w:iCs/>
        </w:rPr>
        <w:t xml:space="preserve"> </w:t>
      </w:r>
      <w:r w:rsidRPr="000D1EAE">
        <w:rPr>
          <w:iCs/>
        </w:rPr>
        <w:t>future climate change scenarios (SSP 2-4.5 and SSP 5-8.5) and the current scenario of FOI (</w:t>
      </w:r>
      <m:oMath>
        <m:sSubSup>
          <m:sSubSupPr>
            <m:ctrlPr>
              <w:rPr>
                <w:rFonts w:ascii="Cambria Math" w:eastAsiaTheme="minorEastAsia" w:hAnsi="Cambria Math"/>
                <w:i/>
                <w:iCs/>
              </w:rPr>
            </m:ctrlPr>
          </m:sSubSupPr>
          <m:e>
            <m:r>
              <w:rPr>
                <w:rFonts w:ascii="Cambria Math" w:hAnsi="Cambria Math"/>
              </w:rPr>
              <m:t>δ</m:t>
            </m:r>
            <m:ctrlPr>
              <w:rPr>
                <w:rFonts w:ascii="Cambria Math" w:hAnsi="Cambria Math"/>
                <w:i/>
                <w:iCs/>
              </w:rPr>
            </m:ctrlPr>
          </m:e>
          <m:sub>
            <m:r>
              <w:rPr>
                <w:rFonts w:ascii="Cambria Math" w:hAnsi="Cambria Math"/>
              </w:rPr>
              <m:t>foi</m:t>
            </m:r>
            <m:ctrlPr>
              <w:rPr>
                <w:rFonts w:ascii="Cambria Math" w:hAnsi="Cambria Math"/>
                <w:i/>
                <w:iCs/>
              </w:rPr>
            </m:ctrlPr>
          </m:sub>
          <m:sup>
            <m:r>
              <w:rPr>
                <w:rFonts w:ascii="Cambria Math" w:eastAsiaTheme="minorEastAsia" w:hAnsi="Cambria Math"/>
              </w:rPr>
              <m:t>ssp 2-4.5</m:t>
            </m:r>
          </m:sup>
        </m:sSubSup>
      </m:oMath>
      <w:r w:rsidRPr="000D1EAE">
        <w:rPr>
          <w:rFonts w:eastAsiaTheme="minorEastAsia"/>
          <w:iCs/>
        </w:rPr>
        <w:t xml:space="preserve"> and </w:t>
      </w:r>
      <m:oMath>
        <m:sSubSup>
          <m:sSubSupPr>
            <m:ctrlPr>
              <w:rPr>
                <w:rFonts w:ascii="Cambria Math" w:eastAsiaTheme="minorEastAsia" w:hAnsi="Cambria Math"/>
                <w:i/>
                <w:iCs/>
              </w:rPr>
            </m:ctrlPr>
          </m:sSubSupPr>
          <m:e>
            <m:r>
              <w:rPr>
                <w:rFonts w:ascii="Cambria Math" w:eastAsiaTheme="minorEastAsia" w:hAnsi="Cambria Math"/>
              </w:rPr>
              <m:t>δ</m:t>
            </m:r>
          </m:e>
          <m:sub>
            <m:r>
              <w:rPr>
                <w:rFonts w:ascii="Cambria Math" w:eastAsiaTheme="minorEastAsia" w:hAnsi="Cambria Math"/>
              </w:rPr>
              <m:t>foi</m:t>
            </m:r>
          </m:sub>
          <m:sup>
            <m:r>
              <w:rPr>
                <w:rFonts w:ascii="Cambria Math" w:eastAsiaTheme="minorEastAsia" w:hAnsi="Cambria Math"/>
              </w:rPr>
              <m:t>ssp 5.85</m:t>
            </m:r>
          </m:sup>
        </m:sSubSup>
        <m:r>
          <w:rPr>
            <w:rFonts w:ascii="Cambria Math" w:eastAsiaTheme="minorEastAsia" w:hAnsi="Cambria Math"/>
          </w:rPr>
          <m:t xml:space="preserve"> </m:t>
        </m:r>
      </m:oMath>
      <w:r w:rsidRPr="000D1EAE">
        <w:rPr>
          <w:rFonts w:eastAsiaTheme="minorEastAsia"/>
          <w:iCs/>
        </w:rPr>
        <w:t>)</w:t>
      </w:r>
      <w:r w:rsidRPr="000D1EAE">
        <w:rPr>
          <w:iCs/>
        </w:rPr>
        <w:t xml:space="preserve"> estimates and the features (</w:t>
      </w:r>
      <m:oMath>
        <m:sSubSup>
          <m:sSubSupPr>
            <m:ctrlPr>
              <w:rPr>
                <w:rFonts w:ascii="Cambria Math" w:hAnsi="Cambria Math"/>
                <w:i/>
                <w:iCs/>
              </w:rPr>
            </m:ctrlPr>
          </m:sSubSupPr>
          <m:e>
            <m:sSubSup>
              <m:sSubSupPr>
                <m:ctrlPr>
                  <w:rPr>
                    <w:rFonts w:ascii="Cambria Math" w:hAnsi="Cambria Math"/>
                    <w:b/>
                    <w:bCs/>
                    <w:i/>
                    <w:iCs/>
                  </w:rPr>
                </m:ctrlPr>
              </m:sSubSupPr>
              <m:e>
                <m:r>
                  <m:rPr>
                    <m:sty m:val="b"/>
                  </m:rPr>
                  <w:rPr>
                    <w:rFonts w:ascii="Cambria Math" w:hAnsi="Cambria Math"/>
                  </w:rPr>
                  <m:t>Δ</m:t>
                </m:r>
              </m:e>
              <m:sub>
                <m:r>
                  <m:rPr>
                    <m:sty m:val="bi"/>
                  </m:rPr>
                  <w:rPr>
                    <w:rFonts w:ascii="Cambria Math" w:hAnsi="Cambria Math"/>
                  </w:rPr>
                  <m:t>f</m:t>
                </m:r>
              </m:sub>
              <m:sup>
                <m:r>
                  <m:rPr>
                    <m:sty m:val="bi"/>
                  </m:rPr>
                  <w:rPr>
                    <w:rFonts w:ascii="Cambria Math" w:eastAsiaTheme="minorEastAsia" w:hAnsi="Cambria Math"/>
                  </w:rPr>
                  <m:t>ssp 2-4.5</m:t>
                </m:r>
              </m:sup>
            </m:sSubSup>
            <m:r>
              <w:rPr>
                <w:rFonts w:ascii="Cambria Math" w:hAnsi="Cambria Math"/>
              </w:rPr>
              <m:t>ϵ{δ</m:t>
            </m:r>
          </m:e>
          <m:sub>
            <m:r>
              <w:rPr>
                <w:rFonts w:ascii="Cambria Math" w:hAnsi="Cambria Math"/>
              </w:rPr>
              <m:t>bclim1</m:t>
            </m:r>
          </m:sub>
          <m:sup>
            <m:r>
              <w:rPr>
                <w:rFonts w:ascii="Cambria Math" w:hAnsi="Cambria Math"/>
              </w:rPr>
              <m:t>ssp 2-4.5</m:t>
            </m:r>
          </m:sup>
        </m:sSubSup>
        <m:r>
          <w:rPr>
            <w:rFonts w:ascii="Cambria Math" w:hAnsi="Cambria Math"/>
          </w:rPr>
          <m:t xml:space="preserve">, </m:t>
        </m:r>
        <m:sSubSup>
          <m:sSubSupPr>
            <m:ctrlPr>
              <w:rPr>
                <w:rFonts w:ascii="Cambria Math" w:hAnsi="Cambria Math"/>
                <w:i/>
                <w:iCs/>
              </w:rPr>
            </m:ctrlPr>
          </m:sSubSupPr>
          <m:e>
            <m:r>
              <w:rPr>
                <w:rFonts w:ascii="Cambria Math" w:hAnsi="Cambria Math"/>
              </w:rPr>
              <m:t>δ</m:t>
            </m:r>
          </m:e>
          <m:sub>
            <m:r>
              <w:rPr>
                <w:rFonts w:ascii="Cambria Math" w:hAnsi="Cambria Math"/>
              </w:rPr>
              <m:t>bclim2</m:t>
            </m:r>
          </m:sub>
          <m:sup>
            <m:r>
              <w:rPr>
                <w:rFonts w:ascii="Cambria Math" w:hAnsi="Cambria Math"/>
              </w:rPr>
              <m:t>ssp 2-4.5</m:t>
            </m:r>
          </m:sup>
        </m:sSubSup>
        <m:r>
          <w:rPr>
            <w:rFonts w:ascii="Cambria Math" w:hAnsi="Cambria Math"/>
          </w:rPr>
          <m:t>…</m:t>
        </m:r>
        <m:sSubSup>
          <m:sSubSupPr>
            <m:ctrlPr>
              <w:rPr>
                <w:rFonts w:ascii="Cambria Math" w:hAnsi="Cambria Math"/>
                <w:i/>
                <w:iCs/>
              </w:rPr>
            </m:ctrlPr>
          </m:sSubSupPr>
          <m:e>
            <m:r>
              <w:rPr>
                <w:rFonts w:ascii="Cambria Math" w:hAnsi="Cambria Math"/>
              </w:rPr>
              <m:t>δ</m:t>
            </m:r>
          </m:e>
          <m:sub>
            <m:r>
              <w:rPr>
                <w:rFonts w:ascii="Cambria Math" w:hAnsi="Cambria Math"/>
              </w:rPr>
              <m:t>lucrop</m:t>
            </m:r>
          </m:sub>
          <m:sup>
            <m:r>
              <w:rPr>
                <w:rFonts w:ascii="Cambria Math" w:hAnsi="Cambria Math"/>
              </w:rPr>
              <m:t>ssp 2-4.5</m:t>
            </m:r>
          </m:sup>
        </m:sSubSup>
        <m:r>
          <w:rPr>
            <w:rFonts w:ascii="Cambria Math" w:hAnsi="Cambria Math"/>
          </w:rPr>
          <m:t xml:space="preserve">} ∀ f,  &amp; </m:t>
        </m:r>
        <m:sSubSup>
          <m:sSubSupPr>
            <m:ctrlPr>
              <w:rPr>
                <w:rFonts w:ascii="Cambria Math" w:hAnsi="Cambria Math"/>
                <w:b/>
                <w:bCs/>
                <w:i/>
                <w:iCs/>
              </w:rPr>
            </m:ctrlPr>
          </m:sSubSupPr>
          <m:e>
            <m:r>
              <m:rPr>
                <m:sty m:val="b"/>
              </m:rPr>
              <w:rPr>
                <w:rFonts w:ascii="Cambria Math" w:hAnsi="Cambria Math"/>
              </w:rPr>
              <m:t>Δ</m:t>
            </m:r>
          </m:e>
          <m:sub>
            <m:r>
              <m:rPr>
                <m:sty m:val="bi"/>
              </m:rPr>
              <w:rPr>
                <w:rFonts w:ascii="Cambria Math" w:hAnsi="Cambria Math"/>
              </w:rPr>
              <m:t>f</m:t>
            </m:r>
          </m:sub>
          <m:sup>
            <m:r>
              <m:rPr>
                <m:sty m:val="bi"/>
              </m:rPr>
              <w:rPr>
                <w:rFonts w:ascii="Cambria Math" w:hAnsi="Cambria Math"/>
              </w:rPr>
              <m:t>ssp 5-8.5</m:t>
            </m:r>
          </m:sup>
        </m:sSubSup>
        <m:r>
          <w:rPr>
            <w:rFonts w:ascii="Cambria Math" w:hAnsi="Cambria Math"/>
          </w:rPr>
          <m:t xml:space="preserve"> ϵ {</m:t>
        </m:r>
        <m:sSubSup>
          <m:sSubSupPr>
            <m:ctrlPr>
              <w:rPr>
                <w:rFonts w:ascii="Cambria Math" w:hAnsi="Cambria Math"/>
                <w:i/>
                <w:iCs/>
              </w:rPr>
            </m:ctrlPr>
          </m:sSubSupPr>
          <m:e>
            <m:r>
              <w:rPr>
                <w:rFonts w:ascii="Cambria Math" w:hAnsi="Cambria Math"/>
              </w:rPr>
              <m:t>δ</m:t>
            </m:r>
          </m:e>
          <m:sub>
            <m:r>
              <w:rPr>
                <w:rFonts w:ascii="Cambria Math" w:hAnsi="Cambria Math"/>
              </w:rPr>
              <m:t>bclim1</m:t>
            </m:r>
          </m:sub>
          <m:sup>
            <m:r>
              <w:rPr>
                <w:rFonts w:ascii="Cambria Math" w:hAnsi="Cambria Math"/>
              </w:rPr>
              <m:t>ssp 5-8.5</m:t>
            </m:r>
          </m:sup>
        </m:sSubSup>
        <m:r>
          <w:rPr>
            <w:rFonts w:ascii="Cambria Math" w:hAnsi="Cambria Math"/>
          </w:rPr>
          <m:t xml:space="preserve">, </m:t>
        </m:r>
        <m:sSubSup>
          <m:sSubSupPr>
            <m:ctrlPr>
              <w:rPr>
                <w:rFonts w:ascii="Cambria Math" w:hAnsi="Cambria Math"/>
                <w:i/>
                <w:iCs/>
              </w:rPr>
            </m:ctrlPr>
          </m:sSubSupPr>
          <m:e>
            <m:r>
              <w:rPr>
                <w:rFonts w:ascii="Cambria Math" w:hAnsi="Cambria Math"/>
              </w:rPr>
              <m:t>δ</m:t>
            </m:r>
          </m:e>
          <m:sub>
            <m:r>
              <w:rPr>
                <w:rFonts w:ascii="Cambria Math" w:hAnsi="Cambria Math"/>
              </w:rPr>
              <m:t>bclim2</m:t>
            </m:r>
          </m:sub>
          <m:sup>
            <m:r>
              <w:rPr>
                <w:rFonts w:ascii="Cambria Math" w:hAnsi="Cambria Math"/>
              </w:rPr>
              <m:t>ssp 5-8.5</m:t>
            </m:r>
          </m:sup>
        </m:sSubSup>
        <m:r>
          <w:rPr>
            <w:rFonts w:ascii="Cambria Math" w:hAnsi="Cambria Math"/>
          </w:rPr>
          <m:t>…</m:t>
        </m:r>
        <m:sSubSup>
          <m:sSubSupPr>
            <m:ctrlPr>
              <w:rPr>
                <w:rFonts w:ascii="Cambria Math" w:hAnsi="Cambria Math"/>
                <w:i/>
                <w:iCs/>
              </w:rPr>
            </m:ctrlPr>
          </m:sSubSupPr>
          <m:e>
            <m:r>
              <w:rPr>
                <w:rFonts w:ascii="Cambria Math" w:hAnsi="Cambria Math"/>
              </w:rPr>
              <m:t>δ</m:t>
            </m:r>
          </m:e>
          <m:sub>
            <m:r>
              <w:rPr>
                <w:rFonts w:ascii="Cambria Math" w:hAnsi="Cambria Math"/>
              </w:rPr>
              <m:t>lucrop</m:t>
            </m:r>
          </m:sub>
          <m:sup>
            <m:r>
              <w:rPr>
                <w:rFonts w:ascii="Cambria Math" w:hAnsi="Cambria Math"/>
              </w:rPr>
              <m:t>ssp 5-8.5</m:t>
            </m:r>
          </m:sup>
        </m:sSubSup>
        <m:r>
          <w:rPr>
            <w:rFonts w:ascii="Cambria Math" w:hAnsi="Cambria Math"/>
          </w:rPr>
          <m:t>} ∀ f)</m:t>
        </m:r>
      </m:oMath>
      <w:r w:rsidRPr="000D1EAE">
        <w:rPr>
          <w:rFonts w:eastAsiaTheme="minorEastAsia"/>
          <w:iCs/>
        </w:rPr>
        <w:t xml:space="preserve"> were used as inputs in a random forest regressor model for each of the three viruses. </w:t>
      </w:r>
      <w:r w:rsidRPr="000D1EAE">
        <w:rPr>
          <w:iCs/>
        </w:rPr>
        <w:t xml:space="preserve">A random forest regressor model was fitted to the resulting </w:t>
      </w:r>
      <m:oMath>
        <m:r>
          <w:rPr>
            <w:rFonts w:ascii="Cambria Math" w:hAnsi="Cambria Math"/>
          </w:rPr>
          <m:t>δ</m:t>
        </m:r>
      </m:oMath>
      <w:r w:rsidRPr="000D1EAE">
        <w:rPr>
          <w:rFonts w:eastAsiaTheme="minorEastAsia"/>
          <w:iCs/>
        </w:rPr>
        <w:t xml:space="preserve"> datasets with </w:t>
      </w:r>
      <m:oMath>
        <m:sSubSup>
          <m:sSubSupPr>
            <m:ctrlPr>
              <w:rPr>
                <w:rFonts w:ascii="Cambria Math" w:eastAsiaTheme="minorEastAsia" w:hAnsi="Cambria Math"/>
                <w:i/>
                <w:iCs/>
              </w:rPr>
            </m:ctrlPr>
          </m:sSubSupPr>
          <m:e>
            <m:r>
              <w:rPr>
                <w:rFonts w:ascii="Cambria Math" w:hAnsi="Cambria Math"/>
              </w:rPr>
              <m:t>δ</m:t>
            </m:r>
            <m:ctrlPr>
              <w:rPr>
                <w:rFonts w:ascii="Cambria Math" w:hAnsi="Cambria Math"/>
                <w:i/>
                <w:iCs/>
              </w:rPr>
            </m:ctrlPr>
          </m:e>
          <m:sub>
            <m:r>
              <w:rPr>
                <w:rFonts w:ascii="Cambria Math" w:hAnsi="Cambria Math"/>
              </w:rPr>
              <m:t>foi</m:t>
            </m:r>
            <m:ctrlPr>
              <w:rPr>
                <w:rFonts w:ascii="Cambria Math" w:hAnsi="Cambria Math"/>
                <w:i/>
                <w:iCs/>
              </w:rPr>
            </m:ctrlPr>
          </m:sub>
          <m:sup>
            <m:r>
              <w:rPr>
                <w:rFonts w:ascii="Cambria Math" w:eastAsiaTheme="minorEastAsia" w:hAnsi="Cambria Math"/>
              </w:rPr>
              <m:t>ssp 2.45</m:t>
            </m:r>
          </m:sup>
        </m:sSubSup>
      </m:oMath>
      <w:r w:rsidRPr="000D1EAE">
        <w:rPr>
          <w:rFonts w:eastAsiaTheme="minorEastAsia"/>
          <w:iCs/>
        </w:rPr>
        <w:t xml:space="preserve"> and </w:t>
      </w:r>
      <m:oMath>
        <m:sSubSup>
          <m:sSubSupPr>
            <m:ctrlPr>
              <w:rPr>
                <w:rFonts w:ascii="Cambria Math" w:eastAsiaTheme="minorEastAsia" w:hAnsi="Cambria Math"/>
                <w:i/>
                <w:iCs/>
              </w:rPr>
            </m:ctrlPr>
          </m:sSubSupPr>
          <m:e>
            <m:r>
              <w:rPr>
                <w:rFonts w:ascii="Cambria Math" w:eastAsiaTheme="minorEastAsia" w:hAnsi="Cambria Math"/>
              </w:rPr>
              <m:t>δ</m:t>
            </m:r>
          </m:e>
          <m:sub>
            <m:r>
              <w:rPr>
                <w:rFonts w:ascii="Cambria Math" w:eastAsiaTheme="minorEastAsia" w:hAnsi="Cambria Math"/>
              </w:rPr>
              <m:t>foi</m:t>
            </m:r>
          </m:sub>
          <m:sup>
            <m:r>
              <w:rPr>
                <w:rFonts w:ascii="Cambria Math" w:eastAsiaTheme="minorEastAsia" w:hAnsi="Cambria Math"/>
              </w:rPr>
              <m:t>ssp 5.85</m:t>
            </m:r>
          </m:sup>
        </m:sSubSup>
      </m:oMath>
      <w:r w:rsidRPr="000D1EAE">
        <w:rPr>
          <w:rFonts w:eastAsiaTheme="minorEastAsia"/>
          <w:iCs/>
        </w:rPr>
        <w:t xml:space="preserve"> serving as outcomes of the model and </w:t>
      </w:r>
      <m:oMath>
        <m:sSubSup>
          <m:sSubSupPr>
            <m:ctrlPr>
              <w:rPr>
                <w:rFonts w:ascii="Cambria Math" w:hAnsi="Cambria Math"/>
                <w:b/>
                <w:bCs/>
                <w:i/>
                <w:iCs/>
              </w:rPr>
            </m:ctrlPr>
          </m:sSubSupPr>
          <m:e>
            <m:r>
              <m:rPr>
                <m:sty m:val="b"/>
              </m:rPr>
              <w:rPr>
                <w:rFonts w:ascii="Cambria Math" w:hAnsi="Cambria Math"/>
              </w:rPr>
              <m:t>Δ</m:t>
            </m:r>
          </m:e>
          <m:sub>
            <m:r>
              <m:rPr>
                <m:sty m:val="bi"/>
              </m:rPr>
              <w:rPr>
                <w:rFonts w:ascii="Cambria Math" w:hAnsi="Cambria Math"/>
              </w:rPr>
              <m:t>f</m:t>
            </m:r>
          </m:sub>
          <m:sup>
            <m:r>
              <m:rPr>
                <m:sty m:val="bi"/>
              </m:rPr>
              <w:rPr>
                <w:rFonts w:ascii="Cambria Math" w:hAnsi="Cambria Math"/>
              </w:rPr>
              <m:t>ssp 2-4.5</m:t>
            </m:r>
          </m:sup>
        </m:sSubSup>
      </m:oMath>
      <w:r w:rsidRPr="000D1EAE">
        <w:rPr>
          <w:rFonts w:eastAsiaTheme="minorEastAsia"/>
          <w:b/>
          <w:bCs/>
          <w:iCs/>
        </w:rPr>
        <w:t xml:space="preserve"> </w:t>
      </w:r>
      <w:r w:rsidRPr="000D1EAE">
        <w:rPr>
          <w:rFonts w:eastAsiaTheme="minorEastAsia"/>
          <w:iCs/>
        </w:rPr>
        <w:t xml:space="preserve">and </w:t>
      </w:r>
      <m:oMath>
        <m:sSubSup>
          <m:sSubSupPr>
            <m:ctrlPr>
              <w:rPr>
                <w:rFonts w:ascii="Cambria Math" w:hAnsi="Cambria Math"/>
                <w:b/>
                <w:bCs/>
                <w:i/>
                <w:iCs/>
              </w:rPr>
            </m:ctrlPr>
          </m:sSubSupPr>
          <m:e>
            <m:r>
              <m:rPr>
                <m:sty m:val="b"/>
              </m:rPr>
              <w:rPr>
                <w:rFonts w:ascii="Cambria Math" w:hAnsi="Cambria Math"/>
              </w:rPr>
              <m:t>Δ</m:t>
            </m:r>
          </m:e>
          <m:sub>
            <m:r>
              <m:rPr>
                <m:sty m:val="bi"/>
              </m:rPr>
              <w:rPr>
                <w:rFonts w:ascii="Cambria Math" w:hAnsi="Cambria Math"/>
              </w:rPr>
              <m:t>f</m:t>
            </m:r>
          </m:sub>
          <m:sup>
            <m:r>
              <m:rPr>
                <m:sty m:val="bi"/>
              </m:rPr>
              <w:rPr>
                <w:rFonts w:ascii="Cambria Math" w:hAnsi="Cambria Math"/>
              </w:rPr>
              <m:t>ssp 5-8.5</m:t>
            </m:r>
          </m:sup>
        </m:sSubSup>
      </m:oMath>
      <w:r w:rsidRPr="000D1EAE">
        <w:rPr>
          <w:rFonts w:eastAsiaTheme="minorEastAsia"/>
          <w:b/>
          <w:bCs/>
          <w:iCs/>
        </w:rPr>
        <w:t xml:space="preserve"> </w:t>
      </w:r>
      <w:r w:rsidRPr="000D1EAE">
        <w:rPr>
          <w:rFonts w:eastAsiaTheme="minorEastAsia"/>
          <w:iCs/>
        </w:rPr>
        <w:t xml:space="preserve">serving as the features. </w:t>
      </w:r>
    </w:p>
    <w:p w14:paraId="6DACB2FD" w14:textId="022908F8" w:rsidR="000D1EAE" w:rsidRDefault="000D1EAE" w:rsidP="000D1EAE">
      <w:pPr>
        <w:spacing w:after="0"/>
        <w:rPr>
          <w:iCs/>
        </w:rPr>
      </w:pPr>
      <w:r w:rsidRPr="000D1EAE">
        <w:rPr>
          <w:iCs/>
        </w:rPr>
        <w:t>For each random forest model, the feature importances based on mean impurity reduction were plotted and the top three most important features were extracted for partial dependence plots (</w:t>
      </w:r>
      <w:proofErr w:type="spellStart"/>
      <w:r w:rsidRPr="000D1EAE">
        <w:rPr>
          <w:i/>
          <w:iCs/>
        </w:rPr>
        <w:t>PDPlots</w:t>
      </w:r>
      <w:proofErr w:type="spellEnd"/>
      <w:r w:rsidRPr="000D1EAE">
        <w:rPr>
          <w:iCs/>
        </w:rPr>
        <w:t xml:space="preserve">). The random forest models were initially developed using the ranger() package from R 4.1.1 </w:t>
      </w:r>
      <w:r w:rsidRPr="000D1EAE">
        <w:rPr>
          <w:iCs/>
        </w:rPr>
        <w:fldChar w:fldCharType="begin"/>
      </w:r>
      <w:r>
        <w:rPr>
          <w:iCs/>
        </w:rPr>
        <w:instrText xml:space="preserve"> ADDIN ZOTERO_ITEM CSL_CITATION {"citationID":"a2icgqd57t","properties":{"formattedCitation":"\\super 34\\nosupersub{}","plainCitation":"34","noteIndex":0},"citationItems":[{"id":797,"uris":["http://zotero.org/groups/5467322/items/WIPVACQP"],"itemData":{"id":797,"type":"article-journal","container-title":"Journal of Statistical Software","DOI":"10.18637/jss.v077.i01","ISSN":"1548-7660","issue":"1","journalAbbreviation":"J. Stat. Soft.","language":"en","source":"DOI.org (Crossref)","title":"&lt;b&gt;ranger&lt;/b&gt; : A Fast Implementation of Random Forests for High Dimensional Data in &lt;i&gt;C++&lt;/i&gt; and &lt;i&gt;R&lt;/i&gt;","title-short":"&lt;b&gt;ranger&lt;/b&gt;","URL":"http://www.jstatsoft.org/v77/i01/","volume":"77","author":[{"family":"Wright","given":"Marvin N."},{"family":"Ziegler","given":"Andreas"}],"accessed":{"date-parts":[["2025",1,13]]},"issued":{"date-parts":[["2017"]]}}}],"schema":"https://github.com/citation-style-language/schema/raw/master/csl-citation.json"} </w:instrText>
      </w:r>
      <w:r w:rsidRPr="000D1EAE">
        <w:rPr>
          <w:iCs/>
        </w:rPr>
        <w:fldChar w:fldCharType="separate"/>
      </w:r>
      <w:r w:rsidRPr="000D1EAE">
        <w:rPr>
          <w:rFonts w:cs="Arial"/>
          <w:kern w:val="0"/>
          <w:vertAlign w:val="superscript"/>
        </w:rPr>
        <w:t>34</w:t>
      </w:r>
      <w:r w:rsidRPr="000D1EAE">
        <w:rPr>
          <w:iCs/>
        </w:rPr>
        <w:fldChar w:fldCharType="end"/>
      </w:r>
      <w:r w:rsidRPr="000D1EAE">
        <w:rPr>
          <w:iCs/>
        </w:rPr>
        <w:t xml:space="preserve"> and finally fit in </w:t>
      </w:r>
      <w:r w:rsidRPr="000D1EAE">
        <w:rPr>
          <w:rFonts w:cs="Arial"/>
          <w:i/>
          <w:iCs/>
        </w:rPr>
        <w:t>sci-kit learn</w:t>
      </w:r>
      <w:r w:rsidRPr="000D1EAE">
        <w:rPr>
          <w:rFonts w:cs="Arial"/>
          <w:iCs/>
        </w:rPr>
        <w:t xml:space="preserve"> python library </w:t>
      </w:r>
      <w:r w:rsidRPr="000D1EAE">
        <w:rPr>
          <w:rFonts w:cs="Arial"/>
          <w:iCs/>
        </w:rPr>
        <w:fldChar w:fldCharType="begin"/>
      </w:r>
      <w:r>
        <w:rPr>
          <w:rFonts w:cs="Arial"/>
          <w:iCs/>
        </w:rPr>
        <w:instrText xml:space="preserve"> ADDIN ZOTERO_ITEM CSL_CITATION {"citationID":"dHenrd1q","properties":{"formattedCitation":"\\super 27\\nosupersub{}","plainCitation":"27","noteIndex":0},"citationItems":[{"id":725,"uris":["http://zotero.org/groups/5467322/items/K2GQ8CAZ","http://zotero.org/groups/5467322/items/QVIFRJX9"],"itemData":{"id":725,"type":"article-journal","abstract":"Scikit-learn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simpliﬁed BSD license, encouraging its use in both academic and commercial settings. Source code, binaries, and documentation can be downloaded from http://scikit-learn.sourceforge.net.","container-title":"MACHINE LEARNING IN PYTHON","language":"en","source":"Zotero","title":"Scikit-learn: Machine Learning in Python","author":[{"family":"Pedregosa","given":"Fabian"},{"family":"Varoquaux","given":"Gael"},{"family":"Gramfort","given":"Alexandre"},{"family":"Michel","given":"Vincent"},{"family":"Thirion","given":"Bertrand"},{"family":"Grisel","given":"Olivier"},{"family":"Blondel","given":"Mathieu"},{"family":"Prettenhofer","given":"Peter"},{"family":"Weiss","given":"Ron"},{"family":"Dubourg","given":"Vincent"},{"family":"Vanderplas","given":"Jake"},{"family":"Passos","given":"Alexandre"},{"family":"Cournapeau","given":"David"}]}}],"schema":"https://github.com/citation-style-language/schema/raw/master/csl-citation.json"} </w:instrText>
      </w:r>
      <w:r w:rsidRPr="000D1EAE">
        <w:rPr>
          <w:rFonts w:cs="Arial"/>
          <w:iCs/>
        </w:rPr>
        <w:fldChar w:fldCharType="separate"/>
      </w:r>
      <w:r w:rsidRPr="000D1EAE">
        <w:rPr>
          <w:rFonts w:cs="Arial"/>
          <w:kern w:val="0"/>
          <w:vertAlign w:val="superscript"/>
        </w:rPr>
        <w:t>27</w:t>
      </w:r>
      <w:r w:rsidRPr="000D1EAE">
        <w:rPr>
          <w:rFonts w:cs="Arial"/>
          <w:iCs/>
        </w:rPr>
        <w:fldChar w:fldCharType="end"/>
      </w:r>
      <w:r w:rsidRPr="000D1EAE">
        <w:rPr>
          <w:rFonts w:cs="Arial"/>
          <w:iCs/>
        </w:rPr>
        <w:t xml:space="preserve"> by using </w:t>
      </w:r>
      <w:r w:rsidRPr="000D1EAE">
        <w:rPr>
          <w:rFonts w:cs="Arial"/>
          <w:i/>
          <w:iCs/>
        </w:rPr>
        <w:t>RandomForestRegressor()</w:t>
      </w:r>
      <w:r w:rsidRPr="000D1EAE">
        <w:rPr>
          <w:rFonts w:cs="Arial"/>
          <w:iCs/>
        </w:rPr>
        <w:t xml:space="preserve"> function</w:t>
      </w:r>
      <w:r w:rsidRPr="000D1EAE">
        <w:rPr>
          <w:iCs/>
        </w:rPr>
        <w:t xml:space="preserve">. </w:t>
      </w:r>
      <w:proofErr w:type="spellStart"/>
      <w:r w:rsidRPr="000D1EAE">
        <w:rPr>
          <w:i/>
          <w:iCs/>
        </w:rPr>
        <w:t>PDPlots</w:t>
      </w:r>
      <w:proofErr w:type="spellEnd"/>
      <w:r w:rsidRPr="000D1EAE">
        <w:rPr>
          <w:iCs/>
        </w:rPr>
        <w:t xml:space="preserve"> of the top three features for each of the six models (three NWAs X</w:t>
      </w:r>
      <w:r w:rsidRPr="000D1EAE" w:rsidDel="6D5C762F">
        <w:rPr>
          <w:iCs/>
        </w:rPr>
        <w:t xml:space="preserve"> </w:t>
      </w:r>
      <w:r w:rsidRPr="000D1EAE">
        <w:rPr>
          <w:iCs/>
        </w:rPr>
        <w:t xml:space="preserve">two SSP </w:t>
      </w:r>
      <w:r w:rsidRPr="000D1EAE">
        <w:rPr>
          <w:iCs/>
        </w:rPr>
        <w:lastRenderedPageBreak/>
        <w:t xml:space="preserve">scenarios) were developed from average grid values and predicted outcomes using functions from scikit-learn, matplotlib and seaborn packages in python </w:t>
      </w:r>
      <w:r w:rsidRPr="000D1EAE">
        <w:rPr>
          <w:iCs/>
        </w:rPr>
        <w:fldChar w:fldCharType="begin"/>
      </w:r>
      <w:r>
        <w:rPr>
          <w:iCs/>
        </w:rPr>
        <w:instrText xml:space="preserve"> ADDIN ZOTERO_ITEM CSL_CITATION {"citationID":"SD4c5ClG","properties":{"formattedCitation":"\\super 27,35,36\\nosupersub{}","plainCitation":"27,35,36","noteIndex":0},"citationItems":[{"id":725,"uris":["http://zotero.org/groups/5467322/items/K2GQ8CAZ","http://zotero.org/groups/5467322/items/QVIFRJX9"],"itemData":{"id":725,"type":"article-journal","abstract":"Scikit-learn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simpliﬁed BSD license, encouraging its use in both academic and commercial settings. Source code, binaries, and documentation can be downloaded from http://scikit-learn.sourceforge.net.","container-title":"MACHINE LEARNING IN PYTHON","language":"en","source":"Zotero","title":"Scikit-learn: Machine Learning in Python","author":[{"family":"Pedregosa","given":"Fabian"},{"family":"Varoquaux","given":"Gael"},{"family":"Gramfort","given":"Alexandre"},{"family":"Michel","given":"Vincent"},{"family":"Thirion","given":"Bertrand"},{"family":"Grisel","given":"Olivier"},{"family":"Blondel","given":"Mathieu"},{"family":"Prettenhofer","given":"Peter"},{"family":"Weiss","given":"Ron"},{"family":"Dubourg","given":"Vincent"},{"family":"Vanderplas","given":"Jake"},{"family":"Passos","given":"Alexandre"},{"family":"Cournapeau","given":"David"}]}},{"id":928,"uris":["http://zotero.org/groups/5467322/items/GY94BW7Z"],"itemData":{"id":928,"type":"article-journal","container-title":"Journal of Open Source Software","DOI":"10.21105/joss.03021","ISSN":"2475-9066","issue":"60","journalAbbreviation":"JOSS","license":"http://creativecommons.org/licenses/by/4.0/","page":"3021","source":"DOI.org (Crossref)","title":"seaborn: statistical data visualization","title-short":"seaborn","volume":"6","author":[{"family":"Waskom","given":"Michael"}],"issued":{"date-parts":[["2021",4,6]]}}},{"id":927,"uris":["http://zotero.org/groups/5467322/items/WEXNE6MN"],"itemData":{"id":927,"type":"article-journal","container-title":"Computing in Science &amp; Engineering","DOI":"10.1109/MCSE.2007.55","ISSN":"1521-9615","issue":"3","journalAbbreviation":"Comput. Sci. Eng.","license":"https://ieeexplore.ieee.org/Xplorehelp/downloads/license-information/IEEE.html","page":"90-95","source":"DOI.org (Crossref)","title":"Matplotlib: A 2D Graphics Environment","title-short":"Matplotlib","volume":"9","author":[{"family":"Hunter","given":"John D."}],"issued":{"date-parts":[["2007"]]}}}],"schema":"https://github.com/citation-style-language/schema/raw/master/csl-citation.json"} </w:instrText>
      </w:r>
      <w:r w:rsidRPr="000D1EAE">
        <w:rPr>
          <w:iCs/>
        </w:rPr>
        <w:fldChar w:fldCharType="separate"/>
      </w:r>
      <w:r w:rsidRPr="000D1EAE">
        <w:rPr>
          <w:rFonts w:cs="Arial"/>
          <w:kern w:val="0"/>
          <w:vertAlign w:val="superscript"/>
        </w:rPr>
        <w:t>27,35,36</w:t>
      </w:r>
      <w:r w:rsidRPr="000D1EAE">
        <w:rPr>
          <w:iCs/>
        </w:rPr>
        <w:fldChar w:fldCharType="end"/>
      </w:r>
      <w:r w:rsidRPr="000D1EAE">
        <w:rPr>
          <w:iCs/>
        </w:rPr>
        <w:t>.</w:t>
      </w:r>
      <w:r w:rsidR="007F40A1">
        <w:rPr>
          <w:iCs/>
        </w:rPr>
        <w:t xml:space="preserve"> </w:t>
      </w:r>
    </w:p>
    <w:p w14:paraId="31CE7F94" w14:textId="77777777" w:rsidR="005A1F1F" w:rsidRDefault="005A1F1F" w:rsidP="000D1EAE">
      <w:pPr>
        <w:spacing w:after="0"/>
        <w:rPr>
          <w:iCs/>
        </w:rPr>
      </w:pPr>
    </w:p>
    <w:p w14:paraId="0A3D3877" w14:textId="0DE3298D" w:rsidR="00BC3D5B" w:rsidRDefault="005A1F1F" w:rsidP="00BC3D5B">
      <w:pPr>
        <w:pStyle w:val="Heading1"/>
      </w:pPr>
      <w:r>
        <w:t>Methodology discussion</w:t>
      </w:r>
    </w:p>
    <w:p w14:paraId="71F67BC2" w14:textId="253F58F9" w:rsidR="00BC3D5B" w:rsidRDefault="00BC3D5B" w:rsidP="00BC3D5B">
      <w:pPr>
        <w:spacing w:line="259" w:lineRule="auto"/>
      </w:pPr>
      <w:r w:rsidRPr="004B0A7A">
        <w:t xml:space="preserve">In our study, we restricted the focus to three NWAs--GTOV, MACV and JUNV--which have all been </w:t>
      </w:r>
      <w:r>
        <w:t xml:space="preserve">associated with </w:t>
      </w:r>
      <w:r w:rsidRPr="004B0A7A">
        <w:t xml:space="preserve">outbreaks of substantial </w:t>
      </w:r>
      <w:r>
        <w:t>magnitude</w:t>
      </w:r>
      <w:r w:rsidRPr="004B0A7A">
        <w:t xml:space="preserve"> </w:t>
      </w:r>
      <w:r w:rsidRPr="004B0A7A">
        <w:fldChar w:fldCharType="begin"/>
      </w:r>
      <w:r>
        <w:instrText xml:space="preserve"> ADDIN ZOTERO_ITEM CSL_CITATION {"citationID":"hISIXnnp","properties":{"formattedCitation":"\\super 37\\nosupersub{}","plainCitation":"37","noteIndex":0},"citationItems":[{"id":898,"uris":["http://zotero.org/groups/5467322/items/U6ZT5FYW"],"itemData":{"id":898,"type":"article-journal","abstract":"Despite repeated spillover transmission and their potential to cause significant morbidity and mortality in human hosts, the New World mammarenaviruses remain largely understudied. These viruses are endemic to South America, with animal reservoir hosts covering large geographic areas and whose transmission ecology and spillover potential are driven in part by land use change and agriculture that put humans in regular contact with zoonotic hosts.","container-title":"BMC Microbiology","DOI":"10.1186/s12866-024-03257-w","ISSN":"1471-2180","issue":"1","journalAbbreviation":"BMC Microbiol","language":"en","page":"115","source":"Springer Link","title":"A review of emerging health threats from zoonotic New World mammarenaviruses","volume":"24","author":[{"family":"Lendino","given":"Arianna"},{"family":"Castellanos","given":"Adrian A."},{"family":"Pigott","given":"David M."},{"family":"Han","given":"Barbara A."}],"issued":{"date-parts":[["2024",4,4]]}}}],"schema":"https://github.com/citation-style-language/schema/raw/master/csl-citation.json"} </w:instrText>
      </w:r>
      <w:r w:rsidRPr="004B0A7A">
        <w:fldChar w:fldCharType="separate"/>
      </w:r>
      <w:r w:rsidRPr="00CB43C6">
        <w:rPr>
          <w:rFonts w:cs="Arial"/>
          <w:kern w:val="0"/>
          <w:vertAlign w:val="superscript"/>
        </w:rPr>
        <w:t>37</w:t>
      </w:r>
      <w:r w:rsidRPr="004B0A7A">
        <w:fldChar w:fldCharType="end"/>
      </w:r>
      <w:r w:rsidRPr="004B0A7A">
        <w:t xml:space="preserve">. This restriction excludes </w:t>
      </w:r>
      <w:r>
        <w:t xml:space="preserve">nine </w:t>
      </w:r>
      <w:r w:rsidRPr="004B0A7A">
        <w:t xml:space="preserve">other potential NWAs out of 19 isolated and distinctly identified </w:t>
      </w:r>
      <w:proofErr w:type="spellStart"/>
      <w:r w:rsidRPr="004B0A7A">
        <w:t>mammarenaviruses</w:t>
      </w:r>
      <w:proofErr w:type="spellEnd"/>
      <w:r w:rsidRPr="004B0A7A">
        <w:t xml:space="preserve"> </w:t>
      </w:r>
      <w:r w:rsidRPr="004B0A7A">
        <w:fldChar w:fldCharType="begin"/>
      </w:r>
      <w:r w:rsidR="00E36CFD">
        <w:instrText xml:space="preserve"> ADDIN ZOTERO_ITEM CSL_CITATION {"citationID":"TLOfbXPr","properties":{"formattedCitation":"\\super 38\\nosupersub{}","plainCitation":"38","noteIndex":0},"citationItems":[{"id":885,"uris":["http://zotero.org/groups/5467322/items/7CIRQ966"],"itemData":{"id":885,"type":"article-journal","abstract":"In the Americas, infectious viral diseases caused by viruses of the genus Mammarenavirus have been reported since the 1960s. Such diseases have commonly been associated with land use changes, which favor abundance of generalist rodent species. In the Americas—where the rates of land use change are among the highest worldwide—at least 1326 of all 2277 known rodent species have been reported. We conducted a literature review of studies between 1960 and 2020, to establish the current and historical knowledge about genotypes of mammarenaviruses and their rodent reservoirs in the Americas. Our overall goal was to show the importance of focusing research efforts on the American continent, since the conditions exist for future viral hemorrhagic fever (VHF) outbreaks caused by rodent-borne viruses, in turn, carried by widely distributed rodents. We found 47 species identified down to the species level, and one species identified only down to the genus level (Oryzomys sp.), reported in the Americas as reservoirs of mammarenaviruses, most these are ecological generalists. These species associate with 29 genotypes of Mammarenavirus, seven of which have been linked to VHFs in humans. We also highlight the need to monitor these species, in order to prevent viral disease outbreaks in the region.","container-title":"EcoHealth","DOI":"10.1007/s10393-022-01580-0","ISSN":"1612-9210","issue":"1","journalAbbreviation":"EcoHealth","language":"en","page":"22-39","source":"Springer Link","title":"A Review of Mammarenaviruses and Rodent Reservoirs in the Americas","volume":"19","author":[{"family":"Tapia-Ramírez","given":"Gloria"},{"family":"Lorenzo","given":"Consuelo"},{"family":"Navarrete","given":"Darío"},{"family":"Carrillo-Reyes","given":"Arturo"},{"family":"Retana","given":"Óscar"},{"family":"Carrasco-Hernández","given":"Rocío"}],"issued":{"date-parts":[["2022",3,1]]}}}],"schema":"https://github.com/citation-style-language/schema/raw/master/csl-citation.json"} </w:instrText>
      </w:r>
      <w:r w:rsidRPr="004B0A7A">
        <w:fldChar w:fldCharType="separate"/>
      </w:r>
      <w:r w:rsidR="00E36CFD" w:rsidRPr="00E36CFD">
        <w:rPr>
          <w:rFonts w:cs="Arial"/>
          <w:kern w:val="0"/>
          <w:vertAlign w:val="superscript"/>
        </w:rPr>
        <w:t>38</w:t>
      </w:r>
      <w:r w:rsidRPr="004B0A7A">
        <w:fldChar w:fldCharType="end"/>
      </w:r>
      <w:r w:rsidRPr="004B0A7A">
        <w:t xml:space="preserve">. Several of these NWAs have been shown to be emergent, such as Sabia virus in Brazil, Chapare virus in Bolivia, </w:t>
      </w:r>
      <w:proofErr w:type="spellStart"/>
      <w:r w:rsidRPr="004B0A7A">
        <w:t>Pirital</w:t>
      </w:r>
      <w:proofErr w:type="spellEnd"/>
      <w:r w:rsidRPr="004B0A7A">
        <w:t xml:space="preserve"> virus and </w:t>
      </w:r>
      <w:proofErr w:type="spellStart"/>
      <w:r w:rsidRPr="004B0A7A">
        <w:t>Tacaribe</w:t>
      </w:r>
      <w:proofErr w:type="spellEnd"/>
      <w:r w:rsidRPr="004B0A7A">
        <w:t xml:space="preserve"> virus in Venezuela and Guyana</w:t>
      </w:r>
      <w:r>
        <w:t>.</w:t>
      </w:r>
      <w:r w:rsidRPr="004B0A7A">
        <w:t xml:space="preserve"> </w:t>
      </w:r>
      <w:r>
        <w:t xml:space="preserve">But </w:t>
      </w:r>
      <w:r w:rsidRPr="004B0A7A">
        <w:t xml:space="preserve">not many cases of these </w:t>
      </w:r>
      <w:r>
        <w:t xml:space="preserve">lesser-known NWAs </w:t>
      </w:r>
      <w:r w:rsidRPr="004B0A7A">
        <w:t xml:space="preserve">have been reported </w:t>
      </w:r>
      <w:r>
        <w:t xml:space="preserve">with a </w:t>
      </w:r>
      <w:r w:rsidRPr="004B0A7A">
        <w:t>confirmed</w:t>
      </w:r>
      <w:r>
        <w:t xml:space="preserve"> diagnosis</w:t>
      </w:r>
      <w:r w:rsidRPr="004B0A7A">
        <w:t xml:space="preserve"> or with </w:t>
      </w:r>
      <w:r>
        <w:t>acute deaths investigated</w:t>
      </w:r>
      <w:r w:rsidRPr="004B0A7A">
        <w:t xml:space="preserve"> </w:t>
      </w:r>
      <w:r w:rsidRPr="004B0A7A">
        <w:fldChar w:fldCharType="begin"/>
      </w:r>
      <w:r>
        <w:instrText xml:space="preserve"> ADDIN ZOTERO_ITEM CSL_CITATION {"citationID":"5OCee02d","properties":{"formattedCitation":"\\super 37\\nosupersub{}","plainCitation":"37","noteIndex":0},"citationItems":[{"id":898,"uris":["http://zotero.org/groups/5467322/items/U6ZT5FYW"],"itemData":{"id":898,"type":"article-journal","abstract":"Despite repeated spillover transmission and their potential to cause significant morbidity and mortality in human hosts, the New World mammarenaviruses remain largely understudied. These viruses are endemic to South America, with animal reservoir hosts covering large geographic areas and whose transmission ecology and spillover potential are driven in part by land use change and agriculture that put humans in regular contact with zoonotic hosts.","container-title":"BMC Microbiology","DOI":"10.1186/s12866-024-03257-w","ISSN":"1471-2180","issue":"1","journalAbbreviation":"BMC Microbiol","language":"en","page":"115","source":"Springer Link","title":"A review of emerging health threats from zoonotic New World mammarenaviruses","volume":"24","author":[{"family":"Lendino","given":"Arianna"},{"family":"Castellanos","given":"Adrian A."},{"family":"Pigott","given":"David M."},{"family":"Han","given":"Barbara A."}],"issued":{"date-parts":[["2024",4,4]]}}}],"schema":"https://github.com/citation-style-language/schema/raw/master/csl-citation.json"} </w:instrText>
      </w:r>
      <w:r w:rsidRPr="004B0A7A">
        <w:fldChar w:fldCharType="separate"/>
      </w:r>
      <w:r w:rsidRPr="00CB43C6">
        <w:rPr>
          <w:rFonts w:cs="Arial"/>
          <w:kern w:val="0"/>
          <w:vertAlign w:val="superscript"/>
        </w:rPr>
        <w:t>37</w:t>
      </w:r>
      <w:r w:rsidRPr="004B0A7A">
        <w:fldChar w:fldCharType="end"/>
      </w:r>
      <w:r w:rsidRPr="004B0A7A">
        <w:t xml:space="preserve">. This </w:t>
      </w:r>
      <w:r>
        <w:t xml:space="preserve">is further complicated by </w:t>
      </w:r>
      <w:r w:rsidRPr="395584EC">
        <w:rPr>
          <w:rFonts w:eastAsia="Arial" w:cs="Arial"/>
        </w:rPr>
        <w:t>inconsistent</w:t>
      </w:r>
      <w:r w:rsidRPr="004B0A7A">
        <w:t xml:space="preserve"> </w:t>
      </w:r>
      <w:r>
        <w:t xml:space="preserve">case reporting caused </w:t>
      </w:r>
      <w:r w:rsidRPr="004B0A7A">
        <w:t xml:space="preserve">by </w:t>
      </w:r>
      <w:r>
        <w:t>socio-economic</w:t>
      </w:r>
      <w:r w:rsidRPr="004B0A7A">
        <w:t xml:space="preserve"> concerns</w:t>
      </w:r>
      <w:r>
        <w:t>, lack of detection capabilities, etc</w:t>
      </w:r>
      <w:r w:rsidRPr="004B0A7A">
        <w:t xml:space="preserve">. </w:t>
      </w:r>
      <w:r>
        <w:t xml:space="preserve">Examples may include </w:t>
      </w:r>
      <w:r w:rsidRPr="004B0A7A">
        <w:t xml:space="preserve"> Venezuela, which stopped reporting hemorrhagic fever cases in 2008 due to </w:t>
      </w:r>
      <w:r>
        <w:t>socio-</w:t>
      </w:r>
      <w:r w:rsidRPr="004B0A7A">
        <w:t>political upheaval</w:t>
      </w:r>
      <w:r>
        <w:t>,</w:t>
      </w:r>
      <w:r w:rsidRPr="004B0A7A">
        <w:t xml:space="preserve"> or Bolivia which </w:t>
      </w:r>
      <w:r>
        <w:t xml:space="preserve">has </w:t>
      </w:r>
      <w:r w:rsidRPr="004B0A7A">
        <w:t>not reported cases</w:t>
      </w:r>
      <w:r>
        <w:t xml:space="preserve"> consistently</w:t>
      </w:r>
      <w:r w:rsidRPr="004B0A7A">
        <w:t xml:space="preserve"> since </w:t>
      </w:r>
      <w:r>
        <w:t xml:space="preserve">the </w:t>
      </w:r>
      <w:r w:rsidRPr="004B0A7A">
        <w:t>2017 BHF</w:t>
      </w:r>
      <w:r>
        <w:t xml:space="preserve"> outbreak due to agricultural concerns and lack of resources</w:t>
      </w:r>
      <w:r w:rsidRPr="004B0A7A">
        <w:t xml:space="preserve"> </w:t>
      </w:r>
      <w:r w:rsidRPr="004B0A7A">
        <w:fldChar w:fldCharType="begin"/>
      </w:r>
      <w:r>
        <w:instrText xml:space="preserve"> ADDIN ZOTERO_ITEM CSL_CITATION {"citationID":"Uwh01ENq","properties":{"formattedCitation":"\\super 37\\nosupersub{}","plainCitation":"37","noteIndex":0},"citationItems":[{"id":898,"uris":["http://zotero.org/groups/5467322/items/U6ZT5FYW"],"itemData":{"id":898,"type":"article-journal","abstract":"Despite repeated spillover transmission and their potential to cause significant morbidity and mortality in human hosts, the New World mammarenaviruses remain largely understudied. These viruses are endemic to South America, with animal reservoir hosts covering large geographic areas and whose transmission ecology and spillover potential are driven in part by land use change and agriculture that put humans in regular contact with zoonotic hosts.","container-title":"BMC Microbiology","DOI":"10.1186/s12866-024-03257-w","ISSN":"1471-2180","issue":"1","journalAbbreviation":"BMC Microbiol","language":"en","page":"115","source":"Springer Link","title":"A review of emerging health threats from zoonotic New World mammarenaviruses","volume":"24","author":[{"family":"Lendino","given":"Arianna"},{"family":"Castellanos","given":"Adrian A."},{"family":"Pigott","given":"David M."},{"family":"Han","given":"Barbara A."}],"issued":{"date-parts":[["2024",4,4]]}}}],"schema":"https://github.com/citation-style-language/schema/raw/master/csl-citation.json"} </w:instrText>
      </w:r>
      <w:r w:rsidRPr="004B0A7A">
        <w:fldChar w:fldCharType="separate"/>
      </w:r>
      <w:r w:rsidRPr="00CB43C6">
        <w:rPr>
          <w:rFonts w:cs="Arial"/>
          <w:kern w:val="0"/>
          <w:vertAlign w:val="superscript"/>
        </w:rPr>
        <w:t>37</w:t>
      </w:r>
      <w:r w:rsidRPr="004B0A7A">
        <w:fldChar w:fldCharType="end"/>
      </w:r>
      <w:r w:rsidRPr="004B0A7A">
        <w:t xml:space="preserve">. </w:t>
      </w:r>
      <w:r>
        <w:t>These gaps in the reporting could be ameliorated through strategic cooperation by developed countries in terms of public health resources, exchange of knowledge and creating awareness.</w:t>
      </w:r>
    </w:p>
    <w:p w14:paraId="17F6B6BE" w14:textId="63F8EA8B" w:rsidR="00BC3D5B" w:rsidRPr="004B0A7A" w:rsidRDefault="00BC3D5B" w:rsidP="00BC3D5B">
      <w:r>
        <w:t>W</w:t>
      </w:r>
      <w:r w:rsidRPr="00F05D1C">
        <w:t xml:space="preserve">e modeled </w:t>
      </w:r>
      <w:r>
        <w:t>known</w:t>
      </w:r>
      <w:r w:rsidRPr="00F05D1C">
        <w:t xml:space="preserve"> rodent reservoirs for NWAs, such as </w:t>
      </w:r>
      <w:r w:rsidRPr="352CFE06">
        <w:rPr>
          <w:i/>
        </w:rPr>
        <w:t>Z. brevicauda</w:t>
      </w:r>
      <w:r w:rsidRPr="00F05D1C">
        <w:t xml:space="preserve"> and </w:t>
      </w:r>
      <w:r w:rsidRPr="352CFE06">
        <w:rPr>
          <w:i/>
        </w:rPr>
        <w:t>S. alstoni</w:t>
      </w:r>
      <w:r w:rsidRPr="00F05D1C">
        <w:t xml:space="preserve"> for GTOV, </w:t>
      </w:r>
      <w:r w:rsidRPr="352CFE06">
        <w:rPr>
          <w:i/>
        </w:rPr>
        <w:t>C.callosus</w:t>
      </w:r>
      <w:r w:rsidRPr="00F05D1C">
        <w:t xml:space="preserve"> for MACV and </w:t>
      </w:r>
      <w:r w:rsidRPr="352CFE06">
        <w:rPr>
          <w:i/>
        </w:rPr>
        <w:t>C. musculinus, C. laucha</w:t>
      </w:r>
      <w:r w:rsidRPr="00F05D1C">
        <w:t xml:space="preserve"> and </w:t>
      </w:r>
      <w:r w:rsidRPr="352CFE06">
        <w:rPr>
          <w:i/>
        </w:rPr>
        <w:t>O. flavescens</w:t>
      </w:r>
      <w:r w:rsidRPr="00F05D1C">
        <w:t xml:space="preserve"> for JUNV.</w:t>
      </w:r>
      <w:r>
        <w:t xml:space="preserve"> However, r</w:t>
      </w:r>
      <w:r w:rsidRPr="004B0A7A">
        <w:t xml:space="preserve">odent species that are reservoirs for one virus might also be reservoirs for other similarly transmitted viruses and are thus non-specific reservoirs. For example, reservoirs of VHF caused by Guanarito have also been implicated </w:t>
      </w:r>
      <w:r>
        <w:t>in carrying viruses from the</w:t>
      </w:r>
      <w:r w:rsidRPr="004B0A7A">
        <w:t xml:space="preserve"> </w:t>
      </w:r>
      <w:proofErr w:type="spellStart"/>
      <w:r w:rsidRPr="00C10806">
        <w:rPr>
          <w:i/>
        </w:rPr>
        <w:t>Bunyaviridae</w:t>
      </w:r>
      <w:proofErr w:type="spellEnd"/>
      <w:r>
        <w:t xml:space="preserve"> family </w:t>
      </w:r>
      <w:r w:rsidRPr="004B0A7A">
        <w:t xml:space="preserve">as well as other Hantaviruses </w:t>
      </w:r>
      <w:r w:rsidRPr="004B0A7A">
        <w:fldChar w:fldCharType="begin"/>
      </w:r>
      <w:r w:rsidR="00E36CFD">
        <w:instrText xml:space="preserve"> ADDIN ZOTERO_ITEM CSL_CITATION {"citationID":"qLzpMrwh","properties":{"formattedCitation":"\\super 39\\nosupersub{}","plainCitation":"39","noteIndex":0},"citationItems":[{"id":874,"uris":["http://zotero.org/groups/5467322/items/4D54WKYV"],"itemData":{"id":874,"type":"chapter","abstract":"Bolivian hemorrhagic fever is a febrile illness caused by a New World Arenavirus, generally transmitted by contact with or inhalation of aerosolized rodents urine. Food can be contaminated by droppings of the infected rodents, becoming a source of infection for human beings. Person-to-person infection has been documented, but it is still considered very rare. After an incubation period of 1–2 weeks, the patient experiences chills, fever, headache, muscle ache, anorexia, nausea, and vomiting. The case-fatality rate is 15%–100%. In this article, epidemiological and clinical presentations are detailed and reviewed, and implications for food safety are included as this is a zoonotic foodborne disease.","container-title":"Reference Module in Food Science","ISBN":"978-0-08-100596-5","note":"DOI: 10.1016/B978-0-08-100596-5.22639-5","publisher":"Elsevier","source":"ScienceDirect","title":"Organisms of Concern But Not Foodborne or Confirmed Foodborne: Bolivian Hemorrhagic Fever Virus (Machupo Virus)</w:instrText>
      </w:r>
      <w:r w:rsidR="00E36CFD">
        <w:rPr>
          <w:rFonts w:ascii="Segoe UI Symbol" w:hAnsi="Segoe UI Symbol" w:cs="Segoe UI Symbol"/>
        </w:rPr>
        <w:instrText>☆</w:instrText>
      </w:r>
      <w:r w:rsidR="00E36CFD">
        <w:instrText xml:space="preserve">","title-short":"Organisms of Concern But Not Foodborne or Confirmed Foodborne","URL":"https://www.sciencedirect.com/science/article/pii/B9780081005965226395","author":[{"family":"Rodriguez-Morales","given":"Alfonso J."},{"family":"Castañeda-Hernández","given":"Diana M."},{"family":"Escalera-Antezana","given":"Juan Pablo"},{"family":"Alvarado-Arnez","given":"Lucia Elena"}],"accessed":{"date-parts":[["2025",2,20]]},"issued":{"date-parts":[["2019",1,1]]}}}],"schema":"https://github.com/citation-style-language/schema/raw/master/csl-citation.json"} </w:instrText>
      </w:r>
      <w:r w:rsidRPr="004B0A7A">
        <w:fldChar w:fldCharType="separate"/>
      </w:r>
      <w:r w:rsidR="00E36CFD" w:rsidRPr="00E36CFD">
        <w:rPr>
          <w:rFonts w:cs="Arial"/>
          <w:kern w:val="0"/>
          <w:vertAlign w:val="superscript"/>
        </w:rPr>
        <w:t>39</w:t>
      </w:r>
      <w:r w:rsidRPr="004B0A7A">
        <w:fldChar w:fldCharType="end"/>
      </w:r>
      <w:r>
        <w:t xml:space="preserve">. </w:t>
      </w:r>
      <w:r w:rsidRPr="004B0A7A">
        <w:t xml:space="preserve">The issue of </w:t>
      </w:r>
      <w:r>
        <w:t>putative</w:t>
      </w:r>
      <w:r w:rsidRPr="004B0A7A">
        <w:t xml:space="preserve"> rodent reservoirs is further complicated by the contentious classification of rodent species in the New World. Lendino et al. reported that the identification and classification of rodent reservoirs, especially those belonging to </w:t>
      </w:r>
      <w:proofErr w:type="spellStart"/>
      <w:r w:rsidRPr="00C10806">
        <w:rPr>
          <w:i/>
        </w:rPr>
        <w:t>Sigmodontinae</w:t>
      </w:r>
      <w:proofErr w:type="spellEnd"/>
      <w:r w:rsidRPr="004B0A7A">
        <w:t xml:space="preserve"> sub-family (New World rats and mice) </w:t>
      </w:r>
      <w:r w:rsidRPr="004B0A7A">
        <w:fldChar w:fldCharType="begin"/>
      </w:r>
      <w:r>
        <w:instrText xml:space="preserve"> ADDIN ZOTERO_ITEM CSL_CITATION {"citationID":"DJnsCyGE","properties":{"formattedCitation":"\\super 37\\nosupersub{}","plainCitation":"37","noteIndex":0},"citationItems":[{"id":898,"uris":["http://zotero.org/groups/5467322/items/U6ZT5FYW"],"itemData":{"id":898,"type":"article-journal","abstract":"Despite repeated spillover transmission and their potential to cause significant morbidity and mortality in human hosts, the New World mammarenaviruses remain largely understudied. These viruses are endemic to South America, with animal reservoir hosts covering large geographic areas and whose transmission ecology and spillover potential are driven in part by land use change and agriculture that put humans in regular contact with zoonotic hosts.","container-title":"BMC Microbiology","DOI":"10.1186/s12866-024-03257-w","ISSN":"1471-2180","issue":"1","journalAbbreviation":"BMC Microbiol","language":"en","page":"115","source":"Springer Link","title":"A review of emerging health threats from zoonotic New World mammarenaviruses","volume":"24","author":[{"family":"Lendino","given":"Arianna"},{"family":"Castellanos","given":"Adrian A."},{"family":"Pigott","given":"David M."},{"family":"Han","given":"Barbara A."}],"issued":{"date-parts":[["2024",4,4]]}}}],"schema":"https://github.com/citation-style-language/schema/raw/master/csl-citation.json"} </w:instrText>
      </w:r>
      <w:r w:rsidRPr="004B0A7A">
        <w:fldChar w:fldCharType="separate"/>
      </w:r>
      <w:r w:rsidRPr="00CB43C6">
        <w:rPr>
          <w:rFonts w:cs="Arial"/>
          <w:kern w:val="0"/>
          <w:vertAlign w:val="superscript"/>
        </w:rPr>
        <w:t>37</w:t>
      </w:r>
      <w:r w:rsidRPr="004B0A7A">
        <w:fldChar w:fldCharType="end"/>
      </w:r>
      <w:r w:rsidRPr="004B0A7A">
        <w:t xml:space="preserve">. The continuously expanding species diversity and </w:t>
      </w:r>
      <w:r>
        <w:t>evolving classification</w:t>
      </w:r>
      <w:r w:rsidRPr="004B0A7A">
        <w:t xml:space="preserve"> of these species (especially around </w:t>
      </w:r>
      <w:r>
        <w:t xml:space="preserve">the </w:t>
      </w:r>
      <w:r w:rsidRPr="004B0A7A">
        <w:t xml:space="preserve">Andes foothills </w:t>
      </w:r>
      <w:r w:rsidRPr="004B0A7A">
        <w:fldChar w:fldCharType="begin"/>
      </w:r>
      <w:r w:rsidR="00E36CFD">
        <w:instrText xml:space="preserve"> ADDIN ZOTERO_ITEM CSL_CITATION {"citationID":"b96Jsx6s","properties":{"formattedCitation":"\\super 40\\nosupersub{}","plainCitation":"40","noteIndex":0},"citationItems":[{"id":900,"uris":["http://zotero.org/groups/5467322/items/2BQII9HF"],"itemData":{"id":900,"type":"article-journal","abstract":"The Andean mountains stand out for their striking species richness and endemicity that characterize many emblematic Neotropical clades distributed in or around these mountains. The radiation of the Sigmodontinae subfamily, the most diversified mammalian group in the Neotropics, has been historically related to Andean orogenesis. We aim to evaluate this interplay between geological processes and biological responses through the diversification dynamics, the biogeographical history, and the range evolution of the subfamily. For these, we built the most comprehensive phylogeny and gathered 14,836 occurrences for the subfamily. We identified one shift in the speciation rate in the genus Akodon, which suffered their Andean radiation after the arrival of non-Andean ancestors. Our biogeographic analyses show multiple dispersal paths throughout the evolution that allowed this subfamily to colonize all Neotropics. The Northern Andes and Central-Southern Andes were the most important sources of diversity. In addition, the Central-Southern Andes were the most relevant sink, receiving the highest number of lineages. The Andean region exhibited higher speciation and turnover rates than non-Andean regions. Thus, our results support the crucial role of the Andean Mountains in the Sigmodontinae radiation, acting as a \"macroevolutionary cradle\" and \"species attractor\" for several sigmodontine lineages at different times, and as a \"species pump\" becoming the biogeographic source of multiple widely distributed neotropical lineages. Then, complex macroevolutionary dynamics would explain these rodents' high extant Andean diversity and their wide distribution in the Neotropics.","container-title":"Scientific Reports","DOI":"10.1038/s41598-023-28497-0","ISSN":"2045-2322","issue":"1","journalAbbreviation":"Sci Rep","language":"en","license":"2023 The Author(s)","note":"publisher: Nature Publishing Group","page":"2207","source":"www.nature.com","title":"The importance of the Andes in the evolutionary radiation of Sigmodontinae (Rodentia, Cricetidae), the most diverse group of mammals in the Neotropics","volume":"13","author":[{"family":"Vallejos-Garrido","given":"Paulo"},{"family":"Pino","given":"Kateryn"},{"family":"Espinoza-Aravena","given":"Nicolás"},{"family":"Pari","given":"Alexander"},{"family":"Inostroza-Michael","given":"Oscar"},{"family":"Toledo-Muñoz","given":"Macarena"},{"family":"Castillo-Ravanal","given":"Boris"},{"family":"Romero-Alarcón","given":"Viviana"},{"family":"Hernández","given":"Cristián E."},{"family":"Palma","given":"R. Eduardo"},{"family":"Rodríguez-Serrano","given":"Enrique"}],"issued":{"date-parts":[["2023",2,7]]}}}],"schema":"https://github.com/citation-style-language/schema/raw/master/csl-citation.json"} </w:instrText>
      </w:r>
      <w:r w:rsidRPr="004B0A7A">
        <w:fldChar w:fldCharType="separate"/>
      </w:r>
      <w:r w:rsidR="00E36CFD" w:rsidRPr="00E36CFD">
        <w:rPr>
          <w:rFonts w:cs="Arial"/>
          <w:kern w:val="0"/>
          <w:vertAlign w:val="superscript"/>
        </w:rPr>
        <w:t>40</w:t>
      </w:r>
      <w:r w:rsidRPr="004B0A7A">
        <w:fldChar w:fldCharType="end"/>
      </w:r>
      <w:r w:rsidRPr="004B0A7A">
        <w:t>), combined with different nomenclature and local names, makes it difficult to study as well as target reservoirs species of NWAs. To circumvent this issue, we applied</w:t>
      </w:r>
      <w:r>
        <w:t xml:space="preserve"> a</w:t>
      </w:r>
      <w:r w:rsidRPr="004B0A7A">
        <w:t xml:space="preserve"> species distribution model for rodent reservoirs that was not limited to </w:t>
      </w:r>
      <w:r>
        <w:t xml:space="preserve">the </w:t>
      </w:r>
      <w:r w:rsidRPr="004B0A7A">
        <w:t xml:space="preserve">extent of historically endemic zones of NWAs but rather by the geographical extent of reported </w:t>
      </w:r>
      <w:r>
        <w:t xml:space="preserve">suitable? </w:t>
      </w:r>
      <w:r w:rsidRPr="004B0A7A">
        <w:t>habitat zones of the rodents. A macro-ecological outlook that is reservoir</w:t>
      </w:r>
      <w:r>
        <w:t>-</w:t>
      </w:r>
      <w:r w:rsidRPr="004B0A7A">
        <w:t>centric rather than disease outbreak</w:t>
      </w:r>
      <w:r>
        <w:t>-</w:t>
      </w:r>
      <w:r w:rsidRPr="004B0A7A">
        <w:t xml:space="preserve">centric could be more helpful </w:t>
      </w:r>
      <w:r>
        <w:t xml:space="preserve">given the </w:t>
      </w:r>
      <w:r w:rsidRPr="004B0A7A">
        <w:t xml:space="preserve">lack of clarity on reservoir species diversity and their classification </w:t>
      </w:r>
      <w:r w:rsidRPr="004B0A7A">
        <w:fldChar w:fldCharType="begin"/>
      </w:r>
      <w:r w:rsidR="00E36CFD">
        <w:instrText xml:space="preserve"> ADDIN ZOTERO_ITEM CSL_CITATION {"citationID":"nDLI0VYX","properties":{"formattedCitation":"\\super 41\\nosupersub{}","plainCitation":"41","noteIndex":0},"citationItems":[{"id":889,"uris":["http://zotero.org/groups/5467322/items/GJ5NEMDV"],"itemData":{"id":889,"type":"article-journal","abstract":"Our understanding of ecological processes is built on patterns inferred from data. Applying modern analytical tools such as machine learning to increasingly high dimensional data offers the potential to expand our perspectives on these processes, shedding new light on complex ecological phenomena such as pathogen transmission in wild populations. Here, we propose a novel approach that combines data mining with theoretical models of disease dynamics. Using rodents as an example, we incorporate statistical differences in the life history features of zoonotic reservoir hosts into pathogen transmission models, enabling us to bound the range of dynamical phenomena associated with hosts, based on their traits. We then test for associations between equilibrium prevalence, a key epidemiological metric and data on human outbreaks of rodent-borne zoonoses, identifying matches between empirical evidence and theoretical predictions of transmission dynamics. We show how this framework can be generalized to other systems through a rubric of disease models and parameters that can be derived from empirical data. By linking life history components directly to their effects on disease dynamics, our mining-modelling approach integrates machine learning and theoretical models to explore mechanisms in the macroecology of pathogen transmission and their consequences for spillover infection to humans.","container-title":"Ecology Letters","DOI":"10.1111/ele.13520","ISSN":"1461-0248","issue":"8","language":"en","license":"© 2020 The Authors. Ecology Letters published by CNRS and John Wiley &amp; Sons Ltd","note":"_eprint: https://onlinelibrary.wiley.com/doi/pdf/10.1111/ele.13520","page":"1178-1188","source":"Wiley Online Library","title":"Integrating data mining and transmission theory in the ecology of infectious diseases","volume":"23","author":[{"family":"Han","given":"Barbara A."},{"family":"O’Regan","given":"Suzanne M."},{"family":"Paul Schmidt","given":"John"},{"family":"Drake","given":"John M."}],"issued":{"date-parts":[["2020"]]}}}],"schema":"https://github.com/citation-style-language/schema/raw/master/csl-citation.json"} </w:instrText>
      </w:r>
      <w:r w:rsidRPr="004B0A7A">
        <w:fldChar w:fldCharType="separate"/>
      </w:r>
      <w:r w:rsidR="00E36CFD" w:rsidRPr="00E36CFD">
        <w:rPr>
          <w:rFonts w:cs="Arial"/>
          <w:kern w:val="0"/>
          <w:vertAlign w:val="superscript"/>
        </w:rPr>
        <w:t>41</w:t>
      </w:r>
      <w:r w:rsidRPr="004B0A7A">
        <w:fldChar w:fldCharType="end"/>
      </w:r>
      <w:r w:rsidRPr="004B0A7A">
        <w:t>.</w:t>
      </w:r>
      <w:r>
        <w:t xml:space="preserve"> </w:t>
      </w:r>
      <w:r w:rsidRPr="004B0A7A">
        <w:t>Whether multiple reservoirs exist for</w:t>
      </w:r>
      <w:r>
        <w:t xml:space="preserve"> the</w:t>
      </w:r>
      <w:r w:rsidRPr="004B0A7A">
        <w:t xml:space="preserve"> same virus, </w:t>
      </w:r>
      <w:r>
        <w:t xml:space="preserve">or the </w:t>
      </w:r>
      <w:r w:rsidRPr="004B0A7A">
        <w:t>same reservoir for multiple viruses or multiple reservoirs carrying multiple viruses, the risk of zoonotic spillover of NWAs heavily depend</w:t>
      </w:r>
      <w:r>
        <w:t>s</w:t>
      </w:r>
      <w:r w:rsidRPr="004B0A7A">
        <w:t xml:space="preserve"> on </w:t>
      </w:r>
      <w:r>
        <w:t xml:space="preserve">the </w:t>
      </w:r>
      <w:r w:rsidRPr="004B0A7A">
        <w:t xml:space="preserve">presence, density and habitat patterns of reservoir hosts </w:t>
      </w:r>
      <w:r w:rsidRPr="004B0A7A">
        <w:fldChar w:fldCharType="begin"/>
      </w:r>
      <w:r w:rsidR="00E36CFD">
        <w:instrText xml:space="preserve"> ADDIN ZOTERO_ITEM CSL_CITATION {"citationID":"G5fDzcCp","properties":{"formattedCitation":"\\super 41,42\\nosupersub{}","plainCitation":"41,42","noteIndex":0},"citationItems":[{"id":889,"uris":["http://zotero.org/groups/5467322/items/GJ5NEMDV"],"itemData":{"id":889,"type":"article-journal","abstract":"Our understanding of ecological processes is built on patterns inferred from data. Applying modern analytical tools such as machine learning to increasingly high dimensional data offers the potential to expand our perspectives on these processes, shedding new light on complex ecological phenomena such as pathogen transmission in wild populations. Here, we propose a novel approach that combines data mining with theoretical models of disease dynamics. Using rodents as an example, we incorporate statistical differences in the life history features of zoonotic reservoir hosts into pathogen transmission models, enabling us to bound the range of dynamical phenomena associated with hosts, based on their traits. We then test for associations between equilibrium prevalence, a key epidemiological metric and data on human outbreaks of rodent-borne zoonoses, identifying matches between empirical evidence and theoretical predictions of transmission dynamics. We show how this framework can be generalized to other systems through a rubric of disease models and parameters that can be derived from empirical data. By linking life history components directly to their effects on disease dynamics, our mining-modelling approach integrates machine learning and theoretical models to explore mechanisms in the macroecology of pathogen transmission and their consequences for spillover infection to humans.","container-title":"Ecology Letters","DOI":"10.1111/ele.13520","ISSN":"1461-0248","issue":"8","language":"en","license":"© 2020 The Authors. Ecology Letters published by CNRS and John Wiley &amp; Sons Ltd","note":"_eprint: https://onlinelibrary.wiley.com/doi/pdf/10.1111/ele.13520","page":"1178-1188","source":"Wiley Online Library","title":"Integrating data mining and transmission theory in the ecology of infectious diseases","volume":"23","author":[{"family":"Han","given":"Barbara A."},{"family":"O’Regan","given":"Suzanne M."},{"family":"Paul Schmidt","given":"John"},{"family":"Drake","given":"John M."}],"issued":{"date-parts":[["2020"]]}}},{"id":915,"uris":["http://zotero.org/groups/5467322/items/3MV8CGDI"],"itemData":{"id":915,"type":"article-journal","abstract":"Pathogens that can infect multiple host species will have different dynamics than pathogens that are restricted to a single species of host. This article examines the conditions for establishment and long</w:instrText>
      </w:r>
      <w:r w:rsidR="00E36CFD">
        <w:rPr>
          <w:rFonts w:ascii="Cambria Math" w:hAnsi="Cambria Math" w:cs="Cambria Math"/>
        </w:rPr>
        <w:instrText>‐</w:instrText>
      </w:r>
      <w:r w:rsidR="00E36CFD">
        <w:instrText xml:space="preserve">term population dynamic behavior of pathogens that infect multiple species of hosts. The article attempts to address three major questions in this area: First, under which conditions will increases in the diversity of host species buffer infectious disease outbreaks, and under which conditions will host diversity amplify disease outbreaks? Second, under what conditions is it possible to control an infectious agent by focusing control against only one host species? Third, what role does host species diversity play in maintaining pathogen persistence? The answers to these questions supply some important general insights into the role that biodiversity plays in buffering humans and other species against new and emerging pathogens.","container-title":"The American Naturalist","DOI":"10.1086/424681","ISSN":"0003-0147","issue":"S5","note":"publisher: The University of Chicago Press","page":"S64-S78","source":"journals.uchicago.edu (Atypon)","title":"Population Dynamics of Pathogens with Multiple Host Species.","volume":"164","author":[{"family":"Dobson","given":"Andrew"}],"issued":{"date-parts":[["2004",11]]}}}],"schema":"https://github.com/citation-style-language/schema/raw/master/csl-citation.json"} </w:instrText>
      </w:r>
      <w:r w:rsidRPr="004B0A7A">
        <w:fldChar w:fldCharType="separate"/>
      </w:r>
      <w:r w:rsidR="00E36CFD" w:rsidRPr="00E36CFD">
        <w:rPr>
          <w:rFonts w:cs="Arial"/>
          <w:kern w:val="0"/>
          <w:vertAlign w:val="superscript"/>
        </w:rPr>
        <w:t>41,42</w:t>
      </w:r>
      <w:r w:rsidRPr="004B0A7A">
        <w:fldChar w:fldCharType="end"/>
      </w:r>
      <w:r w:rsidRPr="004B0A7A">
        <w:t>.</w:t>
      </w:r>
      <w:r w:rsidRPr="00201EBC">
        <w:t xml:space="preserve"> </w:t>
      </w:r>
      <w:r>
        <w:t>In further studies, t</w:t>
      </w:r>
      <w:r w:rsidRPr="00201EBC">
        <w:t xml:space="preserve">hese risks may be predicted </w:t>
      </w:r>
      <w:r>
        <w:t xml:space="preserve">with increasing accuracy </w:t>
      </w:r>
      <w:r w:rsidRPr="00201EBC">
        <w:t xml:space="preserve">by combining </w:t>
      </w:r>
      <w:r>
        <w:t xml:space="preserve">granular data on </w:t>
      </w:r>
      <w:r w:rsidRPr="00201EBC">
        <w:t>human and reservoir populations</w:t>
      </w:r>
      <w:r>
        <w:t xml:space="preserve"> and their interaction </w:t>
      </w:r>
      <w:r w:rsidRPr="00201EBC">
        <w:t>along with climate data</w:t>
      </w:r>
      <w:r>
        <w:t>.</w:t>
      </w:r>
    </w:p>
    <w:p w14:paraId="7A92EF62" w14:textId="77777777" w:rsidR="00BC3D5B" w:rsidRPr="00BC3D5B" w:rsidRDefault="00BC3D5B" w:rsidP="00BC3D5B"/>
    <w:p w14:paraId="08F4C442" w14:textId="40BE936B" w:rsidR="00BA6CFA" w:rsidRDefault="000D1EAE" w:rsidP="000D1EAE">
      <w:pPr>
        <w:pStyle w:val="Heading1"/>
      </w:pPr>
      <w:r>
        <w:t>References</w:t>
      </w:r>
      <w:r w:rsidR="00987C01">
        <w:t xml:space="preserve"> for Methods</w:t>
      </w:r>
    </w:p>
    <w:p w14:paraId="3FF4D5C0" w14:textId="77777777" w:rsidR="00E36CFD" w:rsidRPr="00E36CFD" w:rsidRDefault="000D1EAE" w:rsidP="00E36CFD">
      <w:pPr>
        <w:pStyle w:val="Bibliography"/>
        <w:rPr>
          <w:rFonts w:cs="Arial"/>
        </w:rPr>
      </w:pPr>
      <w:r>
        <w:fldChar w:fldCharType="begin"/>
      </w:r>
      <w:r w:rsidR="00E36CFD">
        <w:instrText xml:space="preserve"> ADDIN ZOTERO_BIBL {"uncited":[],"omitted":[],"custom":[]} CSL_BIBLIOGRAPHY </w:instrText>
      </w:r>
      <w:r>
        <w:fldChar w:fldCharType="separate"/>
      </w:r>
      <w:r w:rsidR="00E36CFD" w:rsidRPr="00E36CFD">
        <w:rPr>
          <w:rFonts w:cs="Arial"/>
        </w:rPr>
        <w:t>1.</w:t>
      </w:r>
      <w:r w:rsidR="00E36CFD" w:rsidRPr="00E36CFD">
        <w:rPr>
          <w:rFonts w:cs="Arial"/>
        </w:rPr>
        <w:tab/>
        <w:t>Milazzo, M. L. et al. Transmission of Guanarito and Pirital Viruses among Wild Rodents, Venezuela - Volume 17, Number 12—December 2011 - Emerging Infectious Diseases journal - CDC. doi:10.3201/eid1712.110393.</w:t>
      </w:r>
    </w:p>
    <w:p w14:paraId="2EB8FE58" w14:textId="77777777" w:rsidR="00E36CFD" w:rsidRPr="00E36CFD" w:rsidRDefault="00E36CFD" w:rsidP="00E36CFD">
      <w:pPr>
        <w:pStyle w:val="Bibliography"/>
        <w:rPr>
          <w:rFonts w:cs="Arial"/>
        </w:rPr>
      </w:pPr>
      <w:r w:rsidRPr="00E36CFD">
        <w:rPr>
          <w:rFonts w:cs="Arial"/>
        </w:rPr>
        <w:lastRenderedPageBreak/>
        <w:t>2.</w:t>
      </w:r>
      <w:r w:rsidRPr="00E36CFD">
        <w:rPr>
          <w:rFonts w:cs="Arial"/>
        </w:rPr>
        <w:tab/>
        <w:t xml:space="preserve">Tesh, R. B. et al. Field studies on the epidemiology of Venezuelan hemorrhagic fever: implication of the cotton rat Sigmodon alstoni as the probable rodent reservoir. Am. J. Trop. Med. Hyg. </w:t>
      </w:r>
      <w:r w:rsidRPr="00E36CFD">
        <w:rPr>
          <w:rFonts w:cs="Arial"/>
          <w:b/>
          <w:bCs/>
        </w:rPr>
        <w:t>49</w:t>
      </w:r>
      <w:r w:rsidRPr="00E36CFD">
        <w:rPr>
          <w:rFonts w:cs="Arial"/>
        </w:rPr>
        <w:t>, 227–235 (1993).</w:t>
      </w:r>
    </w:p>
    <w:p w14:paraId="0A023669" w14:textId="77777777" w:rsidR="00E36CFD" w:rsidRPr="00E36CFD" w:rsidRDefault="00E36CFD" w:rsidP="00E36CFD">
      <w:pPr>
        <w:pStyle w:val="Bibliography"/>
        <w:rPr>
          <w:rFonts w:cs="Arial"/>
        </w:rPr>
      </w:pPr>
      <w:r w:rsidRPr="00E36CFD">
        <w:rPr>
          <w:rFonts w:cs="Arial"/>
        </w:rPr>
        <w:t>3.</w:t>
      </w:r>
      <w:r w:rsidRPr="00E36CFD">
        <w:rPr>
          <w:rFonts w:cs="Arial"/>
        </w:rPr>
        <w:tab/>
        <w:t xml:space="preserve">Weaver, S. C. et al. Guanarito Virus (Arenaviridae) Isolates from Endemic and Outlying Localities in Venezuela: Sequence Comparisons among and within Strains Isolated from Venezuelan Hemorrhagic Fever Patients and Rodents. Virology </w:t>
      </w:r>
      <w:r w:rsidRPr="00E36CFD">
        <w:rPr>
          <w:rFonts w:cs="Arial"/>
          <w:b/>
          <w:bCs/>
        </w:rPr>
        <w:t>266</w:t>
      </w:r>
      <w:r w:rsidRPr="00E36CFD">
        <w:rPr>
          <w:rFonts w:cs="Arial"/>
        </w:rPr>
        <w:t>, 189–195 (2000).</w:t>
      </w:r>
    </w:p>
    <w:p w14:paraId="11EE15B7" w14:textId="77777777" w:rsidR="00E36CFD" w:rsidRPr="00E36CFD" w:rsidRDefault="00E36CFD" w:rsidP="00E36CFD">
      <w:pPr>
        <w:pStyle w:val="Bibliography"/>
        <w:rPr>
          <w:rFonts w:cs="Arial"/>
        </w:rPr>
      </w:pPr>
      <w:r w:rsidRPr="00E36CFD">
        <w:rPr>
          <w:rFonts w:cs="Arial"/>
        </w:rPr>
        <w:t>4.</w:t>
      </w:r>
      <w:r w:rsidRPr="00E36CFD">
        <w:rPr>
          <w:rFonts w:cs="Arial"/>
        </w:rPr>
        <w:tab/>
        <w:t>Salazar-Bravo, J., Ruedas, L. A. &amp; Yates, T. L. Mammalian Reservoirs of Arenaviruses. in Arenaviruses I: The Epidemiology, Molecular and Cell Biology of Arenaviruses (ed. Oldstone, M. B. A.) 25–63 (Springer, Berlin, Heidelberg, 2002). doi:10.1007/978-3-642-56029-3_2.</w:t>
      </w:r>
    </w:p>
    <w:p w14:paraId="75C3D077" w14:textId="77777777" w:rsidR="00E36CFD" w:rsidRPr="00E36CFD" w:rsidRDefault="00E36CFD" w:rsidP="00E36CFD">
      <w:pPr>
        <w:pStyle w:val="Bibliography"/>
        <w:rPr>
          <w:rFonts w:cs="Arial"/>
        </w:rPr>
      </w:pPr>
      <w:r w:rsidRPr="00E36CFD">
        <w:rPr>
          <w:rFonts w:cs="Arial"/>
        </w:rPr>
        <w:t>5.</w:t>
      </w:r>
      <w:r w:rsidRPr="00E36CFD">
        <w:rPr>
          <w:rFonts w:cs="Arial"/>
        </w:rPr>
        <w:tab/>
        <w:t xml:space="preserve">Mills, J. N. et al. A Longitudinal Study of Junin Virus Activity in the Rodent Reservoir of Agrentine Hemorrhagic Fever. Am. J. Trop. Med. Hyg. </w:t>
      </w:r>
      <w:r w:rsidRPr="00E36CFD">
        <w:rPr>
          <w:rFonts w:cs="Arial"/>
          <w:b/>
          <w:bCs/>
        </w:rPr>
        <w:t>47</w:t>
      </w:r>
      <w:r w:rsidRPr="00E36CFD">
        <w:rPr>
          <w:rFonts w:cs="Arial"/>
        </w:rPr>
        <w:t>, 749–763 (1992).</w:t>
      </w:r>
    </w:p>
    <w:p w14:paraId="74214DE7" w14:textId="77777777" w:rsidR="00E36CFD" w:rsidRPr="00E36CFD" w:rsidRDefault="00E36CFD" w:rsidP="00E36CFD">
      <w:pPr>
        <w:pStyle w:val="Bibliography"/>
        <w:rPr>
          <w:rFonts w:cs="Arial"/>
        </w:rPr>
      </w:pPr>
      <w:r w:rsidRPr="00E36CFD">
        <w:rPr>
          <w:rFonts w:cs="Arial"/>
        </w:rPr>
        <w:t>6.</w:t>
      </w:r>
      <w:r w:rsidRPr="00E36CFD">
        <w:rPr>
          <w:rFonts w:cs="Arial"/>
        </w:rPr>
        <w:tab/>
        <w:t xml:space="preserve">Morales, M. A. et al. Evaluation of an enzyme-linked immunosorbent assay for detection of antibodies to Junin virus in rodents. J. Virol. Methods </w:t>
      </w:r>
      <w:r w:rsidRPr="00E36CFD">
        <w:rPr>
          <w:rFonts w:cs="Arial"/>
          <w:b/>
          <w:bCs/>
        </w:rPr>
        <w:t>103</w:t>
      </w:r>
      <w:r w:rsidRPr="00E36CFD">
        <w:rPr>
          <w:rFonts w:cs="Arial"/>
        </w:rPr>
        <w:t>, 57–66 (2002).</w:t>
      </w:r>
    </w:p>
    <w:p w14:paraId="3CB68DAE" w14:textId="77777777" w:rsidR="00E36CFD" w:rsidRPr="00E36CFD" w:rsidRDefault="00E36CFD" w:rsidP="00E36CFD">
      <w:pPr>
        <w:pStyle w:val="Bibliography"/>
        <w:rPr>
          <w:rFonts w:cs="Arial"/>
        </w:rPr>
      </w:pPr>
      <w:r w:rsidRPr="00E36CFD">
        <w:rPr>
          <w:rFonts w:cs="Arial"/>
        </w:rPr>
        <w:t>7.</w:t>
      </w:r>
      <w:r w:rsidRPr="00E36CFD">
        <w:rPr>
          <w:rFonts w:cs="Arial"/>
        </w:rPr>
        <w:tab/>
        <w:t xml:space="preserve">Salazar-Bravo, J. et al. Natural nidality in Bolivian hemorrhagic fever and the systematics of the reservoir species. Infect. Genet. Evol. </w:t>
      </w:r>
      <w:r w:rsidRPr="00E36CFD">
        <w:rPr>
          <w:rFonts w:cs="Arial"/>
          <w:b/>
          <w:bCs/>
        </w:rPr>
        <w:t>1</w:t>
      </w:r>
      <w:r w:rsidRPr="00E36CFD">
        <w:rPr>
          <w:rFonts w:cs="Arial"/>
        </w:rPr>
        <w:t>, 191–199 (2002).</w:t>
      </w:r>
    </w:p>
    <w:p w14:paraId="4266224E" w14:textId="77777777" w:rsidR="00E36CFD" w:rsidRPr="00E36CFD" w:rsidRDefault="00E36CFD" w:rsidP="00E36CFD">
      <w:pPr>
        <w:pStyle w:val="Bibliography"/>
        <w:rPr>
          <w:rFonts w:cs="Arial"/>
        </w:rPr>
      </w:pPr>
      <w:r w:rsidRPr="00E36CFD">
        <w:rPr>
          <w:rFonts w:cs="Arial"/>
        </w:rPr>
        <w:t>8.</w:t>
      </w:r>
      <w:r w:rsidRPr="00E36CFD">
        <w:rPr>
          <w:rFonts w:cs="Arial"/>
        </w:rPr>
        <w:tab/>
        <w:t xml:space="preserve">González-Ittig, R. E. et al. Molecular systematics and biogeographic insights of the Calomys callosus complex (Rodentia, Cricetidae). Zool. Scr. </w:t>
      </w:r>
      <w:r w:rsidRPr="00E36CFD">
        <w:rPr>
          <w:rFonts w:cs="Arial"/>
          <w:b/>
          <w:bCs/>
        </w:rPr>
        <w:t>51</w:t>
      </w:r>
      <w:r w:rsidRPr="00E36CFD">
        <w:rPr>
          <w:rFonts w:cs="Arial"/>
        </w:rPr>
        <w:t>, 498–521 (2022).</w:t>
      </w:r>
    </w:p>
    <w:p w14:paraId="633ED8DC" w14:textId="77777777" w:rsidR="00E36CFD" w:rsidRPr="00E36CFD" w:rsidRDefault="00E36CFD" w:rsidP="00E36CFD">
      <w:pPr>
        <w:pStyle w:val="Bibliography"/>
        <w:rPr>
          <w:rFonts w:cs="Arial"/>
        </w:rPr>
      </w:pPr>
      <w:r w:rsidRPr="00E36CFD">
        <w:rPr>
          <w:rFonts w:cs="Arial"/>
        </w:rPr>
        <w:t>9.</w:t>
      </w:r>
      <w:r w:rsidRPr="00E36CFD">
        <w:rPr>
          <w:rFonts w:cs="Arial"/>
        </w:rPr>
        <w:tab/>
        <w:t xml:space="preserve">Elith, J. &amp; Leathwick, J. R. Species Distribution Models: Ecological Explanation and Prediction Across Space and Time. Annu. Rev. Ecol. Evol. Syst. </w:t>
      </w:r>
      <w:r w:rsidRPr="00E36CFD">
        <w:rPr>
          <w:rFonts w:cs="Arial"/>
          <w:b/>
          <w:bCs/>
        </w:rPr>
        <w:t>40</w:t>
      </w:r>
      <w:r w:rsidRPr="00E36CFD">
        <w:rPr>
          <w:rFonts w:cs="Arial"/>
        </w:rPr>
        <w:t>, 677–697 (2009).</w:t>
      </w:r>
    </w:p>
    <w:p w14:paraId="7D12578B" w14:textId="77777777" w:rsidR="00E36CFD" w:rsidRPr="00E36CFD" w:rsidRDefault="00E36CFD" w:rsidP="00E36CFD">
      <w:pPr>
        <w:pStyle w:val="Bibliography"/>
        <w:rPr>
          <w:rFonts w:cs="Arial"/>
        </w:rPr>
      </w:pPr>
      <w:r w:rsidRPr="00E36CFD">
        <w:rPr>
          <w:rFonts w:cs="Arial"/>
        </w:rPr>
        <w:t>10.</w:t>
      </w:r>
      <w:r w:rsidRPr="00E36CFD">
        <w:rPr>
          <w:rFonts w:cs="Arial"/>
        </w:rPr>
        <w:tab/>
        <w:t xml:space="preserve">Ebi, K. L., Ziska, L. H. &amp; Yohe, G. W. The shape of impacts to come: lessons and opportunities for adaptation from uneven increases in global and regional temperatures. Clim. Change </w:t>
      </w:r>
      <w:r w:rsidRPr="00E36CFD">
        <w:rPr>
          <w:rFonts w:cs="Arial"/>
          <w:b/>
          <w:bCs/>
        </w:rPr>
        <w:t>139</w:t>
      </w:r>
      <w:r w:rsidRPr="00E36CFD">
        <w:rPr>
          <w:rFonts w:cs="Arial"/>
        </w:rPr>
        <w:t>, 341–349 (2016).</w:t>
      </w:r>
    </w:p>
    <w:p w14:paraId="43B577B7" w14:textId="77777777" w:rsidR="00E36CFD" w:rsidRPr="00E36CFD" w:rsidRDefault="00E36CFD" w:rsidP="00E36CFD">
      <w:pPr>
        <w:pStyle w:val="Bibliography"/>
        <w:rPr>
          <w:rFonts w:cs="Arial"/>
        </w:rPr>
      </w:pPr>
      <w:r w:rsidRPr="00E36CFD">
        <w:rPr>
          <w:rFonts w:cs="Arial"/>
        </w:rPr>
        <w:lastRenderedPageBreak/>
        <w:t>11.</w:t>
      </w:r>
      <w:r w:rsidRPr="00E36CFD">
        <w:rPr>
          <w:rFonts w:cs="Arial"/>
        </w:rPr>
        <w:tab/>
        <w:t>Predictive performance of presence‐only species distribution models: a benchmark study with reproducible code - Valavi - 2022 - Ecological Monographs - Wiley Online Library. https://esajournals.onlinelibrary.wiley.com/doi/full/10.1002/ecm.1486.</w:t>
      </w:r>
    </w:p>
    <w:p w14:paraId="23BE89DD" w14:textId="77777777" w:rsidR="00E36CFD" w:rsidRPr="00E36CFD" w:rsidRDefault="00E36CFD" w:rsidP="00E36CFD">
      <w:pPr>
        <w:pStyle w:val="Bibliography"/>
        <w:rPr>
          <w:rFonts w:cs="Arial"/>
        </w:rPr>
      </w:pPr>
      <w:r w:rsidRPr="00E36CFD">
        <w:rPr>
          <w:rFonts w:cs="Arial"/>
        </w:rPr>
        <w:t>12.</w:t>
      </w:r>
      <w:r w:rsidRPr="00E36CFD">
        <w:rPr>
          <w:rFonts w:cs="Arial"/>
        </w:rPr>
        <w:tab/>
        <w:t>Flores-Pérez, N., Kulkarni, P., Uhart, M. &amp; Pandit, P. S. Climate Change Impact on Human-Rodent Interfaces: Modeling Junin Virus Reservoir Shifts. EcoHealth (2025) doi:10.1007/s10393-025-01723-z.</w:t>
      </w:r>
    </w:p>
    <w:p w14:paraId="5FBBA9B7" w14:textId="77777777" w:rsidR="00E36CFD" w:rsidRPr="00E36CFD" w:rsidRDefault="00E36CFD" w:rsidP="00E36CFD">
      <w:pPr>
        <w:pStyle w:val="Bibliography"/>
        <w:rPr>
          <w:rFonts w:cs="Arial"/>
        </w:rPr>
      </w:pPr>
      <w:r w:rsidRPr="00E36CFD">
        <w:rPr>
          <w:rFonts w:cs="Arial"/>
        </w:rPr>
        <w:t>13.</w:t>
      </w:r>
      <w:r w:rsidRPr="00E36CFD">
        <w:rPr>
          <w:rFonts w:cs="Arial"/>
        </w:rPr>
        <w:tab/>
        <w:t xml:space="preserve">Feng, X. et al. A checklist for maximizing reproducibility of ecological niche models. Nat. Ecol. Evol. </w:t>
      </w:r>
      <w:r w:rsidRPr="00E36CFD">
        <w:rPr>
          <w:rFonts w:cs="Arial"/>
          <w:b/>
          <w:bCs/>
        </w:rPr>
        <w:t>3</w:t>
      </w:r>
      <w:r w:rsidRPr="00E36CFD">
        <w:rPr>
          <w:rFonts w:cs="Arial"/>
        </w:rPr>
        <w:t>, 1382–1395 (2019).</w:t>
      </w:r>
    </w:p>
    <w:p w14:paraId="3D6AC7CB" w14:textId="77777777" w:rsidR="00E36CFD" w:rsidRPr="00E36CFD" w:rsidRDefault="00E36CFD" w:rsidP="00E36CFD">
      <w:pPr>
        <w:pStyle w:val="Bibliography"/>
        <w:rPr>
          <w:rFonts w:cs="Arial"/>
        </w:rPr>
      </w:pPr>
      <w:r w:rsidRPr="00E36CFD">
        <w:rPr>
          <w:rFonts w:cs="Arial"/>
        </w:rPr>
        <w:t>14.</w:t>
      </w:r>
      <w:r w:rsidRPr="00E36CFD">
        <w:rPr>
          <w:rFonts w:cs="Arial"/>
        </w:rPr>
        <w:tab/>
        <w:t>GBIF. What is GBIF? https://www.gbif.org/what-is-gbif.</w:t>
      </w:r>
    </w:p>
    <w:p w14:paraId="447F8951" w14:textId="77777777" w:rsidR="00E36CFD" w:rsidRPr="00E36CFD" w:rsidRDefault="00E36CFD" w:rsidP="00E36CFD">
      <w:pPr>
        <w:pStyle w:val="Bibliography"/>
        <w:rPr>
          <w:rFonts w:cs="Arial"/>
        </w:rPr>
      </w:pPr>
      <w:r w:rsidRPr="00E36CFD">
        <w:rPr>
          <w:rFonts w:cs="Arial"/>
        </w:rPr>
        <w:t>15.</w:t>
      </w:r>
      <w:r w:rsidRPr="00E36CFD">
        <w:rPr>
          <w:rFonts w:cs="Arial"/>
        </w:rPr>
        <w:tab/>
        <w:t>Hijmans, R. J., Phillips, S., Leathwick, J. &amp; Elith, J. dismo: Species Distribution Modeling. 1.3-16 https://doi.org/10.32614/CRAN.package.dismo (2010).</w:t>
      </w:r>
    </w:p>
    <w:p w14:paraId="6BC3C8B5" w14:textId="77777777" w:rsidR="00E36CFD" w:rsidRPr="00E36CFD" w:rsidRDefault="00E36CFD" w:rsidP="00E36CFD">
      <w:pPr>
        <w:pStyle w:val="Bibliography"/>
        <w:rPr>
          <w:rFonts w:cs="Arial"/>
        </w:rPr>
      </w:pPr>
      <w:r w:rsidRPr="00E36CFD">
        <w:rPr>
          <w:rFonts w:cs="Arial"/>
        </w:rPr>
        <w:t>16.</w:t>
      </w:r>
      <w:r w:rsidRPr="00E36CFD">
        <w:rPr>
          <w:rFonts w:cs="Arial"/>
        </w:rPr>
        <w:tab/>
        <w:t>Pranav S. Kulkarni (uid: vetpsk). Derived dataset for Kulkarni et al. The Global Biodiversity Information Facility https://doi.org/10.15468/DD.6U8HUK (2025).</w:t>
      </w:r>
    </w:p>
    <w:p w14:paraId="50F7B141" w14:textId="77777777" w:rsidR="00E36CFD" w:rsidRPr="00E36CFD" w:rsidRDefault="00E36CFD" w:rsidP="00E36CFD">
      <w:pPr>
        <w:pStyle w:val="Bibliography"/>
        <w:rPr>
          <w:rFonts w:cs="Arial"/>
        </w:rPr>
      </w:pPr>
      <w:r w:rsidRPr="00E36CFD">
        <w:rPr>
          <w:rFonts w:cs="Arial"/>
        </w:rPr>
        <w:t>17.</w:t>
      </w:r>
      <w:r w:rsidRPr="00E36CFD">
        <w:rPr>
          <w:rFonts w:cs="Arial"/>
        </w:rPr>
        <w:tab/>
        <w:t>USE it: Uniformly sampling pseudo‐absences within the environmental space for applications in habitat suitability models - Da Re - 2023 - Methods in Ecology and Evolution - Wiley Online Library. https://besjournals.onlinelibrary.wiley.com/doi/full/10.1111/2041-210X.14209.</w:t>
      </w:r>
    </w:p>
    <w:p w14:paraId="4957DADC" w14:textId="77777777" w:rsidR="00E36CFD" w:rsidRPr="00E36CFD" w:rsidRDefault="00E36CFD" w:rsidP="00E36CFD">
      <w:pPr>
        <w:pStyle w:val="Bibliography"/>
        <w:rPr>
          <w:rFonts w:cs="Arial"/>
        </w:rPr>
      </w:pPr>
      <w:r w:rsidRPr="00E36CFD">
        <w:rPr>
          <w:rFonts w:cs="Arial"/>
        </w:rPr>
        <w:t>18.</w:t>
      </w:r>
      <w:r w:rsidRPr="00E36CFD">
        <w:rPr>
          <w:rFonts w:cs="Arial"/>
        </w:rPr>
        <w:tab/>
        <w:t xml:space="preserve">Da Re, D. et al. USE it: Uniformly sampling pseudo-absences within the environmental space for applications in habitat suitability models. Methods Ecol. Evol. </w:t>
      </w:r>
      <w:r w:rsidRPr="00E36CFD">
        <w:rPr>
          <w:rFonts w:cs="Arial"/>
          <w:b/>
          <w:bCs/>
        </w:rPr>
        <w:t>14</w:t>
      </w:r>
      <w:r w:rsidRPr="00E36CFD">
        <w:rPr>
          <w:rFonts w:cs="Arial"/>
        </w:rPr>
        <w:t>, 2873–2887 (2023).</w:t>
      </w:r>
    </w:p>
    <w:p w14:paraId="4A74185E" w14:textId="77777777" w:rsidR="00E36CFD" w:rsidRPr="00E36CFD" w:rsidRDefault="00E36CFD" w:rsidP="00E36CFD">
      <w:pPr>
        <w:pStyle w:val="Bibliography"/>
        <w:rPr>
          <w:rFonts w:cs="Arial"/>
        </w:rPr>
      </w:pPr>
      <w:r w:rsidRPr="00E36CFD">
        <w:rPr>
          <w:rFonts w:cs="Arial"/>
        </w:rPr>
        <w:t>19.</w:t>
      </w:r>
      <w:r w:rsidRPr="00E36CFD">
        <w:rPr>
          <w:rFonts w:cs="Arial"/>
        </w:rPr>
        <w:tab/>
        <w:t xml:space="preserve">Hijmans, R. J., Cameron, S. E., Parra, J. L., Jones, P. G. &amp; Jarvis, A. Very high resolution interpolated climate surfaces for global land areas. Int. J. Climatol. J. R. Meteorol. Soc. </w:t>
      </w:r>
      <w:r w:rsidRPr="00E36CFD">
        <w:rPr>
          <w:rFonts w:cs="Arial"/>
          <w:b/>
          <w:bCs/>
        </w:rPr>
        <w:t>25</w:t>
      </w:r>
      <w:r w:rsidRPr="00E36CFD">
        <w:rPr>
          <w:rFonts w:cs="Arial"/>
        </w:rPr>
        <w:t>, 1965–1978 (2005).</w:t>
      </w:r>
    </w:p>
    <w:p w14:paraId="62D79DF2" w14:textId="77777777" w:rsidR="00E36CFD" w:rsidRPr="00E36CFD" w:rsidRDefault="00E36CFD" w:rsidP="00E36CFD">
      <w:pPr>
        <w:pStyle w:val="Bibliography"/>
        <w:rPr>
          <w:rFonts w:cs="Arial"/>
        </w:rPr>
      </w:pPr>
      <w:r w:rsidRPr="00E36CFD">
        <w:rPr>
          <w:rFonts w:cs="Arial"/>
        </w:rPr>
        <w:lastRenderedPageBreak/>
        <w:t>20.</w:t>
      </w:r>
      <w:r w:rsidRPr="00E36CFD">
        <w:rPr>
          <w:rFonts w:cs="Arial"/>
        </w:rPr>
        <w:tab/>
        <w:t>Didan, K. MODIS/Terra Vegetation Indices 16-Day L3 Global 500m SIN Grid V061. NASA EOSDIS Land Processes Distributed Active Archive Center https://doi.org/10.5067/MODIS/MOD13A1.061 (2021).</w:t>
      </w:r>
    </w:p>
    <w:p w14:paraId="04D337EA" w14:textId="77777777" w:rsidR="00E36CFD" w:rsidRPr="00E36CFD" w:rsidRDefault="00E36CFD" w:rsidP="00E36CFD">
      <w:pPr>
        <w:pStyle w:val="Bibliography"/>
        <w:rPr>
          <w:rFonts w:cs="Arial"/>
        </w:rPr>
      </w:pPr>
      <w:r w:rsidRPr="00E36CFD">
        <w:rPr>
          <w:rFonts w:cs="Arial"/>
        </w:rPr>
        <w:t>21.</w:t>
      </w:r>
      <w:r w:rsidRPr="00E36CFD">
        <w:rPr>
          <w:rFonts w:cs="Arial"/>
        </w:rPr>
        <w:tab/>
        <w:t>Earth Resources Observation And Science (EROS) Center. Shuttle Radar Topography Mission (SRTM) 1 Arc-Second Global. U.S. Geological Survey https://doi.org/10.5066/F7PR7TFT (2017).</w:t>
      </w:r>
    </w:p>
    <w:p w14:paraId="3614CE2C" w14:textId="77777777" w:rsidR="00E36CFD" w:rsidRPr="00E36CFD" w:rsidRDefault="00E36CFD" w:rsidP="00E36CFD">
      <w:pPr>
        <w:pStyle w:val="Bibliography"/>
        <w:rPr>
          <w:rFonts w:cs="Arial"/>
        </w:rPr>
      </w:pPr>
      <w:r w:rsidRPr="00E36CFD">
        <w:rPr>
          <w:rFonts w:cs="Arial"/>
        </w:rPr>
        <w:t>22.</w:t>
      </w:r>
      <w:r w:rsidRPr="00E36CFD">
        <w:rPr>
          <w:rFonts w:cs="Arial"/>
        </w:rPr>
        <w:tab/>
        <w:t xml:space="preserve">Potapov, P. et al. The Global 2000-2020 Land Cover and Land Use Change Dataset Derived From the Landsat Archive: First Results. Front. Remote Sens. </w:t>
      </w:r>
      <w:r w:rsidRPr="00E36CFD">
        <w:rPr>
          <w:rFonts w:cs="Arial"/>
          <w:b/>
          <w:bCs/>
        </w:rPr>
        <w:t>3</w:t>
      </w:r>
      <w:r w:rsidRPr="00E36CFD">
        <w:rPr>
          <w:rFonts w:cs="Arial"/>
        </w:rPr>
        <w:t>, 856903 (2022).</w:t>
      </w:r>
    </w:p>
    <w:p w14:paraId="5736305F" w14:textId="77777777" w:rsidR="00E36CFD" w:rsidRPr="00E36CFD" w:rsidRDefault="00E36CFD" w:rsidP="00E36CFD">
      <w:pPr>
        <w:pStyle w:val="Bibliography"/>
        <w:rPr>
          <w:rFonts w:cs="Arial"/>
        </w:rPr>
      </w:pPr>
      <w:r w:rsidRPr="00E36CFD">
        <w:rPr>
          <w:rFonts w:cs="Arial"/>
        </w:rPr>
        <w:t>23.</w:t>
      </w:r>
      <w:r w:rsidRPr="00E36CFD">
        <w:rPr>
          <w:rFonts w:cs="Arial"/>
        </w:rPr>
        <w:tab/>
        <w:t xml:space="preserve">Booth, T. H., Nix, H. A., Busby, J. R. &amp; Hutchinson, M. F. </w:t>
      </w:r>
      <w:r w:rsidRPr="00E36CFD">
        <w:rPr>
          <w:rFonts w:cs="Arial"/>
          <w:smallCaps/>
        </w:rPr>
        <w:t>bioclim</w:t>
      </w:r>
      <w:r w:rsidRPr="00E36CFD">
        <w:rPr>
          <w:rFonts w:cs="Arial"/>
        </w:rPr>
        <w:t xml:space="preserve"> : the first species distribution modelling package, its early applications and relevance to most current </w:t>
      </w:r>
      <w:r w:rsidRPr="00E36CFD">
        <w:rPr>
          <w:rFonts w:cs="Arial"/>
          <w:smallCaps/>
        </w:rPr>
        <w:t>MaxEnt</w:t>
      </w:r>
      <w:r w:rsidRPr="00E36CFD">
        <w:rPr>
          <w:rFonts w:cs="Arial"/>
        </w:rPr>
        <w:t xml:space="preserve"> studies. Divers. Distrib. </w:t>
      </w:r>
      <w:r w:rsidRPr="00E36CFD">
        <w:rPr>
          <w:rFonts w:cs="Arial"/>
          <w:b/>
          <w:bCs/>
        </w:rPr>
        <w:t>20</w:t>
      </w:r>
      <w:r w:rsidRPr="00E36CFD">
        <w:rPr>
          <w:rFonts w:cs="Arial"/>
        </w:rPr>
        <w:t>, 1–9 (2014).</w:t>
      </w:r>
    </w:p>
    <w:p w14:paraId="54EA83CD" w14:textId="77777777" w:rsidR="00E36CFD" w:rsidRPr="00E36CFD" w:rsidRDefault="00E36CFD" w:rsidP="00E36CFD">
      <w:pPr>
        <w:pStyle w:val="Bibliography"/>
        <w:rPr>
          <w:rFonts w:cs="Arial"/>
        </w:rPr>
      </w:pPr>
      <w:r w:rsidRPr="00E36CFD">
        <w:rPr>
          <w:rFonts w:cs="Arial"/>
        </w:rPr>
        <w:t>24.</w:t>
      </w:r>
      <w:r w:rsidRPr="00E36CFD">
        <w:rPr>
          <w:rFonts w:cs="Arial"/>
        </w:rPr>
        <w:tab/>
        <w:t>Presentation and Evaluation of the IPSL</w:t>
      </w:r>
      <w:r w:rsidRPr="00E36CFD">
        <w:rPr>
          <w:rFonts w:ascii="Cambria Math" w:hAnsi="Cambria Math" w:cs="Cambria Math"/>
        </w:rPr>
        <w:t>‐</w:t>
      </w:r>
      <w:r w:rsidRPr="00E36CFD">
        <w:rPr>
          <w:rFonts w:cs="Arial"/>
        </w:rPr>
        <w:t>CM6A</w:t>
      </w:r>
      <w:r w:rsidRPr="00E36CFD">
        <w:rPr>
          <w:rFonts w:ascii="Cambria Math" w:hAnsi="Cambria Math" w:cs="Cambria Math"/>
        </w:rPr>
        <w:t>‐</w:t>
      </w:r>
      <w:r w:rsidRPr="00E36CFD">
        <w:rPr>
          <w:rFonts w:cs="Arial"/>
        </w:rPr>
        <w:t>LR Climate Model - Boucher - 2020 - Journal of Advances in Modeling Earth Systems - Wiley Online Library. https://agupubs.onlinelibrary.wiley.com/doi/full/10.1029/2019MS002010.</w:t>
      </w:r>
    </w:p>
    <w:p w14:paraId="43CF40C4" w14:textId="77777777" w:rsidR="00E36CFD" w:rsidRPr="00E36CFD" w:rsidRDefault="00E36CFD" w:rsidP="00E36CFD">
      <w:pPr>
        <w:pStyle w:val="Bibliography"/>
        <w:rPr>
          <w:rFonts w:cs="Arial"/>
        </w:rPr>
      </w:pPr>
      <w:r w:rsidRPr="00E36CFD">
        <w:rPr>
          <w:rFonts w:cs="Arial"/>
        </w:rPr>
        <w:t>25.</w:t>
      </w:r>
      <w:r w:rsidRPr="00E36CFD">
        <w:rPr>
          <w:rFonts w:cs="Arial"/>
        </w:rPr>
        <w:tab/>
        <w:t>Hurtt, G. et al. Harmonization of Global Land Use Change and Management for the Period 2015-2300. Earth System Grid Federation https://doi.org/10.22033/ESGF/INPUT4MIPS.10468 (2019).</w:t>
      </w:r>
    </w:p>
    <w:p w14:paraId="00F46B42" w14:textId="77777777" w:rsidR="00E36CFD" w:rsidRPr="00E36CFD" w:rsidRDefault="00E36CFD" w:rsidP="00E36CFD">
      <w:pPr>
        <w:pStyle w:val="Bibliography"/>
        <w:rPr>
          <w:rFonts w:cs="Arial"/>
        </w:rPr>
      </w:pPr>
      <w:r w:rsidRPr="00E36CFD">
        <w:rPr>
          <w:rFonts w:cs="Arial"/>
        </w:rPr>
        <w:t>26.</w:t>
      </w:r>
      <w:r w:rsidRPr="00E36CFD">
        <w:rPr>
          <w:rFonts w:cs="Arial"/>
        </w:rPr>
        <w:tab/>
        <w:t>Masson-Delmotte, V., P. Zhai, A. Pirani, S.L., Connors, C. Péan, S. Berger, N. Caud, Y. Chen, L. Goldfarb, M.I. Gomis, M. Huang, K. Leitzell, E. Lonnoy, J.B.R. Matthews, T.K., &amp; Maycock, T. Waterfield, O. Yelekçi, R. Yu, and B. Zhou. Summary for Policymakers. In: Climate Change 2021: The Physical Science Basis. Contribution of Working Group I to the Sixth Assessment Report of the Intergovernmental Panel on Climate Change. https://www.ipcc.ch/report/ar6/wg1/downloads/report/IPCC_AR6_WGI_SPM_final.pdf (2021).</w:t>
      </w:r>
    </w:p>
    <w:p w14:paraId="3BC38477" w14:textId="77777777" w:rsidR="00E36CFD" w:rsidRPr="00E36CFD" w:rsidRDefault="00E36CFD" w:rsidP="00E36CFD">
      <w:pPr>
        <w:pStyle w:val="Bibliography"/>
        <w:rPr>
          <w:rFonts w:cs="Arial"/>
        </w:rPr>
      </w:pPr>
      <w:r w:rsidRPr="00E36CFD">
        <w:rPr>
          <w:rFonts w:cs="Arial"/>
        </w:rPr>
        <w:lastRenderedPageBreak/>
        <w:t>27.</w:t>
      </w:r>
      <w:r w:rsidRPr="00E36CFD">
        <w:rPr>
          <w:rFonts w:cs="Arial"/>
        </w:rPr>
        <w:tab/>
        <w:t>Pedregosa, F. et al. Scikit-learn: Machine Learning in Python. Mach. Learn. PYTHON.</w:t>
      </w:r>
    </w:p>
    <w:p w14:paraId="56BD99A1" w14:textId="77777777" w:rsidR="00E36CFD" w:rsidRPr="00E36CFD" w:rsidRDefault="00E36CFD" w:rsidP="00E36CFD">
      <w:pPr>
        <w:pStyle w:val="Bibliography"/>
        <w:rPr>
          <w:rFonts w:cs="Arial"/>
        </w:rPr>
      </w:pPr>
      <w:r w:rsidRPr="00E36CFD">
        <w:rPr>
          <w:rFonts w:cs="Arial"/>
        </w:rPr>
        <w:t>28.</w:t>
      </w:r>
      <w:r w:rsidRPr="00E36CFD">
        <w:rPr>
          <w:rFonts w:cs="Arial"/>
        </w:rPr>
        <w:tab/>
        <w:t>Matthew Perry. pyimpute: Utilities for applying scikit-learn to spatial datasets. (2022).</w:t>
      </w:r>
    </w:p>
    <w:p w14:paraId="42BB96F8" w14:textId="77777777" w:rsidR="00E36CFD" w:rsidRPr="00E36CFD" w:rsidRDefault="00E36CFD" w:rsidP="00E36CFD">
      <w:pPr>
        <w:pStyle w:val="Bibliography"/>
        <w:rPr>
          <w:rFonts w:cs="Arial"/>
        </w:rPr>
      </w:pPr>
      <w:r w:rsidRPr="00E36CFD">
        <w:rPr>
          <w:rFonts w:cs="Arial"/>
        </w:rPr>
        <w:t>29.</w:t>
      </w:r>
      <w:r w:rsidRPr="00E36CFD">
        <w:rPr>
          <w:rFonts w:cs="Arial"/>
        </w:rPr>
        <w:tab/>
        <w:t xml:space="preserve">Barua, S., Dénes, A. &amp; Ibrahim, M. A. A seasonal model to assess intervention strategies for preventing periodic recurrence of Lassa fever. Heliyon </w:t>
      </w:r>
      <w:r w:rsidRPr="00E36CFD">
        <w:rPr>
          <w:rFonts w:cs="Arial"/>
          <w:b/>
          <w:bCs/>
        </w:rPr>
        <w:t>7</w:t>
      </w:r>
      <w:r w:rsidRPr="00E36CFD">
        <w:rPr>
          <w:rFonts w:cs="Arial"/>
        </w:rPr>
        <w:t>, (2021).</w:t>
      </w:r>
    </w:p>
    <w:p w14:paraId="319B8DFF" w14:textId="77777777" w:rsidR="00E36CFD" w:rsidRPr="00E36CFD" w:rsidRDefault="00E36CFD" w:rsidP="00E36CFD">
      <w:pPr>
        <w:pStyle w:val="Bibliography"/>
        <w:rPr>
          <w:rFonts w:cs="Arial"/>
        </w:rPr>
      </w:pPr>
      <w:r w:rsidRPr="00E36CFD">
        <w:rPr>
          <w:rFonts w:cs="Arial"/>
        </w:rPr>
        <w:t>30.</w:t>
      </w:r>
      <w:r w:rsidRPr="00E36CFD">
        <w:rPr>
          <w:rFonts w:cs="Arial"/>
        </w:rPr>
        <w:tab/>
        <w:t xml:space="preserve">Begon, M. et al. A clarification of transmission terms in host-microparasite models: numbers, densities and areas. Epidemiol. Infect. </w:t>
      </w:r>
      <w:r w:rsidRPr="00E36CFD">
        <w:rPr>
          <w:rFonts w:cs="Arial"/>
          <w:b/>
          <w:bCs/>
        </w:rPr>
        <w:t>129</w:t>
      </w:r>
      <w:r w:rsidRPr="00E36CFD">
        <w:rPr>
          <w:rFonts w:cs="Arial"/>
        </w:rPr>
        <w:t>, 147–153 (2002).</w:t>
      </w:r>
    </w:p>
    <w:p w14:paraId="37A34AAD" w14:textId="77777777" w:rsidR="00E36CFD" w:rsidRPr="00E36CFD" w:rsidRDefault="00E36CFD" w:rsidP="00E36CFD">
      <w:pPr>
        <w:pStyle w:val="Bibliography"/>
        <w:rPr>
          <w:rFonts w:cs="Arial"/>
        </w:rPr>
      </w:pPr>
      <w:r w:rsidRPr="00E36CFD">
        <w:rPr>
          <w:rFonts w:cs="Arial"/>
        </w:rPr>
        <w:t>31.</w:t>
      </w:r>
      <w:r w:rsidRPr="00E36CFD">
        <w:rPr>
          <w:rFonts w:cs="Arial"/>
        </w:rPr>
        <w:tab/>
        <w:t xml:space="preserve">Medone, P., Ceccarelli, S., Parham, P. E., Figuera, A. &amp; Rabinovich, J. E. The impact of climate change on the geographical distribution of two vectors of Chagas disease: implications for the force of infection. Philos. Trans. R. Soc. B Biol. Sci. </w:t>
      </w:r>
      <w:r w:rsidRPr="00E36CFD">
        <w:rPr>
          <w:rFonts w:cs="Arial"/>
          <w:b/>
          <w:bCs/>
        </w:rPr>
        <w:t>370</w:t>
      </w:r>
      <w:r w:rsidRPr="00E36CFD">
        <w:rPr>
          <w:rFonts w:cs="Arial"/>
        </w:rPr>
        <w:t>, 20130560 (2015).</w:t>
      </w:r>
    </w:p>
    <w:p w14:paraId="0E749CED" w14:textId="77777777" w:rsidR="00E36CFD" w:rsidRPr="00E36CFD" w:rsidRDefault="00E36CFD" w:rsidP="00E36CFD">
      <w:pPr>
        <w:pStyle w:val="Bibliography"/>
        <w:rPr>
          <w:rFonts w:cs="Arial"/>
        </w:rPr>
      </w:pPr>
      <w:r w:rsidRPr="00E36CFD">
        <w:rPr>
          <w:rFonts w:cs="Arial"/>
        </w:rPr>
        <w:t>32.</w:t>
      </w:r>
      <w:r w:rsidRPr="00E36CFD">
        <w:rPr>
          <w:rFonts w:cs="Arial"/>
        </w:rPr>
        <w:tab/>
        <w:t xml:space="preserve">Ferrari, M. J., Perkins, S. E., Pomeroy, L. W. &amp; Bjørnstad, O. N. Pathogens, Social Networks, and the Paradox of Transmission Scaling. Interdiscip. Perspect. Infect. Dis. </w:t>
      </w:r>
      <w:r w:rsidRPr="00E36CFD">
        <w:rPr>
          <w:rFonts w:cs="Arial"/>
          <w:b/>
          <w:bCs/>
        </w:rPr>
        <w:t>2011</w:t>
      </w:r>
      <w:r w:rsidRPr="00E36CFD">
        <w:rPr>
          <w:rFonts w:cs="Arial"/>
        </w:rPr>
        <w:t>, 267049 (2011).</w:t>
      </w:r>
    </w:p>
    <w:p w14:paraId="2AB4EDEA" w14:textId="77777777" w:rsidR="00E36CFD" w:rsidRPr="00E36CFD" w:rsidRDefault="00E36CFD" w:rsidP="00E36CFD">
      <w:pPr>
        <w:pStyle w:val="Bibliography"/>
        <w:rPr>
          <w:rFonts w:cs="Arial"/>
        </w:rPr>
      </w:pPr>
      <w:r w:rsidRPr="00E36CFD">
        <w:rPr>
          <w:rFonts w:cs="Arial"/>
        </w:rPr>
        <w:t>33.</w:t>
      </w:r>
      <w:r w:rsidRPr="00E36CFD">
        <w:rPr>
          <w:rFonts w:cs="Arial"/>
        </w:rPr>
        <w:tab/>
        <w:t xml:space="preserve">Jones, B. &amp; O’Neill, B. C. Spatially explicit global population scenarios consistent with the Shared Socioeconomic Pathways. Environ. Res. Lett. </w:t>
      </w:r>
      <w:r w:rsidRPr="00E36CFD">
        <w:rPr>
          <w:rFonts w:cs="Arial"/>
          <w:b/>
          <w:bCs/>
        </w:rPr>
        <w:t>11</w:t>
      </w:r>
      <w:r w:rsidRPr="00E36CFD">
        <w:rPr>
          <w:rFonts w:cs="Arial"/>
        </w:rPr>
        <w:t>, 084003 (2016).</w:t>
      </w:r>
    </w:p>
    <w:p w14:paraId="7A17FE39" w14:textId="77777777" w:rsidR="00E36CFD" w:rsidRPr="00E36CFD" w:rsidRDefault="00E36CFD" w:rsidP="00E36CFD">
      <w:pPr>
        <w:pStyle w:val="Bibliography"/>
        <w:rPr>
          <w:rFonts w:cs="Arial"/>
        </w:rPr>
      </w:pPr>
      <w:r w:rsidRPr="00E36CFD">
        <w:rPr>
          <w:rFonts w:cs="Arial"/>
        </w:rPr>
        <w:t>34.</w:t>
      </w:r>
      <w:r w:rsidRPr="00E36CFD">
        <w:rPr>
          <w:rFonts w:cs="Arial"/>
        </w:rPr>
        <w:tab/>
        <w:t xml:space="preserve">Wright, M. N. &amp; Ziegler, A. </w:t>
      </w:r>
      <w:r w:rsidRPr="00E36CFD">
        <w:rPr>
          <w:rFonts w:cs="Arial"/>
          <w:b/>
          <w:bCs/>
        </w:rPr>
        <w:t>ranger</w:t>
      </w:r>
      <w:r w:rsidRPr="00E36CFD">
        <w:rPr>
          <w:rFonts w:cs="Arial"/>
        </w:rPr>
        <w:t xml:space="preserve"> : A Fast Implementation of Random Forests for High Dimensional Data in C++ and R. J. Stat. Softw. </w:t>
      </w:r>
      <w:r w:rsidRPr="00E36CFD">
        <w:rPr>
          <w:rFonts w:cs="Arial"/>
          <w:b/>
          <w:bCs/>
        </w:rPr>
        <w:t>77</w:t>
      </w:r>
      <w:r w:rsidRPr="00E36CFD">
        <w:rPr>
          <w:rFonts w:cs="Arial"/>
        </w:rPr>
        <w:t>, (2017).</w:t>
      </w:r>
    </w:p>
    <w:p w14:paraId="0580D735" w14:textId="77777777" w:rsidR="00E36CFD" w:rsidRPr="00E36CFD" w:rsidRDefault="00E36CFD" w:rsidP="00E36CFD">
      <w:pPr>
        <w:pStyle w:val="Bibliography"/>
        <w:rPr>
          <w:rFonts w:cs="Arial"/>
        </w:rPr>
      </w:pPr>
      <w:r w:rsidRPr="00E36CFD">
        <w:rPr>
          <w:rFonts w:cs="Arial"/>
        </w:rPr>
        <w:t>35.</w:t>
      </w:r>
      <w:r w:rsidRPr="00E36CFD">
        <w:rPr>
          <w:rFonts w:cs="Arial"/>
        </w:rPr>
        <w:tab/>
        <w:t xml:space="preserve">Waskom, M. seaborn: statistical data visualization. J. Open Source Softw. </w:t>
      </w:r>
      <w:r w:rsidRPr="00E36CFD">
        <w:rPr>
          <w:rFonts w:cs="Arial"/>
          <w:b/>
          <w:bCs/>
        </w:rPr>
        <w:t>6</w:t>
      </w:r>
      <w:r w:rsidRPr="00E36CFD">
        <w:rPr>
          <w:rFonts w:cs="Arial"/>
        </w:rPr>
        <w:t>, 3021 (2021).</w:t>
      </w:r>
    </w:p>
    <w:p w14:paraId="3ACCC187" w14:textId="77777777" w:rsidR="00E36CFD" w:rsidRPr="00E36CFD" w:rsidRDefault="00E36CFD" w:rsidP="00E36CFD">
      <w:pPr>
        <w:pStyle w:val="Bibliography"/>
        <w:rPr>
          <w:rFonts w:cs="Arial"/>
        </w:rPr>
      </w:pPr>
      <w:r w:rsidRPr="00E36CFD">
        <w:rPr>
          <w:rFonts w:cs="Arial"/>
        </w:rPr>
        <w:t>36.</w:t>
      </w:r>
      <w:r w:rsidRPr="00E36CFD">
        <w:rPr>
          <w:rFonts w:cs="Arial"/>
        </w:rPr>
        <w:tab/>
        <w:t xml:space="preserve">Hunter, J. D. Matplotlib: A 2D Graphics Environment. Comput. Sci. Eng. </w:t>
      </w:r>
      <w:r w:rsidRPr="00E36CFD">
        <w:rPr>
          <w:rFonts w:cs="Arial"/>
          <w:b/>
          <w:bCs/>
        </w:rPr>
        <w:t>9</w:t>
      </w:r>
      <w:r w:rsidRPr="00E36CFD">
        <w:rPr>
          <w:rFonts w:cs="Arial"/>
        </w:rPr>
        <w:t>, 90–95 (2007).</w:t>
      </w:r>
    </w:p>
    <w:p w14:paraId="5C293780" w14:textId="77777777" w:rsidR="00E36CFD" w:rsidRPr="00E36CFD" w:rsidRDefault="00E36CFD" w:rsidP="00E36CFD">
      <w:pPr>
        <w:pStyle w:val="Bibliography"/>
        <w:rPr>
          <w:rFonts w:cs="Arial"/>
        </w:rPr>
      </w:pPr>
      <w:r w:rsidRPr="00E36CFD">
        <w:rPr>
          <w:rFonts w:cs="Arial"/>
        </w:rPr>
        <w:t>37.</w:t>
      </w:r>
      <w:r w:rsidRPr="00E36CFD">
        <w:rPr>
          <w:rFonts w:cs="Arial"/>
        </w:rPr>
        <w:tab/>
        <w:t xml:space="preserve">Lendino, A., Castellanos, A. A., Pigott, D. M. &amp; Han, B. A. A review of emerging health threats from zoonotic New World mammarenaviruses. BMC Microbiol. </w:t>
      </w:r>
      <w:r w:rsidRPr="00E36CFD">
        <w:rPr>
          <w:rFonts w:cs="Arial"/>
          <w:b/>
          <w:bCs/>
        </w:rPr>
        <w:t>24</w:t>
      </w:r>
      <w:r w:rsidRPr="00E36CFD">
        <w:rPr>
          <w:rFonts w:cs="Arial"/>
        </w:rPr>
        <w:t>, 115 (2024).</w:t>
      </w:r>
    </w:p>
    <w:p w14:paraId="34431313" w14:textId="77777777" w:rsidR="00E36CFD" w:rsidRPr="00E36CFD" w:rsidRDefault="00E36CFD" w:rsidP="00E36CFD">
      <w:pPr>
        <w:pStyle w:val="Bibliography"/>
        <w:rPr>
          <w:rFonts w:cs="Arial"/>
        </w:rPr>
      </w:pPr>
      <w:r w:rsidRPr="00E36CFD">
        <w:rPr>
          <w:rFonts w:cs="Arial"/>
        </w:rPr>
        <w:t>38.</w:t>
      </w:r>
      <w:r w:rsidRPr="00E36CFD">
        <w:rPr>
          <w:rFonts w:cs="Arial"/>
        </w:rPr>
        <w:tab/>
        <w:t xml:space="preserve">Tapia-Ramírez, G. et al. A Review of Mammarenaviruses and Rodent Reservoirs in the Americas. EcoHealth </w:t>
      </w:r>
      <w:r w:rsidRPr="00E36CFD">
        <w:rPr>
          <w:rFonts w:cs="Arial"/>
          <w:b/>
          <w:bCs/>
        </w:rPr>
        <w:t>19</w:t>
      </w:r>
      <w:r w:rsidRPr="00E36CFD">
        <w:rPr>
          <w:rFonts w:cs="Arial"/>
        </w:rPr>
        <w:t>, 22–39 (2022).</w:t>
      </w:r>
    </w:p>
    <w:p w14:paraId="0C3F971F" w14:textId="77777777" w:rsidR="00E36CFD" w:rsidRPr="00E36CFD" w:rsidRDefault="00E36CFD" w:rsidP="00E36CFD">
      <w:pPr>
        <w:pStyle w:val="Bibliography"/>
        <w:rPr>
          <w:rFonts w:cs="Arial"/>
        </w:rPr>
      </w:pPr>
      <w:r w:rsidRPr="00E36CFD">
        <w:rPr>
          <w:rFonts w:cs="Arial"/>
        </w:rPr>
        <w:lastRenderedPageBreak/>
        <w:t>39.</w:t>
      </w:r>
      <w:r w:rsidRPr="00E36CFD">
        <w:rPr>
          <w:rFonts w:cs="Arial"/>
        </w:rPr>
        <w:tab/>
        <w:t>Rodriguez-Morales, A. J., Castañeda-Hernández, D. M., Escalera-Antezana, J. P. &amp; Alvarado-Arnez, L. E. Organisms of Concern But Not Foodborne or Confirmed Foodborne: Bolivian Hemorrhagic Fever Virus (Machupo Virus)</w:t>
      </w:r>
      <w:r w:rsidRPr="00E36CFD">
        <w:rPr>
          <w:rFonts w:ascii="Segoe UI Symbol" w:hAnsi="Segoe UI Symbol" w:cs="Segoe UI Symbol"/>
        </w:rPr>
        <w:t>☆</w:t>
      </w:r>
      <w:r w:rsidRPr="00E36CFD">
        <w:rPr>
          <w:rFonts w:cs="Arial"/>
        </w:rPr>
        <w:t>. in Reference Module in Food Science (Elsevier, 2019). doi:10.1016/B978-0-08-100596-5.22639-5.</w:t>
      </w:r>
    </w:p>
    <w:p w14:paraId="7E954438" w14:textId="77777777" w:rsidR="00E36CFD" w:rsidRPr="00E36CFD" w:rsidRDefault="00E36CFD" w:rsidP="00E36CFD">
      <w:pPr>
        <w:pStyle w:val="Bibliography"/>
        <w:rPr>
          <w:rFonts w:cs="Arial"/>
        </w:rPr>
      </w:pPr>
      <w:r w:rsidRPr="00E36CFD">
        <w:rPr>
          <w:rFonts w:cs="Arial"/>
        </w:rPr>
        <w:t>40.</w:t>
      </w:r>
      <w:r w:rsidRPr="00E36CFD">
        <w:rPr>
          <w:rFonts w:cs="Arial"/>
        </w:rPr>
        <w:tab/>
        <w:t xml:space="preserve">Vallejos-Garrido, P. et al. The importance of the Andes in the evolutionary radiation of Sigmodontinae (Rodentia, Cricetidae), the most diverse group of mammals in the Neotropics. Sci. Rep. </w:t>
      </w:r>
      <w:r w:rsidRPr="00E36CFD">
        <w:rPr>
          <w:rFonts w:cs="Arial"/>
          <w:b/>
          <w:bCs/>
        </w:rPr>
        <w:t>13</w:t>
      </w:r>
      <w:r w:rsidRPr="00E36CFD">
        <w:rPr>
          <w:rFonts w:cs="Arial"/>
        </w:rPr>
        <w:t>, 2207 (2023).</w:t>
      </w:r>
    </w:p>
    <w:p w14:paraId="3F670EE1" w14:textId="77777777" w:rsidR="00E36CFD" w:rsidRPr="00E36CFD" w:rsidRDefault="00E36CFD" w:rsidP="00E36CFD">
      <w:pPr>
        <w:pStyle w:val="Bibliography"/>
        <w:rPr>
          <w:rFonts w:cs="Arial"/>
        </w:rPr>
      </w:pPr>
      <w:r w:rsidRPr="00E36CFD">
        <w:rPr>
          <w:rFonts w:cs="Arial"/>
        </w:rPr>
        <w:t>41.</w:t>
      </w:r>
      <w:r w:rsidRPr="00E36CFD">
        <w:rPr>
          <w:rFonts w:cs="Arial"/>
        </w:rPr>
        <w:tab/>
        <w:t xml:space="preserve">Han, B. A., O’Regan, S. M., Paul Schmidt, J. &amp; Drake, J. M. Integrating data mining and transmission theory in the ecology of infectious diseases. Ecol. Lett. </w:t>
      </w:r>
      <w:r w:rsidRPr="00E36CFD">
        <w:rPr>
          <w:rFonts w:cs="Arial"/>
          <w:b/>
          <w:bCs/>
        </w:rPr>
        <w:t>23</w:t>
      </w:r>
      <w:r w:rsidRPr="00E36CFD">
        <w:rPr>
          <w:rFonts w:cs="Arial"/>
        </w:rPr>
        <w:t>, 1178–1188 (2020).</w:t>
      </w:r>
    </w:p>
    <w:p w14:paraId="6FB2B536" w14:textId="77777777" w:rsidR="00E36CFD" w:rsidRPr="00E36CFD" w:rsidRDefault="00E36CFD" w:rsidP="00E36CFD">
      <w:pPr>
        <w:pStyle w:val="Bibliography"/>
        <w:rPr>
          <w:rFonts w:cs="Arial"/>
        </w:rPr>
      </w:pPr>
      <w:r w:rsidRPr="00E36CFD">
        <w:rPr>
          <w:rFonts w:cs="Arial"/>
        </w:rPr>
        <w:t>42.</w:t>
      </w:r>
      <w:r w:rsidRPr="00E36CFD">
        <w:rPr>
          <w:rFonts w:cs="Arial"/>
        </w:rPr>
        <w:tab/>
        <w:t xml:space="preserve">Dobson, A. Population Dynamics of Pathogens with Multiple Host Species. Am. Nat. </w:t>
      </w:r>
      <w:r w:rsidRPr="00E36CFD">
        <w:rPr>
          <w:rFonts w:cs="Arial"/>
          <w:b/>
          <w:bCs/>
        </w:rPr>
        <w:t>164</w:t>
      </w:r>
      <w:r w:rsidRPr="00E36CFD">
        <w:rPr>
          <w:rFonts w:cs="Arial"/>
        </w:rPr>
        <w:t>, S64–S78 (2004).</w:t>
      </w:r>
    </w:p>
    <w:p w14:paraId="4418CF0E" w14:textId="428167E9" w:rsidR="000D1EAE" w:rsidRDefault="000D1EAE">
      <w:r>
        <w:fldChar w:fldCharType="end"/>
      </w:r>
    </w:p>
    <w:sectPr w:rsidR="000D1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ACFF" w:usb2="00000009" w:usb3="00000000" w:csb0="000001FF" w:csb1="00000000"/>
  </w:font>
  <w:font w:name="Times New Roman (Headings CS)">
    <w:altName w:val="Times New Roman"/>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EAE"/>
    <w:rsid w:val="000371A8"/>
    <w:rsid w:val="000506CA"/>
    <w:rsid w:val="000C39A8"/>
    <w:rsid w:val="000D1EAE"/>
    <w:rsid w:val="000E1B42"/>
    <w:rsid w:val="0011314A"/>
    <w:rsid w:val="001C4616"/>
    <w:rsid w:val="00262F3E"/>
    <w:rsid w:val="00296A12"/>
    <w:rsid w:val="002D15BB"/>
    <w:rsid w:val="002E04B4"/>
    <w:rsid w:val="00311BD0"/>
    <w:rsid w:val="003917E4"/>
    <w:rsid w:val="00425905"/>
    <w:rsid w:val="00491316"/>
    <w:rsid w:val="004B02E6"/>
    <w:rsid w:val="005A1F1F"/>
    <w:rsid w:val="005F28A5"/>
    <w:rsid w:val="005F3A11"/>
    <w:rsid w:val="00607726"/>
    <w:rsid w:val="006A136A"/>
    <w:rsid w:val="006A6E63"/>
    <w:rsid w:val="006F447A"/>
    <w:rsid w:val="007E428B"/>
    <w:rsid w:val="007F40A1"/>
    <w:rsid w:val="00830A6B"/>
    <w:rsid w:val="008C08EE"/>
    <w:rsid w:val="008F0C0D"/>
    <w:rsid w:val="009219BA"/>
    <w:rsid w:val="00987C01"/>
    <w:rsid w:val="009B4A11"/>
    <w:rsid w:val="009D7535"/>
    <w:rsid w:val="00A71B00"/>
    <w:rsid w:val="00A77A2E"/>
    <w:rsid w:val="00A84FFD"/>
    <w:rsid w:val="00A87DB7"/>
    <w:rsid w:val="00AA0FAD"/>
    <w:rsid w:val="00AD6FCC"/>
    <w:rsid w:val="00B4557D"/>
    <w:rsid w:val="00B803E4"/>
    <w:rsid w:val="00BA6CFA"/>
    <w:rsid w:val="00BB15F0"/>
    <w:rsid w:val="00BC032B"/>
    <w:rsid w:val="00BC3D5B"/>
    <w:rsid w:val="00BF3059"/>
    <w:rsid w:val="00C26DD6"/>
    <w:rsid w:val="00C65AAA"/>
    <w:rsid w:val="00E135D4"/>
    <w:rsid w:val="00E36CFD"/>
    <w:rsid w:val="00E76915"/>
    <w:rsid w:val="00E9408F"/>
    <w:rsid w:val="00F02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CC4E6A"/>
  <w15:chartTrackingRefBased/>
  <w15:docId w15:val="{3C132DAD-680F-AD47-B882-510D08E66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imes New Roman"/>
        <w:i/>
        <w:iCs/>
        <w:kern w:val="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535"/>
    <w:pPr>
      <w:overflowPunct w:val="0"/>
      <w:autoSpaceDE w:val="0"/>
      <w:autoSpaceDN w:val="0"/>
      <w:adjustRightInd w:val="0"/>
      <w:spacing w:before="120" w:after="120"/>
      <w:ind w:firstLine="288"/>
      <w:textAlignment w:val="baseline"/>
    </w:pPr>
    <w:rPr>
      <w:i w:val="0"/>
      <w:iCs w:val="0"/>
      <w:sz w:val="22"/>
    </w:rPr>
  </w:style>
  <w:style w:type="paragraph" w:styleId="Heading1">
    <w:name w:val="heading 1"/>
    <w:basedOn w:val="Normal"/>
    <w:next w:val="Normal"/>
    <w:link w:val="Heading1Char"/>
    <w:autoRedefine/>
    <w:uiPriority w:val="9"/>
    <w:qFormat/>
    <w:rsid w:val="009D7535"/>
    <w:pPr>
      <w:keepNext/>
      <w:keepLines/>
      <w:spacing w:before="0"/>
      <w:ind w:firstLine="0"/>
      <w:contextualSpacing/>
      <w:outlineLvl w:val="0"/>
    </w:pPr>
    <w:rPr>
      <w:rFonts w:ascii="Calibri" w:eastAsiaTheme="majorEastAsia" w:hAnsi="Calibri" w:cs="Calibri"/>
      <w:b/>
      <w:sz w:val="28"/>
      <w:szCs w:val="22"/>
      <w:shd w:val="clear" w:color="auto" w:fill="FFFFFF"/>
    </w:rPr>
  </w:style>
  <w:style w:type="paragraph" w:styleId="Heading2">
    <w:name w:val="heading 2"/>
    <w:basedOn w:val="Normal"/>
    <w:next w:val="Normal"/>
    <w:link w:val="Heading2Char"/>
    <w:autoRedefine/>
    <w:uiPriority w:val="9"/>
    <w:unhideWhenUsed/>
    <w:qFormat/>
    <w:rsid w:val="009D7535"/>
    <w:pPr>
      <w:keepNext/>
      <w:keepLines/>
      <w:spacing w:before="0"/>
      <w:ind w:firstLine="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9B4A11"/>
    <w:pPr>
      <w:keepNext/>
      <w:keepLines/>
      <w:spacing w:before="160" w:after="0"/>
      <w:ind w:firstLine="0"/>
      <w:outlineLvl w:val="2"/>
    </w:pPr>
    <w:rPr>
      <w:rFonts w:eastAsiaTheme="majorEastAsia" w:cstheme="majorBidi"/>
      <w:i/>
      <w:iCs/>
    </w:rPr>
  </w:style>
  <w:style w:type="paragraph" w:styleId="Heading4">
    <w:name w:val="heading 4"/>
    <w:basedOn w:val="Normal"/>
    <w:next w:val="Normal"/>
    <w:link w:val="Heading4Char"/>
    <w:autoRedefine/>
    <w:uiPriority w:val="9"/>
    <w:semiHidden/>
    <w:unhideWhenUsed/>
    <w:qFormat/>
    <w:rsid w:val="008C08EE"/>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D1EA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D1EA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D1EA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D1EAE"/>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D1EAE"/>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1">
    <w:name w:val="Caption1"/>
    <w:basedOn w:val="Caption"/>
    <w:autoRedefine/>
    <w:qFormat/>
    <w:rsid w:val="009D7535"/>
    <w:pPr>
      <w:ind w:firstLine="0"/>
    </w:pPr>
    <w:rPr>
      <w:b/>
      <w:i w:val="0"/>
      <w:iCs w:val="0"/>
      <w:sz w:val="20"/>
    </w:rPr>
  </w:style>
  <w:style w:type="paragraph" w:styleId="Caption">
    <w:name w:val="caption"/>
    <w:basedOn w:val="Normal"/>
    <w:next w:val="Normal"/>
    <w:uiPriority w:val="35"/>
    <w:semiHidden/>
    <w:unhideWhenUsed/>
    <w:qFormat/>
    <w:rsid w:val="008F0C0D"/>
    <w:rPr>
      <w:i/>
      <w:iCs/>
      <w:color w:val="0E2841" w:themeColor="text2"/>
      <w:sz w:val="18"/>
      <w:szCs w:val="18"/>
    </w:rPr>
  </w:style>
  <w:style w:type="paragraph" w:styleId="TOC1">
    <w:name w:val="toc 1"/>
    <w:basedOn w:val="Normal"/>
    <w:next w:val="Normal"/>
    <w:autoRedefine/>
    <w:uiPriority w:val="39"/>
    <w:unhideWhenUsed/>
    <w:qFormat/>
    <w:rsid w:val="000C39A8"/>
    <w:rPr>
      <w:rFonts w:eastAsia="Times New Roman" w:cstheme="minorHAnsi"/>
      <w:b/>
      <w:bCs/>
      <w:caps/>
      <w:szCs w:val="20"/>
      <w:lang w:val="en-GB" w:eastAsia="nl-NL"/>
    </w:rPr>
  </w:style>
  <w:style w:type="paragraph" w:styleId="TOC2">
    <w:name w:val="toc 2"/>
    <w:basedOn w:val="Normal"/>
    <w:next w:val="Normal"/>
    <w:autoRedefine/>
    <w:uiPriority w:val="39"/>
    <w:unhideWhenUsed/>
    <w:qFormat/>
    <w:rsid w:val="000C39A8"/>
    <w:pPr>
      <w:ind w:left="720"/>
    </w:pPr>
    <w:rPr>
      <w:rFonts w:eastAsia="Times New Roman" w:cstheme="minorHAnsi"/>
      <w:smallCaps/>
      <w:szCs w:val="20"/>
      <w:lang w:val="en-GB" w:eastAsia="nl-NL"/>
    </w:rPr>
  </w:style>
  <w:style w:type="character" w:customStyle="1" w:styleId="Heading3Char">
    <w:name w:val="Heading 3 Char"/>
    <w:basedOn w:val="DefaultParagraphFont"/>
    <w:link w:val="Heading3"/>
    <w:uiPriority w:val="9"/>
    <w:rsid w:val="009B4A11"/>
    <w:rPr>
      <w:rFonts w:eastAsiaTheme="majorEastAsia" w:cstheme="majorBidi"/>
      <w:sz w:val="22"/>
    </w:rPr>
  </w:style>
  <w:style w:type="character" w:customStyle="1" w:styleId="Heading1Char">
    <w:name w:val="Heading 1 Char"/>
    <w:basedOn w:val="DefaultParagraphFont"/>
    <w:link w:val="Heading1"/>
    <w:uiPriority w:val="9"/>
    <w:rsid w:val="009D7535"/>
    <w:rPr>
      <w:rFonts w:ascii="Calibri" w:eastAsiaTheme="majorEastAsia" w:hAnsi="Calibri" w:cs="Calibri"/>
      <w:b/>
      <w:i w:val="0"/>
      <w:sz w:val="28"/>
      <w:szCs w:val="22"/>
    </w:rPr>
  </w:style>
  <w:style w:type="character" w:customStyle="1" w:styleId="Heading2Char">
    <w:name w:val="Heading 2 Char"/>
    <w:basedOn w:val="DefaultParagraphFont"/>
    <w:link w:val="Heading2"/>
    <w:uiPriority w:val="9"/>
    <w:rsid w:val="009D7535"/>
    <w:rPr>
      <w:rFonts w:eastAsiaTheme="majorEastAsia" w:cstheme="majorBidi"/>
      <w:b/>
      <w:i w:val="0"/>
      <w:sz w:val="22"/>
      <w:szCs w:val="26"/>
    </w:rPr>
  </w:style>
  <w:style w:type="character" w:customStyle="1" w:styleId="Heading4Char">
    <w:name w:val="Heading 4 Char"/>
    <w:basedOn w:val="DefaultParagraphFont"/>
    <w:link w:val="Heading4"/>
    <w:uiPriority w:val="9"/>
    <w:semiHidden/>
    <w:rsid w:val="008C08EE"/>
    <w:rPr>
      <w:rFonts w:eastAsiaTheme="majorEastAsia" w:cstheme="majorBidi"/>
      <w:iCs w:val="0"/>
      <w:sz w:val="22"/>
    </w:rPr>
  </w:style>
  <w:style w:type="paragraph" w:styleId="Title">
    <w:name w:val="Title"/>
    <w:basedOn w:val="Normal"/>
    <w:next w:val="Normal"/>
    <w:link w:val="TitleChar"/>
    <w:autoRedefine/>
    <w:uiPriority w:val="10"/>
    <w:qFormat/>
    <w:rsid w:val="009D7535"/>
    <w:pPr>
      <w:spacing w:after="200"/>
      <w:ind w:firstLine="0"/>
      <w:contextualSpacing/>
    </w:pPr>
    <w:rPr>
      <w:rFonts w:eastAsiaTheme="majorEastAsia" w:cstheme="majorBidi"/>
      <w:b/>
      <w:iCs/>
      <w:spacing w:val="-10"/>
      <w:kern w:val="28"/>
      <w:sz w:val="40"/>
      <w:szCs w:val="32"/>
    </w:rPr>
  </w:style>
  <w:style w:type="character" w:customStyle="1" w:styleId="TitleChar">
    <w:name w:val="Title Char"/>
    <w:basedOn w:val="DefaultParagraphFont"/>
    <w:link w:val="Title"/>
    <w:uiPriority w:val="10"/>
    <w:rsid w:val="009D7535"/>
    <w:rPr>
      <w:rFonts w:eastAsiaTheme="majorEastAsia" w:cstheme="majorBidi"/>
      <w:b/>
      <w:i w:val="0"/>
      <w:iCs w:val="0"/>
      <w:spacing w:val="-10"/>
      <w:kern w:val="28"/>
      <w:sz w:val="40"/>
      <w:szCs w:val="32"/>
    </w:rPr>
  </w:style>
  <w:style w:type="paragraph" w:styleId="Subtitle">
    <w:name w:val="Subtitle"/>
    <w:basedOn w:val="Normal"/>
    <w:next w:val="Normal"/>
    <w:link w:val="SubtitleChar"/>
    <w:autoRedefine/>
    <w:uiPriority w:val="11"/>
    <w:qFormat/>
    <w:rsid w:val="009D7535"/>
    <w:pPr>
      <w:numPr>
        <w:ilvl w:val="1"/>
      </w:numPr>
      <w:spacing w:after="160"/>
      <w:ind w:firstLine="288"/>
    </w:pPr>
    <w:rPr>
      <w:rFonts w:eastAsiaTheme="majorEastAsia" w:cs="Times New Roman (Headings CS)"/>
      <w:b/>
      <w:color w:val="000000" w:themeColor="text1"/>
      <w:sz w:val="28"/>
      <w:szCs w:val="28"/>
    </w:rPr>
  </w:style>
  <w:style w:type="character" w:customStyle="1" w:styleId="SubtitleChar">
    <w:name w:val="Subtitle Char"/>
    <w:basedOn w:val="DefaultParagraphFont"/>
    <w:link w:val="Subtitle"/>
    <w:uiPriority w:val="11"/>
    <w:rsid w:val="009D7535"/>
    <w:rPr>
      <w:rFonts w:eastAsiaTheme="majorEastAsia" w:cs="Times New Roman (Headings CS)"/>
      <w:b/>
      <w:i w:val="0"/>
      <w:color w:val="000000" w:themeColor="text1"/>
      <w:sz w:val="28"/>
      <w:szCs w:val="28"/>
    </w:rPr>
  </w:style>
  <w:style w:type="paragraph" w:styleId="Quote">
    <w:name w:val="Quote"/>
    <w:basedOn w:val="Normal"/>
    <w:next w:val="Normal"/>
    <w:link w:val="QuoteChar"/>
    <w:autoRedefine/>
    <w:uiPriority w:val="29"/>
    <w:qFormat/>
    <w:rsid w:val="00F0294D"/>
    <w:rPr>
      <w:color w:val="156082" w:themeColor="accent1"/>
      <w:sz w:val="20"/>
    </w:rPr>
  </w:style>
  <w:style w:type="character" w:customStyle="1" w:styleId="QuoteChar">
    <w:name w:val="Quote Char"/>
    <w:basedOn w:val="DefaultParagraphFont"/>
    <w:link w:val="Quote"/>
    <w:uiPriority w:val="29"/>
    <w:rsid w:val="00F0294D"/>
    <w:rPr>
      <w:rFonts w:ascii="Calibri" w:hAnsi="Calibri"/>
      <w:i w:val="0"/>
      <w:iCs w:val="0"/>
      <w:color w:val="156082" w:themeColor="accent1"/>
    </w:rPr>
  </w:style>
  <w:style w:type="character" w:customStyle="1" w:styleId="Heading5Char">
    <w:name w:val="Heading 5 Char"/>
    <w:basedOn w:val="DefaultParagraphFont"/>
    <w:link w:val="Heading5"/>
    <w:uiPriority w:val="9"/>
    <w:semiHidden/>
    <w:rsid w:val="000D1EAE"/>
    <w:rPr>
      <w:rFonts w:asciiTheme="minorHAnsi" w:eastAsiaTheme="majorEastAsia" w:hAnsiTheme="minorHAnsi" w:cstheme="majorBidi"/>
      <w:i w:val="0"/>
      <w:iCs w:val="0"/>
      <w:color w:val="0F4761" w:themeColor="accent1" w:themeShade="BF"/>
      <w:sz w:val="22"/>
    </w:rPr>
  </w:style>
  <w:style w:type="character" w:customStyle="1" w:styleId="Heading6Char">
    <w:name w:val="Heading 6 Char"/>
    <w:basedOn w:val="DefaultParagraphFont"/>
    <w:link w:val="Heading6"/>
    <w:uiPriority w:val="9"/>
    <w:semiHidden/>
    <w:rsid w:val="000D1EAE"/>
    <w:rPr>
      <w:rFonts w:asciiTheme="minorHAnsi" w:eastAsiaTheme="majorEastAsia" w:hAnsiTheme="minorHAnsi" w:cstheme="majorBidi"/>
      <w:color w:val="595959" w:themeColor="text1" w:themeTint="A6"/>
      <w:sz w:val="22"/>
    </w:rPr>
  </w:style>
  <w:style w:type="character" w:customStyle="1" w:styleId="Heading7Char">
    <w:name w:val="Heading 7 Char"/>
    <w:basedOn w:val="DefaultParagraphFont"/>
    <w:link w:val="Heading7"/>
    <w:uiPriority w:val="9"/>
    <w:semiHidden/>
    <w:rsid w:val="000D1EAE"/>
    <w:rPr>
      <w:rFonts w:asciiTheme="minorHAnsi" w:eastAsiaTheme="majorEastAsia" w:hAnsiTheme="minorHAnsi" w:cstheme="majorBidi"/>
      <w:i w:val="0"/>
      <w:iCs w:val="0"/>
      <w:color w:val="595959" w:themeColor="text1" w:themeTint="A6"/>
      <w:sz w:val="22"/>
    </w:rPr>
  </w:style>
  <w:style w:type="character" w:customStyle="1" w:styleId="Heading8Char">
    <w:name w:val="Heading 8 Char"/>
    <w:basedOn w:val="DefaultParagraphFont"/>
    <w:link w:val="Heading8"/>
    <w:uiPriority w:val="9"/>
    <w:semiHidden/>
    <w:rsid w:val="000D1EAE"/>
    <w:rPr>
      <w:rFonts w:asciiTheme="minorHAnsi" w:eastAsiaTheme="majorEastAsia" w:hAnsiTheme="minorHAnsi" w:cstheme="majorBidi"/>
      <w:color w:val="272727" w:themeColor="text1" w:themeTint="D8"/>
      <w:sz w:val="22"/>
    </w:rPr>
  </w:style>
  <w:style w:type="character" w:customStyle="1" w:styleId="Heading9Char">
    <w:name w:val="Heading 9 Char"/>
    <w:basedOn w:val="DefaultParagraphFont"/>
    <w:link w:val="Heading9"/>
    <w:uiPriority w:val="9"/>
    <w:semiHidden/>
    <w:rsid w:val="000D1EAE"/>
    <w:rPr>
      <w:rFonts w:asciiTheme="minorHAnsi" w:eastAsiaTheme="majorEastAsia" w:hAnsiTheme="minorHAnsi" w:cstheme="majorBidi"/>
      <w:i w:val="0"/>
      <w:iCs w:val="0"/>
      <w:color w:val="272727" w:themeColor="text1" w:themeTint="D8"/>
      <w:sz w:val="22"/>
    </w:rPr>
  </w:style>
  <w:style w:type="paragraph" w:styleId="ListParagraph">
    <w:name w:val="List Paragraph"/>
    <w:basedOn w:val="Normal"/>
    <w:uiPriority w:val="34"/>
    <w:qFormat/>
    <w:rsid w:val="000D1EAE"/>
    <w:pPr>
      <w:ind w:left="720"/>
      <w:contextualSpacing/>
    </w:pPr>
  </w:style>
  <w:style w:type="character" w:styleId="IntenseEmphasis">
    <w:name w:val="Intense Emphasis"/>
    <w:basedOn w:val="DefaultParagraphFont"/>
    <w:uiPriority w:val="21"/>
    <w:qFormat/>
    <w:rsid w:val="000D1EAE"/>
    <w:rPr>
      <w:i w:val="0"/>
      <w:iCs w:val="0"/>
      <w:color w:val="0F4761" w:themeColor="accent1" w:themeShade="BF"/>
    </w:rPr>
  </w:style>
  <w:style w:type="paragraph" w:styleId="IntenseQuote">
    <w:name w:val="Intense Quote"/>
    <w:basedOn w:val="Normal"/>
    <w:next w:val="Normal"/>
    <w:link w:val="IntenseQuoteChar"/>
    <w:uiPriority w:val="30"/>
    <w:qFormat/>
    <w:rsid w:val="000D1E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EAE"/>
    <w:rPr>
      <w:color w:val="0F4761" w:themeColor="accent1" w:themeShade="BF"/>
      <w:sz w:val="22"/>
    </w:rPr>
  </w:style>
  <w:style w:type="character" w:styleId="IntenseReference">
    <w:name w:val="Intense Reference"/>
    <w:basedOn w:val="DefaultParagraphFont"/>
    <w:uiPriority w:val="32"/>
    <w:qFormat/>
    <w:rsid w:val="000D1EAE"/>
    <w:rPr>
      <w:b/>
      <w:bCs/>
      <w:smallCaps/>
      <w:color w:val="0F4761" w:themeColor="accent1" w:themeShade="BF"/>
      <w:spacing w:val="5"/>
    </w:rPr>
  </w:style>
  <w:style w:type="character" w:styleId="LineNumber">
    <w:name w:val="line number"/>
    <w:basedOn w:val="DefaultParagraphFont"/>
    <w:uiPriority w:val="99"/>
    <w:semiHidden/>
    <w:unhideWhenUsed/>
    <w:rsid w:val="000D1EAE"/>
  </w:style>
  <w:style w:type="paragraph" w:styleId="Bibliography">
    <w:name w:val="Bibliography"/>
    <w:basedOn w:val="Normal"/>
    <w:next w:val="Normal"/>
    <w:uiPriority w:val="37"/>
    <w:unhideWhenUsed/>
    <w:rsid w:val="000D1EAE"/>
    <w:pPr>
      <w:tabs>
        <w:tab w:val="left" w:pos="380"/>
      </w:tabs>
      <w:spacing w:after="0"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17229</Words>
  <Characters>94932</Characters>
  <Application>Microsoft Office Word</Application>
  <DocSecurity>0</DocSecurity>
  <Lines>1726</Lines>
  <Paragraphs>2002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Kulkarni</dc:creator>
  <cp:keywords/>
  <dc:description/>
  <cp:lastModifiedBy>Pranav Kulkarni</cp:lastModifiedBy>
  <cp:revision>11</cp:revision>
  <dcterms:created xsi:type="dcterms:W3CDTF">2025-09-04T19:02:00Z</dcterms:created>
  <dcterms:modified xsi:type="dcterms:W3CDTF">2025-09-04T22:36:00Z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id="T9FCwdCs"/&gt;&lt;style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