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0091A8"/>
          <w:sz w:val="36"/>
        </w:rPr>
        <w:t>RheumaCheck</w:t>
      </w:r>
      <w:r>
        <w:rPr>
          <w:b/>
          <w:sz w:val="32"/>
        </w:rPr>
        <w:br/>
        <w:t>Finaler QA-Durchgang V6</w:t>
      </w:r>
      <w:r>
        <w:rPr>
          <w:color w:val="555555"/>
          <w:sz w:val="20"/>
        </w:rPr>
        <w:br/>
        <w:t>Inhaltliche Prüfung, Zielgruppenlogik, Abstimmungsreihenfolge und Layout-/Druckkontrolle</w:t>
      </w:r>
    </w:p>
    <w:p>
      <w:pPr>
        <w:spacing w:after="80" w:line="259" w:lineRule="auto"/>
      </w:pPr>
      <w:r>
        <w:rPr>
          <w:sz w:val="19"/>
        </w:rPr>
        <w:t>Stand: 11.05.2026 | Arbeitsstand für interne Abstimmung IMDB / salvevita / IKB</w:t>
      </w:r>
    </w:p>
    <w:p>
      <w:pPr>
        <w:spacing w:after="80" w:line="259" w:lineRule="auto"/>
      </w:pPr>
      <w:r>
        <w:rPr>
          <w:b/>
          <w:sz w:val="19"/>
        </w:rPr>
        <w:t>Statusurteil:</w:t>
      </w:r>
      <w:r>
        <w:rPr>
          <w:sz w:val="19"/>
        </w:rPr>
        <w:t xml:space="preserve"> Das V6.2-Gesamtpaket ist als interne Arbeits- und Diskussionsfassung geeignet. Es sollte vor externer breiter Ausspielung noch mit Robert Lange / salvevita und anschließend mit Michael Zänker / IKB klinisch und workflowbezogen abgestimmt werden.</w:t>
      </w:r>
    </w:p>
    <w:p>
      <w:pPr>
        <w:spacing w:before="200" w:after="80"/>
      </w:pPr>
      <w:r>
        <w:rPr>
          <w:b/>
          <w:color w:val="00738A"/>
          <w:sz w:val="28"/>
        </w:rPr>
        <w:t>1. Prüfgegenstand</w:t>
      </w:r>
    </w:p>
    <w:p>
      <w:pPr>
        <w:spacing w:after="80" w:line="259" w:lineRule="auto"/>
      </w:pPr>
      <w:r>
        <w:rPr>
          <w:sz w:val="19"/>
        </w:rPr>
        <w:t>Geprüft wurden die V6-Dokumente des RheumaCheck-Fragebogenpakets einschließlich der vier Module A-D und des konsolidierten Gesamtpakets V6.2. Ziel war nicht die inhaltliche Neuentwicklung, sondern ein QA-Durchgang mit Blick auf Vollständigkeit, Zielgruppenlogik, Dopplungen, Reihenfolge der Abstimmung sowie Druck- und Layouttauglichkeit.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361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17"/>
              </w:rPr>
              <w:t>Dokument</w:t>
            </w:r>
          </w:p>
        </w:tc>
        <w:tc>
          <w:tcPr>
            <w:tcW w:type="dxa" w:w="1757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17"/>
              </w:rPr>
              <w:t>Zielgruppe</w:t>
            </w:r>
          </w:p>
        </w:tc>
        <w:tc>
          <w:tcPr>
            <w:tcW w:type="dxa" w:w="2948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17"/>
              </w:rPr>
              <w:t>Funktion</w:t>
            </w:r>
          </w:p>
        </w:tc>
        <w:tc>
          <w:tcPr>
            <w:tcW w:type="dxa" w:w="964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17"/>
              </w:rPr>
              <w:t>Umfang</w:t>
            </w:r>
          </w:p>
        </w:tc>
        <w:tc>
          <w:tcPr>
            <w:tcW w:type="dxa" w:w="1814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17"/>
              </w:rPr>
              <w:t>QA-Status</w:t>
            </w:r>
          </w:p>
        </w:tc>
      </w:tr>
      <w:tr>
        <w:tc>
          <w:tcPr>
            <w:tcW w:type="dxa" w:w="1361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Bogen A V6.1</w:t>
            </w:r>
          </w:p>
        </w:tc>
        <w:tc>
          <w:tcPr>
            <w:tcW w:type="dxa" w:w="1757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Patient:innen</w:t>
            </w:r>
          </w:p>
        </w:tc>
        <w:tc>
          <w:tcPr>
            <w:tcW w:type="dxa" w:w="2948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Vorab-Anamnese und Stratifizierung</w:t>
            </w:r>
          </w:p>
        </w:tc>
        <w:tc>
          <w:tcPr>
            <w:tcW w:type="dxa" w:w="964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6 Seiten</w:t>
            </w:r>
          </w:p>
        </w:tc>
        <w:tc>
          <w:tcPr>
            <w:tcW w:type="dxa" w:w="1814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vorhanden / V6-konform</w:t>
            </w:r>
          </w:p>
        </w:tc>
      </w:tr>
      <w:tr>
        <w:tc>
          <w:tcPr>
            <w:tcW w:type="dxa" w:w="1361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Bogen B V6.1</w:t>
            </w:r>
          </w:p>
        </w:tc>
        <w:tc>
          <w:tcPr>
            <w:tcW w:type="dxa" w:w="1757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Rheumanetzwerk / Ärzt:innen</w:t>
            </w:r>
          </w:p>
        </w:tc>
        <w:tc>
          <w:tcPr>
            <w:tcW w:type="dxa" w:w="2948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Standardmethode und Versorgungspfad</w:t>
            </w:r>
          </w:p>
        </w:tc>
        <w:tc>
          <w:tcPr>
            <w:tcW w:type="dxa" w:w="964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8 Seiten</w:t>
            </w:r>
          </w:p>
        </w:tc>
        <w:tc>
          <w:tcPr>
            <w:tcW w:type="dxa" w:w="1814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vorhanden / V6-konform</w:t>
            </w:r>
          </w:p>
        </w:tc>
      </w:tr>
      <w:tr>
        <w:tc>
          <w:tcPr>
            <w:tcW w:type="dxa" w:w="1361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Bogen C V6.1</w:t>
            </w:r>
          </w:p>
        </w:tc>
        <w:tc>
          <w:tcPr>
            <w:tcW w:type="dxa" w:w="1757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Patient:innen / Nutzer:innen</w:t>
            </w:r>
          </w:p>
        </w:tc>
        <w:tc>
          <w:tcPr>
            <w:tcW w:type="dxa" w:w="2948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Usability, Ergebnisverständnis, Versorgungsnutzen nach Nutzung</w:t>
            </w:r>
          </w:p>
        </w:tc>
        <w:tc>
          <w:tcPr>
            <w:tcW w:type="dxa" w:w="964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6 Seiten</w:t>
            </w:r>
          </w:p>
        </w:tc>
        <w:tc>
          <w:tcPr>
            <w:tcW w:type="dxa" w:w="1814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vorhanden / V6-konform</w:t>
            </w:r>
          </w:p>
        </w:tc>
      </w:tr>
      <w:tr>
        <w:tc>
          <w:tcPr>
            <w:tcW w:type="dxa" w:w="1361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Bogen D V6.1</w:t>
            </w:r>
          </w:p>
        </w:tc>
        <w:tc>
          <w:tcPr>
            <w:tcW w:type="dxa" w:w="1757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Ärzt:innen / Versorgung</w:t>
            </w:r>
          </w:p>
        </w:tc>
        <w:tc>
          <w:tcPr>
            <w:tcW w:type="dxa" w:w="2948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Implementierbarkeit, erwarteter Nutzen, Evidenzanforderungen</w:t>
            </w:r>
          </w:p>
        </w:tc>
        <w:tc>
          <w:tcPr>
            <w:tcW w:type="dxa" w:w="964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6 Seiten</w:t>
            </w:r>
          </w:p>
        </w:tc>
        <w:tc>
          <w:tcPr>
            <w:tcW w:type="dxa" w:w="1814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vorhanden / V6-konform</w:t>
            </w:r>
          </w:p>
        </w:tc>
      </w:tr>
      <w:tr>
        <w:tc>
          <w:tcPr>
            <w:tcW w:type="dxa" w:w="1361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Gesamtpaket V6.2</w:t>
            </w:r>
          </w:p>
        </w:tc>
        <w:tc>
          <w:tcPr>
            <w:tcW w:type="dxa" w:w="1757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Projektteam</w:t>
            </w:r>
          </w:p>
        </w:tc>
        <w:tc>
          <w:tcPr>
            <w:tcW w:type="dxa" w:w="2948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Konsolidierte Gesamtfassung A-D</w:t>
            </w:r>
          </w:p>
        </w:tc>
        <w:tc>
          <w:tcPr>
            <w:tcW w:type="dxa" w:w="964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27 Seiten</w:t>
            </w:r>
          </w:p>
        </w:tc>
        <w:tc>
          <w:tcPr>
            <w:tcW w:type="dxa" w:w="1814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vorhanden / QA-geprüft</w:t>
            </w:r>
          </w:p>
        </w:tc>
      </w:tr>
    </w:tbl>
    <w:p>
      <w:pPr>
        <w:spacing w:before="200" w:after="80"/>
      </w:pPr>
      <w:r>
        <w:rPr>
          <w:b/>
          <w:color w:val="00738A"/>
          <w:sz w:val="28"/>
        </w:rPr>
        <w:t>2. Inhaltlicher QA-Befund</w:t>
      </w:r>
    </w:p>
    <w:p>
      <w:pPr>
        <w:spacing w:after="40"/>
        <w:ind w:left="312" w:hanging="142"/>
      </w:pPr>
      <w:r>
        <w:rPr>
          <w:b/>
          <w:sz w:val="19"/>
        </w:rPr>
        <w:t xml:space="preserve">• </w:t>
      </w:r>
      <w:r>
        <w:rPr>
          <w:sz w:val="19"/>
        </w:rPr>
        <w:t>Die Vier-Modul-Architektur ist fachlich plausibel und korrigiert die frühere V5.1-Logik: Die Umfrage zur Standardmethode gehört primär in den Rheumanetzwerk-/Ärztebereich und nicht nur in einen patientengerichteten Ist-Stand-Bogen.</w:t>
      </w:r>
    </w:p>
    <w:p>
      <w:pPr>
        <w:spacing w:after="40"/>
        <w:ind w:left="312" w:hanging="142"/>
      </w:pPr>
      <w:r>
        <w:rPr>
          <w:b/>
          <w:sz w:val="19"/>
        </w:rPr>
        <w:t xml:space="preserve">• </w:t>
      </w:r>
      <w:r>
        <w:rPr>
          <w:sz w:val="19"/>
        </w:rPr>
        <w:t>Bogen A und C sind patientengerichtet und klar voneinander getrennt: A vor Nutzung / vor Stratifizierung; C nach Nutzung / nach Test- oder Workflow-Erfahrung.</w:t>
      </w:r>
    </w:p>
    <w:p>
      <w:pPr>
        <w:spacing w:after="40"/>
        <w:ind w:left="312" w:hanging="142"/>
      </w:pPr>
      <w:r>
        <w:rPr>
          <w:b/>
          <w:sz w:val="19"/>
        </w:rPr>
        <w:t xml:space="preserve">• </w:t>
      </w:r>
      <w:r>
        <w:rPr>
          <w:sz w:val="19"/>
        </w:rPr>
        <w:t>Bogen B und D sind ärztlich bzw. versorgungsstrukturell ausgerichtet, haben aber unterschiedliche Funktionen: B erhebt den Status quo und den Versorgungspfad; D bewertet Implementierbarkeit, Nutzen, Evidenzanforderungen und Pilotbereitschaft.</w:t>
      </w:r>
    </w:p>
    <w:p>
      <w:pPr>
        <w:spacing w:after="40"/>
        <w:ind w:left="312" w:hanging="142"/>
      </w:pPr>
      <w:r>
        <w:rPr>
          <w:b/>
          <w:sz w:val="19"/>
        </w:rPr>
        <w:t xml:space="preserve">• </w:t>
      </w:r>
      <w:r>
        <w:rPr>
          <w:sz w:val="19"/>
        </w:rPr>
        <w:t>Die Abstimmungsreihenfolge ist konsistent: zunächst Grobabstimmung mit Robert Lange / salvevita, danach klinische Feinabstimmung mit Michael Zänker / IKB, anschließend ggf. Abstimmung mit weiteren Rheumanetzwerk-Mitgliedern.</w:t>
      </w:r>
    </w:p>
    <w:p>
      <w:pPr>
        <w:spacing w:after="40"/>
        <w:ind w:left="312" w:hanging="142"/>
      </w:pPr>
      <w:r>
        <w:rPr>
          <w:b/>
          <w:sz w:val="19"/>
        </w:rPr>
        <w:t xml:space="preserve">• </w:t>
      </w:r>
      <w:r>
        <w:rPr>
          <w:sz w:val="19"/>
        </w:rPr>
        <w:t>Die bisherigen Module sind als professionelle Arbeits- und Diskussionsfassung geeignet, aber noch nicht als final validierte Studieninstrumente zu verstehen.</w:t>
      </w:r>
    </w:p>
    <w:p>
      <w:pPr>
        <w:spacing w:before="200" w:after="80"/>
      </w:pPr>
      <w:r>
        <w:rPr>
          <w:b/>
          <w:color w:val="00738A"/>
          <w:sz w:val="28"/>
        </w:rPr>
        <w:t>3. Prüfung der Zielgruppenlogik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17"/>
              </w:rPr>
              <w:t>Bogen</w:t>
            </w:r>
          </w:p>
        </w:tc>
        <w:tc>
          <w:tcPr>
            <w:tcW w:type="dxa" w:w="2835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17"/>
              </w:rPr>
              <w:t>Primäre Zielgruppe</w:t>
            </w:r>
          </w:p>
        </w:tc>
        <w:tc>
          <w:tcPr>
            <w:tcW w:type="dxa" w:w="3458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17"/>
              </w:rPr>
              <w:t>Zeitpunkt</w:t>
            </w:r>
          </w:p>
        </w:tc>
        <w:tc>
          <w:tcPr>
            <w:tcW w:type="dxa" w:w="1361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17"/>
              </w:rPr>
              <w:t>Logik stimmig?</w:t>
            </w:r>
          </w:p>
        </w:tc>
      </w:tr>
      <w:tr>
        <w:tc>
          <w:tcPr>
            <w:tcW w:type="dxa" w:w="850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2835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Patient:innen mit Gelenkbeschwerden oder RA-Verdacht</w:t>
            </w:r>
          </w:p>
        </w:tc>
        <w:tc>
          <w:tcPr>
            <w:tcW w:type="dxa" w:w="3458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vor Test / vor digitaler Einordnung</w:t>
            </w:r>
          </w:p>
        </w:tc>
        <w:tc>
          <w:tcPr>
            <w:tcW w:type="dxa" w:w="1361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Ja</w:t>
            </w:r>
          </w:p>
        </w:tc>
      </w:tr>
      <w:tr>
        <w:tc>
          <w:tcPr>
            <w:tcW w:type="dxa" w:w="850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2835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Rheumanetzwerk, Ärzt:innen, Versorgungsakteure</w:t>
            </w:r>
          </w:p>
        </w:tc>
        <w:tc>
          <w:tcPr>
            <w:tcW w:type="dxa" w:w="3458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vor / während Projektplanung zur Standardmethode</w:t>
            </w:r>
          </w:p>
        </w:tc>
        <w:tc>
          <w:tcPr>
            <w:tcW w:type="dxa" w:w="1361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Ja</w:t>
            </w:r>
          </w:p>
        </w:tc>
      </w:tr>
      <w:tr>
        <w:tc>
          <w:tcPr>
            <w:tcW w:type="dxa" w:w="850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2835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Patient:innen / Nutzer:innen nach Kontakt mit RheumaCheck-Prozess</w:t>
            </w:r>
          </w:p>
        </w:tc>
        <w:tc>
          <w:tcPr>
            <w:tcW w:type="dxa" w:w="3458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nach Test, App-/CUBE-Demonstration oder Pilotnutzung</w:t>
            </w:r>
          </w:p>
        </w:tc>
        <w:tc>
          <w:tcPr>
            <w:tcW w:type="dxa" w:w="1361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Ja</w:t>
            </w:r>
          </w:p>
        </w:tc>
      </w:tr>
      <w:tr>
        <w:tc>
          <w:tcPr>
            <w:tcW w:type="dxa" w:w="850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D</w:t>
            </w:r>
          </w:p>
        </w:tc>
        <w:tc>
          <w:tcPr>
            <w:tcW w:type="dxa" w:w="2835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Ärzt:innen, Hausarzt-/Facharzt-/Klinik-/MVZ-Settings</w:t>
            </w:r>
          </w:p>
        </w:tc>
        <w:tc>
          <w:tcPr>
            <w:tcW w:type="dxa" w:w="3458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vor Pilotierung und zur Implementierungsplanung</w:t>
            </w:r>
          </w:p>
        </w:tc>
        <w:tc>
          <w:tcPr>
            <w:tcW w:type="dxa" w:w="1361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Ja</w:t>
            </w:r>
          </w:p>
        </w:tc>
      </w:tr>
    </w:tbl>
    <w:p>
      <w:pPr>
        <w:spacing w:after="80" w:line="259" w:lineRule="auto"/>
      </w:pPr>
      <w:r>
        <w:rPr>
          <w:sz w:val="19"/>
        </w:rPr>
        <w:t>Bewertung: Die Zielgruppenlogik ist konsistent. Wichtig ist, Bogen B und D nicht unkommentiert an dieselbe Personengruppe gleichzeitig zu versenden. Für ein frühes Rheumanetzwerk-Gespräch kann Bogen B zuerst eingesetzt werden; Bogen D eignet sich als zweiter, stärker produkt- und implementierungsorientierter Bogen.</w:t>
      </w:r>
    </w:p>
    <w:p>
      <w:pPr>
        <w:spacing w:before="200" w:after="80"/>
      </w:pPr>
      <w:r>
        <w:rPr>
          <w:b/>
          <w:color w:val="00738A"/>
          <w:sz w:val="28"/>
        </w:rPr>
        <w:t>4. Dopplungs- und Abgrenzungsprüfung</w:t>
      </w:r>
    </w:p>
    <w:p>
      <w:pPr>
        <w:spacing w:after="80" w:line="259" w:lineRule="auto"/>
      </w:pPr>
      <w:r>
        <w:rPr>
          <w:sz w:val="19"/>
        </w:rPr>
        <w:t>Es gibt unvermeidbare thematische Berührungspunkte zwischen Bogen B und Bogen D, vor allem bei erwarteten Nutzenaspekten. Diese Dopplung ist methodisch vertretbar, solange die Funktion klar bleibt: Bogen B fragt den heutigen Standard und Versorgungspfad ab; Bogen D fragt nach der zukünftigen klinischen Einsetzbarkeit von RheumaCheck.</w:t>
      </w:r>
    </w:p>
    <w:p>
      <w:pPr>
        <w:spacing w:after="80" w:line="259" w:lineRule="auto"/>
      </w:pPr>
      <w:r>
        <w:rPr>
          <w:sz w:val="19"/>
        </w:rPr>
        <w:t>Empfehlung: Für die erste Abstimmung mit Robert und Frank sollten Bogen B und D getrennt vorgelegt werden. Falls die Befragung im Rheumanetzwerk zu lang wird, können Bogen B und D später zu einer gekürzten Kombiversion zusammengeführt werden.</w:t>
      </w:r>
    </w:p>
    <w:p>
      <w:pPr>
        <w:spacing w:before="200" w:after="80"/>
      </w:pPr>
      <w:r>
        <w:rPr>
          <w:b/>
          <w:color w:val="00738A"/>
          <w:sz w:val="28"/>
        </w:rPr>
        <w:t>5. Layout- und Druckprüfung</w:t>
      </w:r>
    </w:p>
    <w:p>
      <w:pPr>
        <w:spacing w:after="40"/>
        <w:ind w:left="312" w:hanging="142"/>
      </w:pPr>
      <w:r>
        <w:rPr>
          <w:b/>
          <w:sz w:val="19"/>
        </w:rPr>
        <w:t xml:space="preserve">• </w:t>
      </w:r>
      <w:r>
        <w:rPr>
          <w:sz w:val="19"/>
        </w:rPr>
        <w:t>Alle relevanten DOCX-Dateien wurden als PDF gerendert; die Seitenbilder wurden visuell geprüft.</w:t>
      </w:r>
    </w:p>
    <w:p>
      <w:pPr>
        <w:spacing w:after="40"/>
        <w:ind w:left="312" w:hanging="142"/>
      </w:pPr>
      <w:r>
        <w:rPr>
          <w:b/>
          <w:sz w:val="19"/>
        </w:rPr>
        <w:t xml:space="preserve">• </w:t>
      </w:r>
      <w:r>
        <w:rPr>
          <w:sz w:val="19"/>
        </w:rPr>
        <w:t>Die Tabellen bleiben innerhalb der Seitenränder. Kein erneutes Problem mit überbreiten Tabellen wurde im V6.2-Gesamtpaket festgestellt.</w:t>
      </w:r>
    </w:p>
    <w:p>
      <w:pPr>
        <w:spacing w:after="40"/>
        <w:ind w:left="312" w:hanging="142"/>
      </w:pPr>
      <w:r>
        <w:rPr>
          <w:b/>
          <w:sz w:val="19"/>
        </w:rPr>
        <w:t xml:space="preserve">• </w:t>
      </w:r>
      <w:r>
        <w:rPr>
          <w:sz w:val="19"/>
        </w:rPr>
        <w:t>Die Gesamtfassung ist mit 27 Seiten länger als eine reine Sitzungsunterlage; für Besprechungen sollte zusätzlich mit einer kompakten Kurzfassung oder Modulübersicht gearbeitet werden.</w:t>
      </w:r>
    </w:p>
    <w:p>
      <w:pPr>
        <w:spacing w:after="40"/>
        <w:ind w:left="312" w:hanging="142"/>
      </w:pPr>
      <w:r>
        <w:rPr>
          <w:b/>
          <w:sz w:val="19"/>
        </w:rPr>
        <w:t xml:space="preserve">• </w:t>
      </w:r>
      <w:r>
        <w:rPr>
          <w:sz w:val="19"/>
        </w:rPr>
        <w:t>Die Einzelbögen A-D sind besser druck- und besprechbar als das Gesamtpaket, wenn einzelne Zielgruppen oder Fachfragen diskutiert werden.</w:t>
      </w:r>
    </w:p>
    <w:p>
      <w:pPr>
        <w:spacing w:before="200" w:after="80"/>
      </w:pPr>
      <w:r>
        <w:rPr>
          <w:b/>
          <w:color w:val="00738A"/>
          <w:sz w:val="28"/>
        </w:rPr>
        <w:t>6. Fachliche und methodische Hinweise vor externer Nutzung</w:t>
      </w:r>
    </w:p>
    <w:p>
      <w:pPr>
        <w:spacing w:after="40"/>
        <w:ind w:left="312" w:hanging="142"/>
      </w:pPr>
      <w:r>
        <w:rPr>
          <w:b/>
          <w:sz w:val="19"/>
        </w:rPr>
        <w:t xml:space="preserve">• </w:t>
      </w:r>
      <w:r>
        <w:rPr>
          <w:sz w:val="19"/>
        </w:rPr>
        <w:t>Bogen A ersetzt keine klinische Diagnose und sollte als Vorab-Anamnese / Stratifizierungshilfe formuliert bleiben.</w:t>
      </w:r>
    </w:p>
    <w:p>
      <w:pPr>
        <w:spacing w:after="40"/>
        <w:ind w:left="312" w:hanging="142"/>
      </w:pPr>
      <w:r>
        <w:rPr>
          <w:b/>
          <w:sz w:val="19"/>
        </w:rPr>
        <w:t xml:space="preserve">• </w:t>
      </w:r>
      <w:r>
        <w:rPr>
          <w:sz w:val="19"/>
        </w:rPr>
        <w:t>Bogen C sollte im vollen Umfang erst eingesetzt werden, wenn ein realer oder zumindest simuliert demonstrierbarer RheumaCheck-Workflow vorliegt; sonst nur als Erwartungs-/Prototyp-Bewertung verwenden.</w:t>
      </w:r>
    </w:p>
    <w:p>
      <w:pPr>
        <w:spacing w:after="40"/>
        <w:ind w:left="312" w:hanging="142"/>
      </w:pPr>
      <w:r>
        <w:rPr>
          <w:b/>
          <w:sz w:val="19"/>
        </w:rPr>
        <w:t xml:space="preserve">• </w:t>
      </w:r>
      <w:r>
        <w:rPr>
          <w:sz w:val="19"/>
        </w:rPr>
        <w:t>Bei SUS-orientierten Items ist vor einer formalen Studie sicherzustellen, ob die Original-SUS-Skala korrekt und unverändert verwendet wird oder ob nur eine projektbezogene Usability-Erweiterung genutzt wird.</w:t>
      </w:r>
    </w:p>
    <w:p>
      <w:pPr>
        <w:spacing w:after="40"/>
        <w:ind w:left="312" w:hanging="142"/>
      </w:pPr>
      <w:r>
        <w:rPr>
          <w:b/>
          <w:sz w:val="19"/>
        </w:rPr>
        <w:t xml:space="preserve">• </w:t>
      </w:r>
      <w:r>
        <w:rPr>
          <w:sz w:val="19"/>
        </w:rPr>
        <w:t>Vor digitaler Umsetzung sind Datenschutz, Einwilligung, Zweckbindung und Export-/Auswertungslogik zu klären.</w:t>
      </w:r>
    </w:p>
    <w:p>
      <w:pPr>
        <w:spacing w:after="40"/>
        <w:ind w:left="312" w:hanging="142"/>
      </w:pPr>
      <w:r>
        <w:rPr>
          <w:b/>
          <w:sz w:val="19"/>
        </w:rPr>
        <w:t xml:space="preserve">• </w:t>
      </w:r>
      <w:r>
        <w:rPr>
          <w:sz w:val="19"/>
        </w:rPr>
        <w:t>Vor breiter Rheumanetzwerk-Befragung sollte mit Michael Zänker geklärt werden, welche klinischen Begriffe, Zeitachsen und Versorgungskategorien für die Zielgruppe am besten verständlich sind.</w:t>
      </w:r>
    </w:p>
    <w:p>
      <w:pPr>
        <w:spacing w:before="200" w:after="80"/>
      </w:pPr>
      <w:r>
        <w:rPr>
          <w:b/>
          <w:color w:val="00738A"/>
          <w:sz w:val="28"/>
        </w:rPr>
        <w:t>7. Entscheidungsvorschlag</w:t>
      </w:r>
    </w:p>
    <w:p>
      <w:pPr>
        <w:spacing w:after="80" w:line="259" w:lineRule="auto"/>
      </w:pPr>
      <w:r>
        <w:rPr>
          <w:sz w:val="19"/>
        </w:rPr>
        <w:t>QA-Empfehlung: V6.2 kann als fachlich tragfähige interne Arbeits- und Diskussionsfassung freigegeben werden. Die nächste Stufe sollte nicht eine komplette Neuentwicklung sein, sondern eine kontrollierte Abstimmungsrunde mit Robert Lange / salvevita, Prof. Frank Bier / IMDB und anschließend Michael Zänker / IKB.</w:t>
      </w:r>
    </w:p>
    <w:p>
      <w:pPr>
        <w:spacing w:after="80" w:line="259" w:lineRule="auto"/>
      </w:pPr>
      <w:r>
        <w:rPr>
          <w:sz w:val="19"/>
        </w:rPr>
        <w:t>Vorgeschlagene nächste Version nach Rückmeldungen: V6.3 - Abstimmungsfassung. Diese sollte nur Änderungen enthalten, die aus der fachlichen Abstimmung abgeleitet sind: Kürzung, Zusammenführung von Bogen B/D falls gewünscht, klinische Begriffsschärfung, digitale Pflichtfeld-/Sprunglogik und Datenschutztext.</w:t>
      </w:r>
    </w:p>
    <w:p>
      <w:pPr>
        <w:spacing w:before="200" w:after="80"/>
      </w:pPr>
      <w:r>
        <w:rPr>
          <w:b/>
          <w:color w:val="00738A"/>
          <w:sz w:val="28"/>
        </w:rPr>
        <w:t>8. Konkrete nächste Schritte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67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17"/>
              </w:rPr>
              <w:t>Nr.</w:t>
            </w:r>
          </w:p>
        </w:tc>
        <w:tc>
          <w:tcPr>
            <w:tcW w:type="dxa" w:w="3005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17"/>
              </w:rPr>
              <w:t>Schritt</w:t>
            </w:r>
          </w:p>
        </w:tc>
        <w:tc>
          <w:tcPr>
            <w:tcW w:type="dxa" w:w="4876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  <w:shd w:fill="D9EAF7"/>
          </w:tcPr>
          <w:p>
            <w:pPr>
              <w:spacing w:before="0" w:after="0"/>
            </w:pPr>
            <w:r>
              <w:rPr>
                <w:b/>
                <w:sz w:val="17"/>
              </w:rPr>
              <w:t>Ziel</w:t>
            </w:r>
          </w:p>
        </w:tc>
      </w:tr>
      <w:tr>
        <w:tc>
          <w:tcPr>
            <w:tcW w:type="dxa" w:w="567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005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Bogen B und D mit Robert Lange / salvevita durchgehen</w:t>
            </w:r>
          </w:p>
        </w:tc>
        <w:tc>
          <w:tcPr>
            <w:tcW w:type="dxa" w:w="4876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Klärung: Standardmethode vs. Implementierbarkeit; App-/Plattformbezug; Länge der ärztlichen Befragung.</w:t>
            </w:r>
          </w:p>
        </w:tc>
      </w:tr>
      <w:tr>
        <w:tc>
          <w:tcPr>
            <w:tcW w:type="dxa" w:w="567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005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Bogen A und C mit Michael Zänker / IKB fachlich plausibilisieren</w:t>
            </w:r>
          </w:p>
        </w:tc>
        <w:tc>
          <w:tcPr>
            <w:tcW w:type="dxa" w:w="4876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Klärung: klinische Symptome, Stratifizierungslogik, Patientengruppen, Studienzeitpunkt.</w:t>
            </w:r>
          </w:p>
        </w:tc>
      </w:tr>
      <w:tr>
        <w:tc>
          <w:tcPr>
            <w:tcW w:type="dxa" w:w="567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3005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Mit Frank Bier die Projektlogik und Förderlogik abgleichen</w:t>
            </w:r>
          </w:p>
        </w:tc>
        <w:tc>
          <w:tcPr>
            <w:tcW w:type="dxa" w:w="4876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Klärung: Erfüllt V6 das IMDB-Arbeitspaket? Welche Fassung wird dokumentiert / abgelegt?</w:t>
            </w:r>
          </w:p>
        </w:tc>
      </w:tr>
      <w:tr>
        <w:tc>
          <w:tcPr>
            <w:tcW w:type="dxa" w:w="567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005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Entscheiden, ob Bogen B und D getrennt bleiben</w:t>
            </w:r>
          </w:p>
        </w:tc>
        <w:tc>
          <w:tcPr>
            <w:tcW w:type="dxa" w:w="4876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Bei langer Befragung: B/D-Kombiversion für Rheumanetzwerk erstellen.</w:t>
            </w:r>
          </w:p>
        </w:tc>
      </w:tr>
      <w:tr>
        <w:tc>
          <w:tcPr>
            <w:tcW w:type="dxa" w:w="567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3005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Digitale Umsetzung vorbereiten</w:t>
            </w:r>
          </w:p>
        </w:tc>
        <w:tc>
          <w:tcPr>
            <w:tcW w:type="dxa" w:w="4876"/>
            <w:vAlign w:val="center"/>
            <w:tcBorders>
              <w:top w:sz="8" w:val="single" w:color="404040" w:space="0"/>
              <w:left w:sz="8" w:val="single" w:color="404040" w:space="0"/>
              <w:bottom w:sz="8" w:val="single" w:color="404040" w:space="0"/>
              <w:right w:sz="8" w:val="single" w:color="404040" w:space="0"/>
            </w:tcBorders>
          </w:tcPr>
          <w:p>
            <w:pPr>
              <w:spacing w:before="0" w:after="0"/>
            </w:pPr>
            <w:r>
              <w:rPr>
                <w:sz w:val="17"/>
              </w:rPr>
              <w:t>Formularlogik, Pflichtfelder, Sprunglogik, Datenexport, Datenschutz und Versionierung definieren.</w:t>
            </w:r>
          </w:p>
        </w:tc>
      </w:tr>
    </w:tbl>
    <w:p>
      <w:pPr>
        <w:spacing w:before="200" w:after="80"/>
      </w:pPr>
      <w:r>
        <w:rPr>
          <w:b/>
          <w:color w:val="00738A"/>
          <w:sz w:val="28"/>
        </w:rPr>
        <w:t>9. Schlussbewertung</w:t>
      </w:r>
    </w:p>
    <w:p>
      <w:pPr>
        <w:spacing w:after="80" w:line="259" w:lineRule="auto"/>
      </w:pPr>
      <w:r>
        <w:rPr>
          <w:sz w:val="19"/>
        </w:rPr>
        <w:t>Das V6.2-Paket ist gegenüber V5.1 deutlich näher am tatsächlichen Projektauftrag. Der wichtigste Fortschritt ist die klare Trennung zwischen patientengerichteten Fragebögen und ärztlich/versorgungsstrukturellen Befragungen. Damit ist der rote Faden wieder korrekt: Bogen A und C betreffen Patient:innen; Bogen B und D betreffen Rheumanetzwerk, Ärzt:innen und Implementierung. Die QA empfiehlt, V6.2 als robuste Arbeitsgrundlage zu verwenden und nach Rückmeldungen gezielt eine V6.3-Abstimmungsfassung zu erstellen.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91A8"/>
        <w:sz w:val="16"/>
      </w:rPr>
      <w:t>RheumaCheck | Fragebogenpaket V6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