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76A8"/>
          <w:sz w:val="36"/>
        </w:rPr>
        <w:t>RheumaCheck - Fragebogenarchitektur V6</w:t>
      </w:r>
    </w:p>
    <w:p>
      <w:pPr>
        <w:jc w:val="center"/>
      </w:pPr>
      <w:r>
        <w:rPr>
          <w:rFonts w:ascii="Arial" w:hAnsi="Arial"/>
          <w:i/>
          <w:sz w:val="22"/>
        </w:rPr>
        <w:t>Quellenbasierte Neuordnung des Fragebogenpakets mit vier Modulen</w:t>
      </w:r>
    </w:p>
    <w:p>
      <w:pPr>
        <w:spacing w:after="100" w:line="259" w:lineRule="auto"/>
      </w:pPr>
      <w:r>
        <w:rPr>
          <w:rFonts w:ascii="Arial" w:hAnsi="Arial"/>
          <w:b/>
          <w:sz w:val="20"/>
        </w:rPr>
        <w:t>Stand: 11.05.2026 | Arbeitsdokument für IMDB Potsdam / RheumaCheck</w:t>
      </w:r>
    </w:p>
    <w:p>
      <w:pPr>
        <w:pStyle w:val="Heading1"/>
        <w:spacing w:before="280" w:after="120"/>
      </w:pPr>
      <w:r>
        <w:t>1. Ausgangspunkt und wichtigste neue Erkenntnis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Nach erneuter Sichtung des vollständigen RheumaCheck-Projektordners ist die bisherige Dreiteilung grundsätzlich richtig, muss aber präzisiert werden. Die Originalquellen zeigen: Es gibt patientengerichtete Fragebogenanteile, aber die Umfrage zur Standardmethode ist im IMDB-Arbeitspaket AP8 ausdrücklich als Umfrage unter Mitgliedern des Rheumanetzwerks beschrieben. Damit ist ein ärztlich/versorgungsstruktureller Fragebogen kein bloßes Zusatznice-to-have, sondern gehört sehr wahrscheinlich zum Kern der IMDB-Aufgabe.</w:t>
      </w:r>
    </w:p>
    <w:p>
      <w:pPr>
        <w:pStyle w:val="ListBullet"/>
        <w:spacing w:after="60"/>
      </w:pPr>
      <w:r>
        <w:rPr>
          <w:b/>
        </w:rPr>
        <w:t xml:space="preserve">Kernkorrektur: </w:t>
      </w:r>
      <w:r>
        <w:t>Bogen 2 sollte nicht mehr primär als Patienten-Ist-Stand-Bogen verstanden werden, sondern als Rheumanetzwerk-/Ärztebefragung zur Standardmethode und zum Versorgungspfad.</w:t>
      </w:r>
    </w:p>
    <w:p>
      <w:pPr>
        <w:pStyle w:val="ListBullet"/>
        <w:spacing w:after="60"/>
      </w:pPr>
      <w:r>
        <w:rPr>
          <w:b/>
        </w:rPr>
        <w:t xml:space="preserve">Weiterhin richtig: </w:t>
      </w:r>
      <w:r>
        <w:t>Bogen 1 als Patienten-Anamnese/Stratifizierung und Bogen 3 als Patienten-Usability/Nutzenbogen bleiben fachlich sinnvoll.</w:t>
      </w:r>
    </w:p>
    <w:p>
      <w:pPr>
        <w:pStyle w:val="ListBullet"/>
        <w:spacing w:after="60"/>
      </w:pPr>
      <w:r>
        <w:rPr>
          <w:b/>
        </w:rPr>
        <w:t xml:space="preserve">Neu sinnvoll ergänzt: </w:t>
      </w:r>
      <w:r>
        <w:t>Bogen 4 als ärztliche Einschätzung zur Implementierbarkeit und zum erwarteten Nutzen von RheumaCheck; dieser kann später mit Bogen 2 zusammengeführt oder separat geführt werden.</w:t>
      </w:r>
    </w:p>
    <w:p>
      <w:pPr>
        <w:pStyle w:val="Heading1"/>
        <w:spacing w:before="280" w:after="120"/>
      </w:pPr>
      <w:r>
        <w:t>2. Quellenlage im Projektordner</w:t>
      </w:r>
    </w:p>
    <w:tbl>
      <w:tblPr>
        <w:tblW w:type="pct" w:w="470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6"/>
              </w:rPr>
              <w:t>Quelle</w:t>
            </w:r>
          </w:p>
        </w:tc>
        <w:tc>
          <w:tcPr>
            <w:tcW w:type="dxa" w:w="3515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6"/>
              </w:rPr>
              <w:t>Pfad / Dokument</w:t>
            </w:r>
          </w:p>
        </w:tc>
        <w:tc>
          <w:tcPr>
            <w:tcW w:type="dxa" w:w="4139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6"/>
              </w:rPr>
              <w:t>Relevanz für Fragebogenpaket</w:t>
            </w:r>
          </w:p>
        </w:tc>
      </w:tr>
      <w:tr>
        <w:tc>
          <w:tcPr>
            <w:tcW w:type="dxa" w:w="19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Gesamtverbundbeschreibung</w:t>
            </w:r>
          </w:p>
        </w:tc>
        <w:tc>
          <w:tcPr>
            <w:tcW w:type="dxa" w:w="3515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Antrag/Gesamtvorhabenbeschreibung/RheumaCheck_Gesamtverbundbeschreibung_VOLLANTRAG.docx</w:t>
            </w:r>
          </w:p>
        </w:tc>
        <w:tc>
          <w:tcPr>
            <w:tcW w:type="dxa" w:w="4139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AP4: Einbindung von Testdaten und Fragebogen; AP7: Patientenbefragung und Stratifizierung; AP8: Vergleich RheumaCheck mit Standardmethode und Auswertung der Ergebnisse.</w:t>
            </w:r>
          </w:p>
        </w:tc>
      </w:tr>
      <w:tr>
        <w:tc>
          <w:tcPr>
            <w:tcW w:type="dxa" w:w="19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IMDB-Teilvorhabenbeschreibung</w:t>
            </w:r>
          </w:p>
        </w:tc>
        <w:tc>
          <w:tcPr>
            <w:tcW w:type="dxa" w:w="3515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Antrag/IMDB_TVH/Beantragt/Teilvorhabenbeschreibung-AZA-IMDB_RheumaCheck_VOLLANTRAG.docx</w:t>
            </w:r>
          </w:p>
        </w:tc>
        <w:tc>
          <w:tcPr>
            <w:tcW w:type="dxa" w:w="4139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AP8: Studie zur Wirkung der Maßnahme auf die Versorgung von RA-Patienten; Erstellung Umfrage zur Standardmethode; Umfrage unter Mitgliedern des Rheumanetzwerks; AP4: Digitalplattform mit Testdaten und Fragebogen.</w:t>
            </w:r>
          </w:p>
        </w:tc>
      </w:tr>
      <w:tr>
        <w:tc>
          <w:tcPr>
            <w:tcW w:type="dxa" w:w="19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salvevita-Teilvorhabenbeschreibung</w:t>
            </w:r>
          </w:p>
        </w:tc>
        <w:tc>
          <w:tcPr>
            <w:tcW w:type="dxa" w:w="3515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Antrag/salvevita_TVH/salvevita Teilvorhabenbeschreibung-VOLLANTRAG.docx</w:t>
            </w:r>
          </w:p>
        </w:tc>
        <w:tc>
          <w:tcPr>
            <w:tcW w:type="dxa" w:w="4139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AP4.1: interaktiver Fragebogen und telemedizinische Plattform; AP4.2: neue interaktive Userelemente; AP5.2: elektronische Formulare, Terminsteuerung und Datenübertragungswege.</w:t>
            </w:r>
          </w:p>
        </w:tc>
      </w:tr>
      <w:tr>
        <w:tc>
          <w:tcPr>
            <w:tcW w:type="dxa" w:w="19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IKB-Teilvorhabenbeschreibung</w:t>
            </w:r>
          </w:p>
        </w:tc>
        <w:tc>
          <w:tcPr>
            <w:tcW w:type="dxa" w:w="3515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Antrag/IKB_TVH/beantragt/Teilvorhabenbeschreibung-AZA-IKB_RheumaCheck_VOLLANTRAG.docx</w:t>
            </w:r>
          </w:p>
        </w:tc>
        <w:tc>
          <w:tcPr>
            <w:tcW w:type="dxa" w:w="4139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Rekrutierung von Patientengruppen, Patientendaten für Stratifizierung und Softwareeinlernen, Feedback zur Benutzerfreundlichkeit und Testdesign nach realen Tests.</w:t>
            </w:r>
          </w:p>
        </w:tc>
      </w:tr>
      <w:tr>
        <w:tc>
          <w:tcPr>
            <w:tcW w:type="dxa" w:w="19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Zwischenbericht 2025</w:t>
            </w:r>
          </w:p>
        </w:tc>
        <w:tc>
          <w:tcPr>
            <w:tcW w:type="dxa" w:w="3515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Berichte/Zwischenbericht 2025/Zwichenbericht_2025_kurz.docx / ZB_13GW0761C_20260210.pdf</w:t>
            </w:r>
          </w:p>
        </w:tc>
        <w:tc>
          <w:tcPr>
            <w:tcW w:type="dxa" w:w="4139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Recherche und Vorbereitung der Umfrage zur Standardmethode in Absprache mit IKB.</w:t>
            </w:r>
          </w:p>
        </w:tc>
      </w:tr>
      <w:tr>
        <w:tc>
          <w:tcPr>
            <w:tcW w:type="dxa" w:w="19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Jour fixe 09.04.2026</w:t>
            </w:r>
          </w:p>
        </w:tc>
        <w:tc>
          <w:tcPr>
            <w:tcW w:type="dxa" w:w="3515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2026_04_09_RC_JF-Protokoll_HPE.pdf</w:t>
            </w:r>
          </w:p>
        </w:tc>
        <w:tc>
          <w:tcPr>
            <w:tcW w:type="dxa" w:w="4139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Fragebögen und Begleitforschung: erst Grobabstimmung mit Robert Lange, danach Feinabstimmung mit Michael Zänker.</w:t>
            </w:r>
          </w:p>
        </w:tc>
      </w:tr>
      <w:tr>
        <w:tc>
          <w:tcPr>
            <w:tcW w:type="dxa" w:w="19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Jour fixe 07.05.2026</w:t>
            </w:r>
          </w:p>
        </w:tc>
        <w:tc>
          <w:tcPr>
            <w:tcW w:type="dxa" w:w="3515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2026_05_07_RC_JF-Protokoll_HPE_V2_c.pdf</w:t>
            </w:r>
          </w:p>
        </w:tc>
        <w:tc>
          <w:tcPr>
            <w:tcW w:type="dxa" w:w="4139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IMDB hat erste Vorarbeiten zu Fragebögen und Begleitforschung begonnen; Themen bleiben zu schärfen und abzustimmen.</w:t>
            </w:r>
          </w:p>
        </w:tc>
      </w:tr>
    </w:tbl>
    <w:p>
      <w:pPr>
        <w:pStyle w:val="Heading1"/>
        <w:spacing w:before="280" w:after="120"/>
      </w:pPr>
      <w:r>
        <w:t>3. Explizit belegte Aufgabenbestandteile</w:t>
      </w:r>
    </w:p>
    <w:tbl>
      <w:tblPr>
        <w:tblW w:type="pct" w:w="470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6"/>
              </w:rPr>
              <w:t>Belegfeld</w:t>
            </w:r>
          </w:p>
        </w:tc>
        <w:tc>
          <w:tcPr>
            <w:tcW w:type="dxa" w:w="36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6"/>
              </w:rPr>
              <w:t>Originalnahe Aussage</w:t>
            </w:r>
          </w:p>
        </w:tc>
        <w:tc>
          <w:tcPr>
            <w:tcW w:type="dxa" w:w="374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6"/>
              </w:rPr>
              <w:t>Ableitung für V6</w:t>
            </w:r>
          </w:p>
        </w:tc>
      </w:tr>
      <w:tr>
        <w:tc>
          <w:tcPr>
            <w:tcW w:type="dxa" w:w="198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AP4 / Digitalplattform</w:t>
            </w:r>
          </w:p>
        </w:tc>
        <w:tc>
          <w:tcPr>
            <w:tcW w:type="dxa" w:w="36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Einbindung von Testdaten und Fragebogen; Anpassung der salvevita-Software; interaktiver Fragebogen und telemedizinische Plattform.</w:t>
            </w:r>
          </w:p>
        </w:tc>
        <w:tc>
          <w:tcPr>
            <w:tcW w:type="dxa" w:w="374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Patientenbogen A und digitale Infrastruktur; digitale Formularlogik; spätere App-/Plattformfähigkeit.</w:t>
            </w:r>
          </w:p>
        </w:tc>
      </w:tr>
      <w:tr>
        <w:tc>
          <w:tcPr>
            <w:tcW w:type="dxa" w:w="198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AP7 / Machbarkeitsstudie</w:t>
            </w:r>
          </w:p>
        </w:tc>
        <w:tc>
          <w:tcPr>
            <w:tcW w:type="dxa" w:w="36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Patientenbefragung und Stratifizierung; Patientengruppen; reale Tests; klassische Labortests parallel.</w:t>
            </w:r>
          </w:p>
        </w:tc>
        <w:tc>
          <w:tcPr>
            <w:tcW w:type="dxa" w:w="374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Patientenbogen A; Patienten-Usability C; klinische Validierung und Testdatenbezug.</w:t>
            </w:r>
          </w:p>
        </w:tc>
      </w:tr>
      <w:tr>
        <w:tc>
          <w:tcPr>
            <w:tcW w:type="dxa" w:w="198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AP8 / Erfolgskontrolle</w:t>
            </w:r>
          </w:p>
        </w:tc>
        <w:tc>
          <w:tcPr>
            <w:tcW w:type="dxa" w:w="36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Vergleich RheumaCheck mit Standardmethode; Erstellung Umfrage zur Standardmethode; Umfrage unter Mitgliedern des Rheumanetzwerks.</w:t>
            </w:r>
          </w:p>
        </w:tc>
        <w:tc>
          <w:tcPr>
            <w:tcW w:type="dxa" w:w="374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Ärzte-/Rheumanetzwerk-Bogen B; Wirkungsmessung; Versorgungspfad; Versorgungsnutzen.</w:t>
            </w:r>
          </w:p>
        </w:tc>
      </w:tr>
      <w:tr>
        <w:tc>
          <w:tcPr>
            <w:tcW w:type="dxa" w:w="198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salvevita AP5.2</w:t>
            </w:r>
          </w:p>
        </w:tc>
        <w:tc>
          <w:tcPr>
            <w:tcW w:type="dxa" w:w="36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Erforschung und Optimierung elektronischer Formulare, Terminsteuerungselemente und Datenübertragungswege.</w:t>
            </w:r>
          </w:p>
        </w:tc>
        <w:tc>
          <w:tcPr>
            <w:tcW w:type="dxa" w:w="374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Digitale Umsetzung, Sprunglogik, Workflow-Integration, Usability.</w:t>
            </w:r>
          </w:p>
        </w:tc>
      </w:tr>
      <w:tr>
        <w:tc>
          <w:tcPr>
            <w:tcW w:type="dxa" w:w="198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IKB-Teilvorhaben</w:t>
            </w:r>
          </w:p>
        </w:tc>
        <w:tc>
          <w:tcPr>
            <w:tcW w:type="dxa" w:w="362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Patientendaten, Rekrutierung, Stratifizierung, Feedback zur Benutzerfreundlichkeit und zum Testdesign.</w:t>
            </w:r>
          </w:p>
        </w:tc>
        <w:tc>
          <w:tcPr>
            <w:tcW w:type="dxa" w:w="374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Klinische Feinabstimmung, Patientengruppen, Datenstruktur, späterer Nutzertest.</w:t>
            </w:r>
          </w:p>
        </w:tc>
      </w:tr>
    </w:tbl>
    <w:p>
      <w:pPr>
        <w:pStyle w:val="Heading1"/>
        <w:spacing w:before="280" w:after="120"/>
      </w:pPr>
      <w:r>
        <w:t>4. Bereinigtes V6-Modulkonzept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Das V6-Konzept besteht aus vier getrennten Modulen. Diese Trennung verhindert, dass Patientenanamnese, Versorgungsanalyse, Usability und ärztliche Implementierbarkeit vermischt werden. Zugleich bleibt es möglich, B und D später zu einem gemeinsamen Ärzte-/Rheumanetzwerk-Fragebogen zusammenzuführen, falls die Befragung zu lang wird.</w:t>
      </w:r>
    </w:p>
    <w:p>
      <w:pPr>
        <w:pStyle w:val="Heading2"/>
        <w:spacing w:before="200" w:after="120"/>
      </w:pPr>
      <w:r>
        <w:t>Modul A - Patienten-Vorab-Anamnese und Stratifizierung</w:t>
      </w:r>
    </w:p>
    <w:tbl>
      <w:tblPr>
        <w:tblW w:type="pct" w:w="470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7"/>
              </w:rPr>
              <w:t>Zielgruppe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7"/>
              </w:rPr>
              <w:t>Patientinnen/Patienten mit unklaren Gelenkbeschwerden oder Verdacht auf frühe RA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Zeitpunkt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vor Test / vor Terminsteuerung / beim digitalen Einstieg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Kerninhalte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Symptomdauer, kleine Hand-/Fußgelenke, Morgensteifigkeit, Schwellung, Schmerz, Funktion, Vorbefunde, Laborwissen, bisherige Abklärung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Quellenlogik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GVB AP4/AP7, IKB-Patientengruppen, NICE/EULAR-RA-Frühzeichen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Umsetzungsform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patientengerichtet; später digital mit Sprunglogik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Status im V6-Konzept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als getrenntes, eigenständiges Fragebogenmodul entwickeln</w:t>
            </w:r>
          </w:p>
        </w:tc>
      </w:tr>
    </w:tbl>
    <w:p>
      <w:pPr>
        <w:pStyle w:val="Heading2"/>
        <w:spacing w:before="200" w:after="120"/>
      </w:pPr>
      <w:r>
        <w:t>Modul B - Standardmethode und Versorgungspfad im Rheumanetzwerk</w:t>
      </w:r>
    </w:p>
    <w:tbl>
      <w:tblPr>
        <w:tblW w:type="pct" w:w="470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7"/>
              </w:rPr>
              <w:t>Zielgruppe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7"/>
              </w:rPr>
              <w:t>Mitglieder des Rheumanetzwerks: Rheumatologie, Hausärzte/Internisten, Klinik-/Ambulanzakteure, ggf. Praxis-/Studienkoordination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Zeitpunkt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jetzt/früh, als AP8-Erhebung; aktualisierbar vor späterer Auswertung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Kerninhalte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heutiger Standardpfad, Zeit bis Erstdiagnose, Zeit bis Therapieeinleitung, Zuweisungswege, Flaschenhälse, Labor-/Überweisungslogik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Quellenlogik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IMDB AP8: Umfrage zur Standardmethode und Rheumanetzwerk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Umsetzungsform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ärztlich/versorgungsstrukturell; online-Umfrage empfohlen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Status im V6-Konzept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als getrenntes, eigenständiges Fragebogenmodul entwickeln</w:t>
            </w:r>
          </w:p>
        </w:tc>
      </w:tr>
    </w:tbl>
    <w:p>
      <w:pPr>
        <w:pStyle w:val="Heading2"/>
        <w:spacing w:before="200" w:after="120"/>
      </w:pPr>
      <w:r>
        <w:t>Modul C - Patienten-Usability, Vertrauen und Versorgungsnutzen nach Nutzung</w:t>
      </w:r>
    </w:p>
    <w:tbl>
      <w:tblPr>
        <w:tblW w:type="pct" w:w="470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7"/>
              </w:rPr>
              <w:t>Zielgruppe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7"/>
              </w:rPr>
              <w:t>Patientinnen/Patienten bzw. Testnutzer nach App/Test/Workflow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Zeitpunkt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nach Nutzung des Systems bzw. nach Testdurchlauf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Kerninhalte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Verständlichkeit, Blutentnahme/Testhandling, Ergebnisanzeige, Vertrauen, wahrgenommener Nutzen, Zugang zur Rheumatologie, SUS-kompatible Usability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Quellenlogik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IMDB Erfolgskontrolle, salvevita UI, IKB Feedback zur Benutzerfreundlichkeit, SUS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Umsetzungsform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patientengerichtet; ideal direkt in App/Forms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Status im V6-Konzept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als getrenntes, eigenständiges Fragebogenmodul entwickeln</w:t>
            </w:r>
          </w:p>
        </w:tc>
      </w:tr>
    </w:tbl>
    <w:p>
      <w:pPr>
        <w:pStyle w:val="Heading2"/>
        <w:spacing w:before="200" w:after="120"/>
      </w:pPr>
      <w:r>
        <w:t>Modul D - Ärztliche Einschätzung, klinische Implementierbarkeit und erwarteter Nutzen</w:t>
      </w:r>
    </w:p>
    <w:tbl>
      <w:tblPr>
        <w:tblW w:type="pct" w:w="470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7"/>
              </w:rPr>
              <w:t>Zielgruppe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7"/>
              </w:rPr>
              <w:t>Ärztinnen/Ärzte, Rheumatologinnen/Rheumatologen, Hausarztpraxen, Ambulanzen, MVZ, Klinikpartner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Zeitpunkt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bereits jetzt möglich, auch vor finalem Testsystem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Kerninhalte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klinische Sinnhaftigkeit, Einsatzort, Evidenzanforderungen, notwendige Testgüte, Workflow-Integration, Barrieren, Pilotbereitschaft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Quellenlogik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aus AP8/Rheumanetzwerk logisch abzuleiten; stark ergänzendes Begleitforschungsmodul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Umsetzungsform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strategische Ergänzung; kann ggf. mit B kombiniert werden</w:t>
            </w:r>
          </w:p>
        </w:tc>
      </w:tr>
      <w:tr>
        <w:tc>
          <w:tcPr>
            <w:tcW w:type="dxa" w:w="215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Status im V6-Konzept</w:t>
            </w:r>
          </w:p>
        </w:tc>
        <w:tc>
          <w:tcPr>
            <w:tcW w:type="dxa" w:w="7087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7"/>
              </w:rPr>
              <w:t>als getrenntes, eigenständiges Fragebogenmodul entwickeln</w:t>
            </w:r>
          </w:p>
        </w:tc>
      </w:tr>
    </w:tbl>
    <w:p>
      <w:pPr>
        <w:pStyle w:val="Heading1"/>
        <w:spacing w:before="280" w:after="120"/>
      </w:pPr>
      <w:r>
        <w:t>5. Digitale Zielarchitektur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Die Fragebögen sollten zunächst als Word-/Papier-/Forms-Version fachlich freigegeben werden, aber von Anfang an digitalisierbar gedacht sein. Das bedeutet: klare Antwortoptionen, möglichst wenige Freitexte, definierte Pflichtfelder, eindeutige Variablen, Exportfähigkeit und spätere Sprunglogik.</w:t>
      </w:r>
    </w:p>
    <w:p>
      <w:pPr>
        <w:pStyle w:val="ListBullet"/>
        <w:spacing w:after="60"/>
      </w:pPr>
      <w:r>
        <w:rPr>
          <w:b/>
        </w:rPr>
        <w:t xml:space="preserve">Bogen A: </w:t>
      </w:r>
      <w:r>
        <w:t>Sprunglogik bei Gelenkschmerz, Morgensteifigkeit, bekannten Laborwerten und bisherigen Arztkontakten; spätere Verknüpfung mit Testdaten.</w:t>
      </w:r>
    </w:p>
    <w:p>
      <w:pPr>
        <w:pStyle w:val="ListBullet"/>
        <w:spacing w:after="60"/>
      </w:pPr>
      <w:r>
        <w:rPr>
          <w:b/>
        </w:rPr>
        <w:t xml:space="preserve">Bogen B: </w:t>
      </w:r>
      <w:r>
        <w:t>Online-Umfrage für Netzwerkmitglieder; Fokus auf Zeitachsen, Prozessschritte, Überweisung und Engpässe.</w:t>
      </w:r>
    </w:p>
    <w:p>
      <w:pPr>
        <w:pStyle w:val="ListBullet"/>
        <w:spacing w:after="60"/>
      </w:pPr>
      <w:r>
        <w:rPr>
          <w:b/>
        </w:rPr>
        <w:t xml:space="preserve">Bogen C: </w:t>
      </w:r>
      <w:r>
        <w:t>Ausspielung nach Nutzung des Systems; SUS-kompatible Skala plus projektspezifische Fragen zu Vertrauen, Ergebnisverständnis und Versorgungsnutzen.</w:t>
      </w:r>
    </w:p>
    <w:p>
      <w:pPr>
        <w:pStyle w:val="ListBullet"/>
        <w:spacing w:after="60"/>
      </w:pPr>
      <w:r>
        <w:rPr>
          <w:b/>
        </w:rPr>
        <w:t xml:space="preserve">Bogen D: </w:t>
      </w:r>
      <w:r>
        <w:t>Befragung von Ärztinnen/Ärzten zu klinischem Nutzen, Einsatzort, Evidenzanforderungen, Workflow und Barrieren; besonders wertvoll vor finalem Testsystem.</w:t>
      </w:r>
    </w:p>
    <w:p>
      <w:pPr>
        <w:pStyle w:val="Heading1"/>
        <w:spacing w:before="280" w:after="120"/>
      </w:pPr>
      <w:r>
        <w:t>6. Fachliche externe Orientierung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Für die fachliche Schärfung der Fragen sollten die Projektquellen mit aktuellen klinischen und methodischen Standards kombiniert werden. Die folgenden Punkte sind keine neuen Projektverpflichtungen, sondern fachliche Orientierungen für die Ausgestaltung.</w:t>
      </w:r>
    </w:p>
    <w:tbl>
      <w:tblPr>
        <w:tblW w:type="pct" w:w="470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71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6"/>
              </w:rPr>
              <w:t>Thema</w:t>
            </w:r>
          </w:p>
        </w:tc>
        <w:tc>
          <w:tcPr>
            <w:tcW w:type="dxa" w:w="3515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6"/>
              </w:rPr>
              <w:t>Externe Orientierung</w:t>
            </w:r>
          </w:p>
        </w:tc>
        <w:tc>
          <w:tcPr>
            <w:tcW w:type="dxa" w:w="391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6"/>
              </w:rPr>
              <w:t>Konsequenz für Fragebögen</w:t>
            </w:r>
          </w:p>
        </w:tc>
      </w:tr>
      <w:tr>
        <w:tc>
          <w:tcPr>
            <w:tcW w:type="dxa" w:w="1871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Frühe RA-Abklärung</w:t>
            </w:r>
          </w:p>
        </w:tc>
        <w:tc>
          <w:tcPr>
            <w:tcW w:type="dxa" w:w="3515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NICE: dringliche Überweisung bei Verdacht auf persistierende Synovitis, besonders kleine Hand-/Fußgelenke, mehr als ein Gelenk, Verzögerung &gt;=3 Monate.</w:t>
            </w:r>
          </w:p>
        </w:tc>
        <w:tc>
          <w:tcPr>
            <w:tcW w:type="dxa" w:w="391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Bogen A muss kleine Gelenke, Mehrgelenkbeteiligung und Symptomdauer systematisch abfragen.</w:t>
            </w:r>
          </w:p>
        </w:tc>
      </w:tr>
      <w:tr>
        <w:tc>
          <w:tcPr>
            <w:tcW w:type="dxa" w:w="1871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At-risk Arthralgie</w:t>
            </w:r>
          </w:p>
        </w:tc>
        <w:tc>
          <w:tcPr>
            <w:tcW w:type="dxa" w:w="3515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EULAR/ACR 2025: Risikostratifizierung berücksichtigt Morgensteifigkeit, patientenberichtete Gelenkschwellung und Schwierigkeit, eine Faust zu machen.</w:t>
            </w:r>
          </w:p>
        </w:tc>
        <w:tc>
          <w:tcPr>
            <w:tcW w:type="dxa" w:w="391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Bogen A sollte Morgensteifigkeit, Schwellung und Faustschluss-/Greiffunktion abfragen.</w:t>
            </w:r>
          </w:p>
        </w:tc>
      </w:tr>
      <w:tr>
        <w:tc>
          <w:tcPr>
            <w:tcW w:type="dxa" w:w="1871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Telehealth/PROMs</w:t>
            </w:r>
          </w:p>
        </w:tc>
        <w:tc>
          <w:tcPr>
            <w:tcW w:type="dxa" w:w="3515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ACR-Telehealth-Anpassung: RAPID3, HAQ-II, MDHAQ und PROMIS PF-10 lassen sich für Telehealth weitgehend adaptieren.</w:t>
            </w:r>
          </w:p>
        </w:tc>
        <w:tc>
          <w:tcPr>
            <w:tcW w:type="dxa" w:w="391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Funktion, Schmerz und Patient Global können kurz und standardisiert erhoben werden.</w:t>
            </w:r>
          </w:p>
        </w:tc>
      </w:tr>
      <w:tr>
        <w:tc>
          <w:tcPr>
            <w:tcW w:type="dxa" w:w="1871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Usability</w:t>
            </w:r>
          </w:p>
        </w:tc>
        <w:tc>
          <w:tcPr>
            <w:tcW w:type="dxa" w:w="3515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SUS: etablierte 10-Item-Skala zur globalen subjektiven Bewertung der Usability.</w:t>
            </w:r>
          </w:p>
        </w:tc>
        <w:tc>
          <w:tcPr>
            <w:tcW w:type="dxa" w:w="391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Bogen C sollte SUS-kompatibel oder SUS-integriert aufgebaut werden.</w:t>
            </w:r>
          </w:p>
        </w:tc>
      </w:tr>
    </w:tbl>
    <w:p>
      <w:pPr>
        <w:pStyle w:val="Heading1"/>
        <w:spacing w:before="280" w:after="120"/>
      </w:pPr>
      <w:r>
        <w:t>7. Priorisierter Arbeitsplan für die nächsten Artefakte</w:t>
      </w:r>
    </w:p>
    <w:p>
      <w:pPr>
        <w:pStyle w:val="ListNumber"/>
        <w:spacing w:after="60"/>
      </w:pPr>
      <w:r>
        <w:t>Bestehenden Bogen A aus V5.1 übernehmen und gegen V6-Quellenlogik prüfen; bei Bedarf klinische Items Morgensteifigkeit, Schwellung, Faustschluss/Greiffunktion, kleine Gelenke schärfen.</w:t>
      </w:r>
    </w:p>
    <w:p>
      <w:pPr>
        <w:pStyle w:val="ListNumber"/>
        <w:spacing w:after="60"/>
      </w:pPr>
      <w:r>
        <w:t>Bogen B neu aufsetzen: nicht Patienten-Ist-Stand, sondern Rheumanetzwerk-/Ärztebefragung zur Standardmethode, Zeit bis Erstdiagnose und Therapieeinleitung.</w:t>
      </w:r>
    </w:p>
    <w:p>
      <w:pPr>
        <w:pStyle w:val="ListNumber"/>
        <w:spacing w:after="60"/>
      </w:pPr>
      <w:r>
        <w:t>Bogen C übernehmen und als post-use Patientenbogen mit SUS-kompatibler Usability und projektspezifischem Versorgungsnutzen weiterführen.</w:t>
      </w:r>
    </w:p>
    <w:p>
      <w:pPr>
        <w:pStyle w:val="ListNumber"/>
        <w:spacing w:after="60"/>
      </w:pPr>
      <w:r>
        <w:t>Bogen D neu erstellen: ärztliche Implementierbarkeit, klinischer Nutzen, notwendige Testgüte, Evidenzanforderungen, Workflow-Integration und Pilotbereitschaft.</w:t>
      </w:r>
    </w:p>
    <w:p>
      <w:pPr>
        <w:pStyle w:val="ListNumber"/>
        <w:spacing w:after="60"/>
      </w:pPr>
      <w:r>
        <w:t>Gesamtpaket V6 erstellen: vier Einzelfassungen, Gesamtpaket, Entscheidungsfragen für Robert/Michael/Frank, digitale Datenstruktur und kurze Dienstag-/Meetingfassung.</w:t>
      </w:r>
    </w:p>
    <w:p>
      <w:pPr>
        <w:pStyle w:val="Heading1"/>
        <w:spacing w:before="280" w:after="120"/>
      </w:pPr>
      <w:r>
        <w:t>8. Offene Entscheidungsfragen</w:t>
      </w:r>
    </w:p>
    <w:tbl>
      <w:tblPr>
        <w:tblW w:type="pct" w:w="470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6"/>
              </w:rPr>
              <w:t>Adressat</w:t>
            </w:r>
          </w:p>
        </w:tc>
        <w:tc>
          <w:tcPr>
            <w:tcW w:type="dxa" w:w="408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6"/>
              </w:rPr>
              <w:t>Frage</w:t>
            </w:r>
          </w:p>
        </w:tc>
        <w:tc>
          <w:tcPr>
            <w:tcW w:type="dxa" w:w="328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  <w:shd w:fill="D9EAF7"/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6"/>
              </w:rPr>
              <w:t>Warum wichtig</w:t>
            </w:r>
          </w:p>
        </w:tc>
      </w:tr>
      <w:tr>
        <w:tc>
          <w:tcPr>
            <w:tcW w:type="dxa" w:w="198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Robert Lange / salvevita</w:t>
            </w:r>
          </w:p>
        </w:tc>
        <w:tc>
          <w:tcPr>
            <w:tcW w:type="dxa" w:w="408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Welche Fragebogenmodule sollen in die Plattform und welche bleiben Forschungs-/Begleitdokumente?</w:t>
            </w:r>
          </w:p>
        </w:tc>
        <w:tc>
          <w:tcPr>
            <w:tcW w:type="dxa" w:w="328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entscheidet über digitale Umsetzung, Pflichtfelder, Sprunglogik, Datenexport</w:t>
            </w:r>
          </w:p>
        </w:tc>
      </w:tr>
      <w:tr>
        <w:tc>
          <w:tcPr>
            <w:tcW w:type="dxa" w:w="198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Michael Zänker / IKB</w:t>
            </w:r>
          </w:p>
        </w:tc>
        <w:tc>
          <w:tcPr>
            <w:tcW w:type="dxa" w:w="408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Welche klinischen Items sind für Patientenstratifizierung und Studienlogik unverzichtbar?</w:t>
            </w:r>
          </w:p>
        </w:tc>
        <w:tc>
          <w:tcPr>
            <w:tcW w:type="dxa" w:w="328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entscheidet über medizinische Plausibilität und Patientengruppen</w:t>
            </w:r>
          </w:p>
        </w:tc>
      </w:tr>
      <w:tr>
        <w:tc>
          <w:tcPr>
            <w:tcW w:type="dxa" w:w="198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Frank Bier / IMDB</w:t>
            </w:r>
          </w:p>
        </w:tc>
        <w:tc>
          <w:tcPr>
            <w:tcW w:type="dxa" w:w="408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Welche Module sind IMDB-Arbeitspaket, welche Partnerzulieferung und welche optional strategisch?</w:t>
            </w:r>
          </w:p>
        </w:tc>
        <w:tc>
          <w:tcPr>
            <w:tcW w:type="dxa" w:w="328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entscheidet über Projektfokus und Ressourcen</w:t>
            </w:r>
          </w:p>
        </w:tc>
      </w:tr>
      <w:tr>
        <w:tc>
          <w:tcPr>
            <w:tcW w:type="dxa" w:w="1984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Robert + Michael</w:t>
            </w:r>
          </w:p>
        </w:tc>
        <w:tc>
          <w:tcPr>
            <w:tcW w:type="dxa" w:w="4082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Soll Bogen B und D zusammengelegt werden oder getrennt bleiben?</w:t>
            </w:r>
          </w:p>
        </w:tc>
        <w:tc>
          <w:tcPr>
            <w:tcW w:type="dxa" w:w="3288"/>
            <w:vAlign w:val="top"/>
            <w:tcBorders>
              <w:top w:val="single" w:sz="5" w:space="0" w:color="666666"/>
              <w:left w:val="single" w:sz="5" w:space="0" w:color="666666"/>
              <w:bottom w:val="single" w:sz="5" w:space="0" w:color="666666"/>
              <w:right w:val="single" w:sz="5" w:space="0" w:color="666666"/>
              <w:insideH w:val="single" w:sz="5" w:space="0" w:color="666666"/>
              <w:insideV w:val="single" w:sz="5" w:space="0" w:color="666666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sz w:val="16"/>
              </w:rPr>
              <w:t>entscheidet über Umfragelänge und Zielgruppenlogik</w:t>
            </w:r>
          </w:p>
        </w:tc>
      </w:tr>
    </w:tbl>
    <w:p>
      <w:pPr>
        <w:pStyle w:val="Heading1"/>
        <w:spacing w:before="280" w:after="120"/>
      </w:pPr>
      <w:r>
        <w:t>9. Qualitäts- und Layoutregeln für die nächsten Dokumente</w:t>
      </w:r>
    </w:p>
    <w:p>
      <w:pPr>
        <w:pStyle w:val="ListBullet"/>
        <w:spacing w:after="60"/>
      </w:pPr>
      <w:r>
        <w:t>Jeden Fragebogen als eigenständiges, druckbares DIN-A4-Dokument erstellen.</w:t>
      </w:r>
    </w:p>
    <w:p>
      <w:pPr>
        <w:pStyle w:val="ListBullet"/>
        <w:spacing w:after="60"/>
      </w:pPr>
      <w:r>
        <w:t>Tabellen niemals über Seitenränder hinausziehen; schmale, gut lesbare Tabellen bevorzugen.</w:t>
      </w:r>
    </w:p>
    <w:p>
      <w:pPr>
        <w:pStyle w:val="ListBullet"/>
        <w:spacing w:after="60"/>
      </w:pPr>
      <w:r>
        <w:t>Patientenbögen in einfacher Sprache; Ärztebögen fachlicher, aber knapp und auswertbar.</w:t>
      </w:r>
    </w:p>
    <w:p>
      <w:pPr>
        <w:pStyle w:val="ListBullet"/>
        <w:spacing w:after="60"/>
      </w:pPr>
      <w:r>
        <w:t>Antwortformate standardisieren: Ja/Nein, Mehrfachauswahl, numerische Skalen, Datums-/Zeitfelder; Freitext nur gezielt.</w:t>
      </w:r>
    </w:p>
    <w:p>
      <w:pPr>
        <w:pStyle w:val="ListBullet"/>
        <w:spacing w:after="60"/>
      </w:pPr>
      <w:r>
        <w:t>Jede Frage erhält idealerweise eine spätere Datenvariable und eine Kategorie: Pflicht / optional / nur Pilotversion.</w:t>
      </w:r>
    </w:p>
    <w:p>
      <w:pPr>
        <w:pStyle w:val="Heading1"/>
        <w:spacing w:before="280" w:after="120"/>
      </w:pPr>
      <w:r>
        <w:t>10. Fazit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Das bereinigte V6-Konzept ist ein vierteiliges, quellenbasiertes Fragebogenpaket. Die wichtigste neue Erkenntnis ist, dass die Standardmethoden-Umfrage aus AP8 explizit an Mitglieder des Rheumanetzwerks gerichtet ist. Damit muss ein ärztlich/versorgungsstrukturelles Modul als Kernbestandteil aufgenommen werden. Die bisherigen drei Bögen waren daher nicht falsch, aber Bogen 2 muss neu gefasst und durch ein zusätzliches ärztliches Implementierungsmodul ergänzt werden.</w:t>
      </w:r>
    </w:p>
    <w:p>
      <w:pPr>
        <w:pStyle w:val="Heading1"/>
        <w:spacing w:before="280" w:after="120"/>
      </w:pPr>
      <w:r>
        <w:t>Anhang: Masterprompt für die nächste Produktionsrunde V6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Erstelle für RheumaCheck ein quellenbasiertes Fragebogenpaket V6 mit vier Modulen. Grundlage sind die Gesamtverbundbeschreibung, die IMDB-, salvevita- und IKB-Teilvorhabenbeschreibungen, der Zwischenbericht 2025 sowie die Jour-fixe-Protokolle vom 09.04.2026 und 07.05.2026. Trenne strikt zwischen belegten Projektanforderungen und fachlich begründeten Ableitungen.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Module: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A) Patienten-Vorab-Anamnese und Stratifizierung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B) Rheumanetzwerk-/Ärzte-Umfrage zur Standardmethode und zum Versorgungspfad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C) Patienten-Usability, Vertrauen und Versorgungsnutzen nach Nutzung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D) Ärztliche Einschätzung zur klinischen Implementierbarkeit und zum erwarteten Nutzen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Für jedes Modul erstellen: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- Ziel und Projektbezug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- Zielgruppe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- Einsatzzeitpunkt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- empfohlene Länge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- Fragen mit Antwortformat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- Pflichtfelder vs. optionale Felder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- digitale Umsetzungslogik / Sprunglogik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- Auswertungslogik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- offene Abstimmungsfragen für Robert Lange, Michael Zänker und Frank Bier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Fachliche Orientierung: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- RA-Frühzeichen: kleine Gelenke, Mehrgelenkbeteiligung, Symptomdauer, Morgensteifigkeit, Schwellung, Funktion/Greifen/Faustschluss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- Versorgungspfad: Zeit bis Erstdiagnose, Zeit bis Therapieeinleitung, aktuelle Standardmethode, Engpässe und Überweisungspfade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- Usability: SUS-kompatible Erhebung, Ergebnisverständnis, Vertrauen, Nutzungsbereitschaft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- Implementierung: Testgüte, Evidenzanforderungen, Workflow, Rollen, Barrieren, Pilotbereitschaft</w:t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</w:r>
    </w:p>
    <w:p>
      <w:pPr>
        <w:spacing w:after="100" w:line="259" w:lineRule="auto"/>
      </w:pPr>
      <w:r>
        <w:rPr>
          <w:rFonts w:ascii="Arial" w:hAnsi="Arial"/>
          <w:b w:val="0"/>
          <w:sz w:val="20"/>
        </w:rPr>
        <w:t>Ziel: ein direkt diskutierbares Premium-Arbeitspaket für IMDB Potsdam mit getrennten DOCX/PDF-Einzelfassungen und einem Gesamtpaket.</w:t>
      </w:r>
    </w:p>
    <w:sectPr w:rsidR="00FC693F" w:rsidRPr="0006063C" w:rsidSect="00034616">
      <w:headerReference w:type="default" r:id="rId9"/>
      <w:pgSz w:w="12240" w:h="15840"/>
      <w:pgMar w:top="964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64000" cy="86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heuma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000" cy="86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76A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6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76A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