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07A89"/>
          <w:sz w:val="40"/>
        </w:rPr>
        <w:t>RheumaCheck Fragebogenprojekt - Roter Faden V6.2</w:t>
      </w:r>
    </w:p>
    <w:p>
      <w:pPr>
        <w:spacing w:before="0" w:after="200" w:line="259" w:lineRule="auto"/>
      </w:pPr>
      <w:r>
        <w:rPr>
          <w:rFonts w:ascii="Arial" w:hAnsi="Arial" w:eastAsia="Arial"/>
          <w:b/>
          <w:i w:val="0"/>
          <w:sz w:val="22"/>
        </w:rPr>
        <w:t>Projektsteuerungsnotiz, Artefaktstruktur und nächste Schritte | Stand: 11.05.2026</w:t>
      </w:r>
    </w:p>
    <w:p>
      <w:pPr>
        <w:pStyle w:val="Heading1"/>
        <w:spacing w:before="320" w:after="120"/>
      </w:pPr>
      <w:r>
        <w:rPr>
          <w:rFonts w:ascii="Arial" w:hAnsi="Arial" w:eastAsia="Arial"/>
          <w:color w:val="007A89"/>
          <w:sz w:val="30"/>
        </w:rPr>
        <w:t>1. Aktueller Projektstand</w:t>
      </w:r>
    </w:p>
    <w:p>
      <w:pPr>
        <w:spacing w:before="0" w:after="80" w:line="259" w:lineRule="auto"/>
      </w:pPr>
      <w:r>
        <w:rPr>
          <w:rFonts w:ascii="Arial" w:hAnsi="Arial" w:eastAsia="Arial"/>
          <w:b w:val="0"/>
          <w:i w:val="0"/>
          <w:sz w:val="20"/>
        </w:rPr>
        <w:t>Nach erneuter Analyse des vollständigen RheumaCheck-Projektordners wurde die Fragebogenarchitektur von einer reinen Drei-Bogen-Logik auf ein V6-Modell mit vier Modulen erweitert. Die wesentliche Korrektur betrifft die Umfrage zur Standardmethode: Sie ist im IMDB-Arbeitspaket als Umfrage unter Mitgliedern des Rheumanetzwerks angelegt und sollte daher ärztlich/versorgungsstrukturell gedacht werden.</w:t>
      </w:r>
    </w:p>
    <w:p>
      <w:pPr>
        <w:pStyle w:val="Heading1"/>
        <w:spacing w:before="320" w:after="120"/>
      </w:pPr>
      <w:r>
        <w:rPr>
          <w:rFonts w:ascii="Arial" w:hAnsi="Arial" w:eastAsia="Arial"/>
          <w:color w:val="007A89"/>
          <w:sz w:val="30"/>
        </w:rPr>
        <w:t>2. Modulstruktur V6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D9D9D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Modul</w:t>
            </w:r>
          </w:p>
        </w:tc>
        <w:tc>
          <w:tcPr>
            <w:tcW w:type="dxa" w:w="2268"/>
            <w:shd w:fill="D9D9D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Zielgruppe</w:t>
            </w:r>
          </w:p>
        </w:tc>
        <w:tc>
          <w:tcPr>
            <w:tcW w:type="dxa" w:w="3402"/>
            <w:shd w:fill="D9D9D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Zweck</w:t>
            </w:r>
          </w:p>
        </w:tc>
        <w:tc>
          <w:tcPr>
            <w:tcW w:type="dxa" w:w="1927"/>
            <w:shd w:fill="D9D9D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</w:tr>
      <w:tr>
        <w:tc>
          <w:tcPr>
            <w:tcW w:type="dxa" w:w="170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Bogen A</w:t>
            </w:r>
          </w:p>
        </w:tc>
        <w:tc>
          <w:tcPr>
            <w:tcW w:type="dxa" w:w="226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Patient:innen</w:t>
            </w:r>
          </w:p>
        </w:tc>
        <w:tc>
          <w:tcPr>
            <w:tcW w:type="dxa" w:w="340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Vorab-Anamnese, Symptomprofil, Stratifizierung</w:t>
            </w:r>
          </w:p>
        </w:tc>
        <w:tc>
          <w:tcPr>
            <w:tcW w:type="dxa" w:w="192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bestehende V5.1-Logik fachlich weiter nutzbar, später V6 anpassen</w:t>
            </w:r>
          </w:p>
        </w:tc>
      </w:tr>
      <w:tr>
        <w:tc>
          <w:tcPr>
            <w:tcW w:type="dxa" w:w="170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Bogen B</w:t>
            </w:r>
          </w:p>
        </w:tc>
        <w:tc>
          <w:tcPr>
            <w:tcW w:type="dxa" w:w="226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Rheumanetzwerk / Ärzt:innen</w:t>
            </w:r>
          </w:p>
        </w:tc>
        <w:tc>
          <w:tcPr>
            <w:tcW w:type="dxa" w:w="340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Standardmethode, Versorgungspfad, Verzögerungen</w:t>
            </w:r>
          </w:p>
        </w:tc>
        <w:tc>
          <w:tcPr>
            <w:tcW w:type="dxa" w:w="192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neu erstellt als V6.1</w:t>
            </w:r>
          </w:p>
        </w:tc>
      </w:tr>
      <w:tr>
        <w:tc>
          <w:tcPr>
            <w:tcW w:type="dxa" w:w="170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Bogen C</w:t>
            </w:r>
          </w:p>
        </w:tc>
        <w:tc>
          <w:tcPr>
            <w:tcW w:type="dxa" w:w="226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Patient:innen / Testnutzer:innen</w:t>
            </w:r>
          </w:p>
        </w:tc>
        <w:tc>
          <w:tcPr>
            <w:tcW w:type="dxa" w:w="340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Usability, Vertrauen, Ergebnisverständnis, Versorgungsnutzen nach Nutzung</w:t>
            </w:r>
          </w:p>
        </w:tc>
        <w:tc>
          <w:tcPr>
            <w:tcW w:type="dxa" w:w="192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bestehende V5.1-Logik fachlich weiter nutzbar, später V6 anpassen</w:t>
            </w:r>
          </w:p>
        </w:tc>
      </w:tr>
      <w:tr>
        <w:tc>
          <w:tcPr>
            <w:tcW w:type="dxa" w:w="170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Bogen D</w:t>
            </w:r>
          </w:p>
        </w:tc>
        <w:tc>
          <w:tcPr>
            <w:tcW w:type="dxa" w:w="226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Ärzt:innen / Versorgungsakteure</w:t>
            </w:r>
          </w:p>
        </w:tc>
        <w:tc>
          <w:tcPr>
            <w:tcW w:type="dxa" w:w="340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Implementierbarkeit, erwarteter Nutzen, Evidenzanforderungen, Pilotbereitschaft</w:t>
            </w:r>
          </w:p>
        </w:tc>
        <w:tc>
          <w:tcPr>
            <w:tcW w:type="dxa" w:w="192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neu erstellt als V6.1</w:t>
            </w:r>
          </w:p>
        </w:tc>
      </w:tr>
    </w:tbl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sz w:val="20"/>
        </w:rPr>
      </w:r>
    </w:p>
    <w:p>
      <w:pPr>
        <w:pStyle w:val="Heading1"/>
        <w:spacing w:before="320" w:after="120"/>
      </w:pPr>
      <w:r>
        <w:rPr>
          <w:rFonts w:ascii="Arial" w:hAnsi="Arial" w:eastAsia="Arial"/>
          <w:color w:val="007A89"/>
          <w:sz w:val="30"/>
        </w:rPr>
        <w:t>3. Arbeitslogik und rote Fäden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Nicht alte Zwischenfassungen unkontrolliert weiterverwenden, sondern V6 als neue Arbeitsbasis behandeln.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Bogen B und D sind getrennt sinnvoll: Bogen B erhebt den Status quo; Bogen D bewertet die spätere Implementierbarkeit und den erwarteten Nutzen.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Vor externer Verteilung: erst Grobabstimmung mit Robert Lange / salvevita, danach klinische Feinabstimmung mit Michael Zänker / IKB.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Deadlines und offene Task-Zustände müssen in Protokollen weitergeführt werden; keine Datumsangaben aus Tabellen entfernen.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Tabellen in Word/PDF bleiben innerhalb der Seitenränder; keine überbreiten Tabellen.</w:t>
      </w:r>
    </w:p>
    <w:p>
      <w:pPr>
        <w:pStyle w:val="Heading1"/>
        <w:spacing w:before="320" w:after="120"/>
      </w:pPr>
      <w:r>
        <w:rPr>
          <w:rFonts w:ascii="Arial" w:hAnsi="Arial" w:eastAsia="Arial"/>
          <w:color w:val="007A89"/>
          <w:sz w:val="30"/>
        </w:rPr>
        <w:t>4. Artefakte dieses Schritts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fill="D9D9D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Datei</w:t>
            </w:r>
          </w:p>
        </w:tc>
        <w:tc>
          <w:tcPr>
            <w:tcW w:type="dxa" w:w="5613"/>
            <w:shd w:fill="D9D9D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Inhalt</w:t>
            </w:r>
          </w:p>
        </w:tc>
      </w:tr>
      <w:tr>
        <w:tc>
          <w:tcPr>
            <w:tcW w:type="dxa" w:w="368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2026_05_11_RheumaCheck_BogenD_Aerztliche_Implementierbarkeit_V6_1.docx/pdf</w:t>
            </w:r>
          </w:p>
        </w:tc>
        <w:tc>
          <w:tcPr>
            <w:tcW w:type="dxa" w:w="56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Bogen D als vollständiger Ärzte-/Implementierungsfragebogen.</w:t>
            </w:r>
          </w:p>
        </w:tc>
      </w:tr>
      <w:tr>
        <w:tc>
          <w:tcPr>
            <w:tcW w:type="dxa" w:w="368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2026_05_11_RheumaCheck_Fragebogenprojekt_Roter_Faden_V6_2.docx/pdf</w:t>
            </w:r>
          </w:p>
        </w:tc>
        <w:tc>
          <w:tcPr>
            <w:tcW w:type="dxa" w:w="56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Diese Projektsteuerungsnotiz.</w:t>
            </w:r>
          </w:p>
        </w:tc>
      </w:tr>
      <w:tr>
        <w:tc>
          <w:tcPr>
            <w:tcW w:type="dxa" w:w="368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README_V6_2.md</w:t>
            </w:r>
          </w:p>
        </w:tc>
        <w:tc>
          <w:tcPr>
            <w:tcW w:type="dxa" w:w="56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Kurzbeschreibung der Dateien und Verwendungslogik.</w:t>
            </w:r>
          </w:p>
        </w:tc>
      </w:tr>
      <w:tr>
        <w:tc>
          <w:tcPr>
            <w:tcW w:type="dxa" w:w="368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CHANGELOG_V6_2.md</w:t>
            </w:r>
          </w:p>
        </w:tc>
        <w:tc>
          <w:tcPr>
            <w:tcW w:type="dxa" w:w="56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Nachvollziehbare Änderungsliste.</w:t>
            </w:r>
          </w:p>
        </w:tc>
      </w:tr>
      <w:tr>
        <w:tc>
          <w:tcPr>
            <w:tcW w:type="dxa" w:w="368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MANIFEST_V6_2.txt</w:t>
            </w:r>
          </w:p>
        </w:tc>
        <w:tc>
          <w:tcPr>
            <w:tcW w:type="dxa" w:w="56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000000"/>
              <w:insideV w:val="single" w:sz="5" w:space="0" w:color="000000"/>
            </w:tcBorders>
          </w:tcPr>
          <w:p>
            <w:pPr>
              <w:spacing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Liste aller Dateien im ZIP-Paket.</w:t>
            </w:r>
          </w:p>
        </w:tc>
      </w:tr>
    </w:tbl>
    <w:p>
      <w:pPr>
        <w:spacing w:before="0" w:after="40" w:line="259" w:lineRule="auto"/>
      </w:pPr>
      <w:r>
        <w:rPr>
          <w:rFonts w:ascii="Arial" w:hAnsi="Arial" w:eastAsia="Arial"/>
          <w:b w:val="0"/>
          <w:i w:val="0"/>
          <w:sz w:val="20"/>
        </w:rPr>
      </w:r>
    </w:p>
    <w:p>
      <w:pPr>
        <w:pStyle w:val="Heading1"/>
        <w:spacing w:before="320" w:after="120"/>
      </w:pPr>
      <w:r>
        <w:rPr>
          <w:rFonts w:ascii="Arial" w:hAnsi="Arial" w:eastAsia="Arial"/>
          <w:color w:val="007A89"/>
          <w:sz w:val="30"/>
        </w:rPr>
        <w:t>5. Empfohlene nächste Schritte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Bogen B und D intern mit Robert Lange / salvevita durchgehen: Zielgruppen, digitale Umsetzbarkeit, Datenschutz, Pilotlogik.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Danach klinische Feinabstimmung mit Michael Zänker: Use Cases, Relevanz, Zielgruppen im Rheumanetzwerk, Akzeptanz.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Anschließend Bogen A und C auf V6-Struktur nachziehen, damit das gesamte Paket konsistent ist.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sz w:val="20"/>
        </w:rPr>
        <w:t>Dann Gesamtpaket V6.2/ V7 mit vier Bögen, Quellenmemo, Entscheidungsmatrix und digitalem Strukturmodell erzeugen.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525"/>
      <w:jc w:val="center"/>
      <w:tblLayout w:type="fixed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7087"/>
        </w:tcPr>
        <w:p>
          <w:pPr>
            <w:spacing w:after="0"/>
          </w:pPr>
          <w:r>
            <w:rPr>
              <w:rFonts w:ascii="Arial" w:hAnsi="Arial" w:eastAsia="Arial"/>
              <w:sz w:val="18"/>
            </w:rPr>
            <w:t>RheumaCheck - Fragebogenprojekt V6</w:t>
          </w:r>
        </w:p>
      </w:tc>
      <w:tc>
        <w:tcPr>
          <w:tcW w:type="dxa" w:w="2438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7999" cy="1007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heuma-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1007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