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800" w:line="276" w:lineRule="auto"/>
        <w:jc w:val="center"/>
      </w:pPr>
      <w:r>
        <w:rPr>
          <w:rFonts w:ascii="Calibri" w:hAnsi="Calibri"/>
          <w:b/>
          <w:color w:val="E81123"/>
          <w:sz w:val="20"/>
        </w:rPr>
        <w:t>CONFIDENTIAL  •  CLIENT DELIVERABLE  •  REPORT 2 OF 2</w:t>
      </w:r>
    </w:p>
    <w:p>
      <w:pPr>
        <w:spacing w:before="0" w:after="120" w:line="276" w:lineRule="auto"/>
        <w:jc w:val="center"/>
      </w:pPr>
      <w:r>
        <w:rPr>
          <w:rFonts w:ascii="Calibri" w:hAnsi="Calibri"/>
          <w:b/>
          <w:color w:val="003A70"/>
          <w:sz w:val="72"/>
        </w:rPr>
        <w:t>Emerging Technology Strategy</w:t>
      </w:r>
    </w:p>
    <w:p>
      <w:pPr>
        <w:spacing w:before="0" w:after="800" w:line="276" w:lineRule="auto"/>
        <w:jc w:val="center"/>
      </w:pPr>
      <w:r>
        <w:rPr>
          <w:rFonts w:ascii="Calibri" w:hAnsi="Calibri"/>
          <w:color w:val="0078D4"/>
          <w:sz w:val="40"/>
        </w:rPr>
        <w:t>Opportunity, Risk &amp; the Path to Digital Resilience</w:t>
      </w:r>
    </w:p>
    <w:tbl>
      <w:tblPr>
        <w:tblW w:type="auto" w:w="0"/>
        <w:tblLook w:firstColumn="1" w:firstRow="1" w:lastColumn="0" w:lastRow="0" w:noHBand="0" w:noVBand="1" w:val="04A0"/>
      </w:tblPr>
      <w:tblGrid>
        <w:gridCol w:w="9360"/>
      </w:tblGrid>
      <w:tr>
        <w:tc>
          <w:tcPr>
            <w:tcW w:type="dxa" w:w="9360"/>
            <w:shd w:val="clear" w:color="auto" w:fill="003A70"/>
          </w:tcPr>
          <w:p>
            <w:r/>
            <w:r>
              <w:rPr>
                <w:sz w:val="4"/>
              </w:rPr>
              <w:t xml:space="preserve"> </w:t>
            </w:r>
          </w:p>
        </w:tc>
      </w:tr>
    </w:tbl>
    <w:p>
      <w:pPr>
        <w:spacing w:before="0" w:after="600" w:line="288" w:lineRule="auto"/>
      </w:pPr>
      <w:r>
        <w:rPr>
          <w:rFonts w:ascii="Calibri" w:hAnsi="Calibri"/>
          <w:b w:val="0"/>
          <w:i w:val="0"/>
        </w:rPr>
      </w:r>
    </w:p>
    <w:p>
      <w:pPr>
        <w:spacing w:before="0" w:after="80" w:line="276" w:lineRule="auto"/>
        <w:jc w:val="center"/>
      </w:pPr>
      <w:r>
        <w:rPr>
          <w:rFonts w:ascii="Calibri" w:hAnsi="Calibri"/>
          <w:b/>
          <w:color w:val="333333"/>
          <w:sz w:val="32"/>
        </w:rPr>
        <w:t>Producers Livestock Marketing Association</w:t>
      </w:r>
    </w:p>
    <w:p>
      <w:pPr>
        <w:spacing w:before="0" w:after="400" w:line="276" w:lineRule="auto"/>
        <w:jc w:val="center"/>
      </w:pPr>
      <w:r>
        <w:rPr>
          <w:rFonts w:ascii="Calibri" w:hAnsi="Calibri"/>
          <w:i/>
          <w:color w:val="666666"/>
          <w:sz w:val="24"/>
        </w:rPr>
        <w:t>Prepared for Ryan Johansen, Chief Financial Officer</w:t>
      </w:r>
    </w:p>
    <w:p>
      <w:pPr>
        <w:spacing w:before="0" w:after="1200" w:line="276" w:lineRule="auto"/>
        <w:jc w:val="center"/>
      </w:pPr>
      <w:r>
        <w:rPr>
          <w:rFonts w:ascii="Calibri" w:hAnsi="Calibri"/>
          <w:i/>
          <w:color w:val="68217A"/>
          <w:sz w:val="20"/>
        </w:rPr>
        <w:t>Companion to Report 1: Counterparty Credit Risk Assessment</w:t>
      </w:r>
    </w:p>
    <w:p>
      <w:pPr>
        <w:spacing w:before="0" w:after="120" w:line="276" w:lineRule="auto"/>
        <w:jc w:val="center"/>
      </w:pPr>
      <w:r>
        <w:rPr>
          <w:rFonts w:ascii="Calibri" w:hAnsi="Calibri"/>
          <w:b/>
          <w:color w:val="003A70"/>
          <w:sz w:val="22"/>
        </w:rPr>
        <w:t>APRIL 2026</w:t>
      </w:r>
    </w:p>
    <w:p>
      <w:pPr>
        <w:jc w:val="center"/>
      </w:pPr>
      <w:r>
        <w:rPr>
          <w:rFonts w:ascii="Calibri" w:hAnsi="Calibri"/>
          <w:i/>
          <w:color w:val="666666"/>
          <w:sz w:val="18"/>
        </w:rPr>
        <w:t>Strategic Advisory  |  Technology &amp; Digital Practice</w:t>
      </w:r>
    </w:p>
    <w:p>
      <w:r>
        <w:br w:type="page"/>
      </w:r>
    </w:p>
    <w:p>
      <w:pPr>
        <w:pStyle w:val="Heading1"/>
        <w:spacing w:before="0" w:after="320" w:line="276" w:lineRule="auto"/>
      </w:pPr>
      <w:r>
        <w:t>Table of Contents</w:t>
      </w:r>
    </w:p>
    <w:p>
      <w:pPr>
        <w:tabs>
          <w:tab w:pos="9072" w:val="right" w:leader="dot"/>
        </w:tabs>
        <w:spacing w:before="0" w:after="160" w:line="312" w:lineRule="auto"/>
      </w:pPr>
      <w:r>
        <w:rPr>
          <w:rFonts w:ascii="Calibri" w:hAnsi="Calibri"/>
          <w:color w:val="333333"/>
          <w:sz w:val="22"/>
        </w:rPr>
        <w:t>1. Executive Summary</w:t>
      </w:r>
      <w:r>
        <w:rPr>
          <w:rFonts w:ascii="Calibri" w:hAnsi="Calibri"/>
          <w:b/>
          <w:color w:val="003A70"/>
          <w:sz w:val="22"/>
        </w:rPr>
        <w:tab/>
        <w:t>3</w:t>
      </w:r>
    </w:p>
    <w:p>
      <w:pPr>
        <w:tabs>
          <w:tab w:pos="9072" w:val="right" w:leader="dot"/>
        </w:tabs>
        <w:spacing w:before="0" w:after="160" w:line="312" w:lineRule="auto"/>
      </w:pPr>
      <w:r>
        <w:rPr>
          <w:rFonts w:ascii="Calibri" w:hAnsi="Calibri"/>
          <w:color w:val="333333"/>
          <w:sz w:val="22"/>
        </w:rPr>
        <w:t>2. The Technology Landscape for Livestock Marketing</w:t>
      </w:r>
      <w:r>
        <w:rPr>
          <w:rFonts w:ascii="Calibri" w:hAnsi="Calibri"/>
          <w:b/>
          <w:color w:val="003A70"/>
          <w:sz w:val="22"/>
        </w:rPr>
        <w:tab/>
        <w:t>6</w:t>
      </w:r>
    </w:p>
    <w:p>
      <w:pPr>
        <w:tabs>
          <w:tab w:pos="9072" w:val="right" w:leader="dot"/>
        </w:tabs>
        <w:spacing w:before="0" w:after="160" w:line="312" w:lineRule="auto"/>
      </w:pPr>
      <w:r>
        <w:rPr>
          <w:rFonts w:ascii="Calibri" w:hAnsi="Calibri"/>
          <w:color w:val="333333"/>
          <w:sz w:val="22"/>
        </w:rPr>
        <w:t>3. Technology Risk Assessment [Risk-Led Anchor]</w:t>
      </w:r>
      <w:r>
        <w:rPr>
          <w:rFonts w:ascii="Calibri" w:hAnsi="Calibri"/>
          <w:b/>
          <w:color w:val="003A70"/>
          <w:sz w:val="22"/>
        </w:rPr>
        <w:tab/>
        <w:t>10</w:t>
      </w:r>
    </w:p>
    <w:p>
      <w:pPr>
        <w:tabs>
          <w:tab w:pos="9072" w:val="right" w:leader="dot"/>
        </w:tabs>
        <w:spacing w:before="0" w:after="160" w:line="312" w:lineRule="auto"/>
      </w:pPr>
      <w:r>
        <w:rPr>
          <w:rFonts w:ascii="Calibri" w:hAnsi="Calibri"/>
          <w:color w:val="333333"/>
          <w:sz w:val="22"/>
        </w:rPr>
        <w:t>4. The AI Opportunity Deep Dive</w:t>
      </w:r>
      <w:r>
        <w:rPr>
          <w:rFonts w:ascii="Calibri" w:hAnsi="Calibri"/>
          <w:b/>
          <w:color w:val="003A70"/>
          <w:sz w:val="22"/>
        </w:rPr>
        <w:tab/>
        <w:t>17</w:t>
      </w:r>
    </w:p>
    <w:p>
      <w:pPr>
        <w:tabs>
          <w:tab w:pos="9072" w:val="right" w:leader="dot"/>
        </w:tabs>
        <w:spacing w:before="0" w:after="160" w:line="312" w:lineRule="auto"/>
      </w:pPr>
      <w:r>
        <w:rPr>
          <w:rFonts w:ascii="Calibri" w:hAnsi="Calibri"/>
          <w:color w:val="333333"/>
          <w:sz w:val="22"/>
        </w:rPr>
        <w:t>5. Broader Technology Opportunity Portfolio</w:t>
      </w:r>
      <w:r>
        <w:rPr>
          <w:rFonts w:ascii="Calibri" w:hAnsi="Calibri"/>
          <w:b/>
          <w:color w:val="003A70"/>
          <w:sz w:val="22"/>
        </w:rPr>
        <w:tab/>
        <w:t>24</w:t>
      </w:r>
    </w:p>
    <w:p>
      <w:pPr>
        <w:tabs>
          <w:tab w:pos="9072" w:val="right" w:leader="dot"/>
        </w:tabs>
        <w:spacing w:before="0" w:after="160" w:line="312" w:lineRule="auto"/>
      </w:pPr>
      <w:r>
        <w:rPr>
          <w:rFonts w:ascii="Calibri" w:hAnsi="Calibri"/>
          <w:color w:val="333333"/>
          <w:sz w:val="22"/>
        </w:rPr>
        <w:t>6. Strategic Framework Analysis</w:t>
      </w:r>
      <w:r>
        <w:rPr>
          <w:rFonts w:ascii="Calibri" w:hAnsi="Calibri"/>
          <w:b/>
          <w:color w:val="003A70"/>
          <w:sz w:val="22"/>
        </w:rPr>
        <w:tab/>
        <w:t>30</w:t>
      </w:r>
    </w:p>
    <w:p>
      <w:pPr>
        <w:tabs>
          <w:tab w:pos="9072" w:val="right" w:leader="dot"/>
        </w:tabs>
        <w:spacing w:before="0" w:after="160" w:line="312" w:lineRule="auto"/>
      </w:pPr>
      <w:r>
        <w:rPr>
          <w:rFonts w:ascii="Calibri" w:hAnsi="Calibri"/>
          <w:color w:val="333333"/>
          <w:sz w:val="22"/>
        </w:rPr>
        <w:t>7. Technology Strategy &amp; Roadmap (1 / 5 / 10 Year)</w:t>
      </w:r>
      <w:r>
        <w:rPr>
          <w:rFonts w:ascii="Calibri" w:hAnsi="Calibri"/>
          <w:b/>
          <w:color w:val="003A70"/>
          <w:sz w:val="22"/>
        </w:rPr>
        <w:tab/>
        <w:t>35</w:t>
      </w:r>
    </w:p>
    <w:p>
      <w:pPr>
        <w:tabs>
          <w:tab w:pos="9072" w:val="right" w:leader="dot"/>
        </w:tabs>
        <w:spacing w:before="0" w:after="160" w:line="312" w:lineRule="auto"/>
      </w:pPr>
      <w:r>
        <w:rPr>
          <w:rFonts w:ascii="Calibri" w:hAnsi="Calibri"/>
          <w:color w:val="333333"/>
          <w:sz w:val="22"/>
        </w:rPr>
        <w:t>8. Financial Model: Tech Investment Economics</w:t>
      </w:r>
      <w:r>
        <w:rPr>
          <w:rFonts w:ascii="Calibri" w:hAnsi="Calibri"/>
          <w:b/>
          <w:color w:val="003A70"/>
          <w:sz w:val="22"/>
        </w:rPr>
        <w:tab/>
        <w:t>41</w:t>
      </w:r>
    </w:p>
    <w:p>
      <w:pPr>
        <w:tabs>
          <w:tab w:pos="9072" w:val="right" w:leader="dot"/>
        </w:tabs>
        <w:spacing w:before="0" w:after="160" w:line="312" w:lineRule="auto"/>
      </w:pPr>
      <w:r>
        <w:rPr>
          <w:rFonts w:ascii="Calibri" w:hAnsi="Calibri"/>
          <w:color w:val="333333"/>
          <w:sz w:val="22"/>
        </w:rPr>
        <w:t>9. Governance &amp; Execution</w:t>
      </w:r>
      <w:r>
        <w:rPr>
          <w:rFonts w:ascii="Calibri" w:hAnsi="Calibri"/>
          <w:b/>
          <w:color w:val="003A70"/>
          <w:sz w:val="22"/>
        </w:rPr>
        <w:tab/>
        <w:t>46</w:t>
      </w:r>
    </w:p>
    <w:p>
      <w:pPr>
        <w:tabs>
          <w:tab w:pos="9072" w:val="right" w:leader="dot"/>
        </w:tabs>
        <w:spacing w:before="0" w:after="160" w:line="312" w:lineRule="auto"/>
      </w:pPr>
      <w:r>
        <w:rPr>
          <w:rFonts w:ascii="Calibri" w:hAnsi="Calibri"/>
          <w:color w:val="333333"/>
          <w:sz w:val="22"/>
        </w:rPr>
        <w:t>10. Conclusion &amp; Next Steps</w:t>
      </w:r>
      <w:r>
        <w:rPr>
          <w:rFonts w:ascii="Calibri" w:hAnsi="Calibri"/>
          <w:b/>
          <w:color w:val="003A70"/>
          <w:sz w:val="22"/>
        </w:rPr>
        <w:tab/>
        <w:t>49</w:t>
      </w:r>
    </w:p>
    <w:p>
      <w:pPr>
        <w:tabs>
          <w:tab w:pos="9072" w:val="right" w:leader="dot"/>
        </w:tabs>
        <w:spacing w:before="0" w:after="160" w:line="312" w:lineRule="auto"/>
      </w:pPr>
      <w:r>
        <w:rPr>
          <w:rFonts w:ascii="Calibri" w:hAnsi="Calibri"/>
          <w:color w:val="333333"/>
          <w:sz w:val="22"/>
        </w:rPr>
        <w:t>Appendix A: Use Case Scorecards</w:t>
      </w:r>
      <w:r>
        <w:rPr>
          <w:rFonts w:ascii="Calibri" w:hAnsi="Calibri"/>
          <w:b/>
          <w:color w:val="003A70"/>
          <w:sz w:val="22"/>
        </w:rPr>
        <w:tab/>
        <w:t>51</w:t>
      </w:r>
    </w:p>
    <w:p>
      <w:pPr>
        <w:tabs>
          <w:tab w:pos="9072" w:val="right" w:leader="dot"/>
        </w:tabs>
        <w:spacing w:before="0" w:after="160" w:line="312" w:lineRule="auto"/>
      </w:pPr>
      <w:r>
        <w:rPr>
          <w:rFonts w:ascii="Calibri" w:hAnsi="Calibri"/>
          <w:color w:val="333333"/>
          <w:sz w:val="22"/>
        </w:rPr>
        <w:t>Appendix B: Methodology &amp; Assumptions</w:t>
      </w:r>
      <w:r>
        <w:rPr>
          <w:rFonts w:ascii="Calibri" w:hAnsi="Calibri"/>
          <w:b/>
          <w:color w:val="003A70"/>
          <w:sz w:val="22"/>
        </w:rPr>
        <w:tab/>
        <w:t>54</w:t>
      </w:r>
    </w:p>
    <w:p>
      <w:pPr>
        <w:tabs>
          <w:tab w:pos="9072" w:val="right" w:leader="dot"/>
        </w:tabs>
        <w:spacing w:before="0" w:after="160" w:line="312" w:lineRule="auto"/>
      </w:pPr>
      <w:r>
        <w:rPr>
          <w:rFonts w:ascii="Calibri" w:hAnsi="Calibri"/>
          <w:color w:val="333333"/>
          <w:sz w:val="22"/>
        </w:rPr>
        <w:t>Appendix C: Glossary of Terms</w:t>
      </w:r>
      <w:r>
        <w:rPr>
          <w:rFonts w:ascii="Calibri" w:hAnsi="Calibri"/>
          <w:b/>
          <w:color w:val="003A70"/>
          <w:sz w:val="22"/>
        </w:rPr>
        <w:tab/>
        <w:t>56</w:t>
      </w:r>
    </w:p>
    <w:p>
      <w:pPr>
        <w:tabs>
          <w:tab w:pos="9072" w:val="right" w:leader="dot"/>
        </w:tabs>
        <w:spacing w:before="0" w:after="160" w:line="312" w:lineRule="auto"/>
      </w:pPr>
      <w:r>
        <w:rPr>
          <w:rFonts w:ascii="Calibri" w:hAnsi="Calibri"/>
          <w:color w:val="333333"/>
          <w:sz w:val="22"/>
        </w:rPr>
        <w:t>Appendix D: Citations</w:t>
      </w:r>
      <w:r>
        <w:rPr>
          <w:rFonts w:ascii="Calibri" w:hAnsi="Calibri"/>
          <w:b/>
          <w:color w:val="003A70"/>
          <w:sz w:val="22"/>
        </w:rPr>
        <w:tab/>
        <w:t>58</w:t>
      </w:r>
    </w:p>
    <w:p>
      <w:r>
        <w:br w:type="page"/>
      </w:r>
    </w:p>
    <w:p>
      <w:pPr>
        <w:pStyle w:val="Heading1"/>
        <w:spacing w:before="0" w:after="240" w:line="276" w:lineRule="auto"/>
        <w:pBdr>
          <w:bottom w:val="single" w:sz="12" w:space="4" w:color="003A70"/>
        </w:pBdr>
      </w:pPr>
      <w:r>
        <w:t>1. Executive Summary</w:t>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SITUATION</w:t>
            </w:r>
          </w:p>
          <w:p>
            <w:pPr>
              <w:spacing w:before="0" w:after="80" w:line="288" w:lineRule="auto"/>
            </w:pPr>
            <w:r>
              <w:rPr>
                <w:rFonts w:ascii="Calibri" w:hAnsi="Calibri"/>
                <w:color w:val="333333"/>
                <w:sz w:val="20"/>
              </w:rPr>
              <w:t>PLMA operates on a technology foundation that is approximately 10 years behind livestock-marketing peers and 15+ years behind digitally-native financial services. The cost of inaction now exceeds the cost of transformation: legacy tech debt silently drains an estimated $8.8M annually in avoidable costs and foregone opportunity, while digital marketplace entrants (Superior Livestock, Cattlerange, fintech challengers) are accelerating their share of flow. This window to act on favorable terms is closing.</w:t>
            </w:r>
          </w:p>
        </w:tc>
      </w:tr>
    </w:tbl>
    <w:p>
      <w:pPr>
        <w:spacing w:before="0" w:after="160" w:line="288" w:lineRule="auto"/>
      </w:pPr>
      <w:r>
        <w:rPr>
          <w:rFonts w:ascii="Calibri" w:hAnsi="Calibri"/>
          <w:b w:val="0"/>
          <w:i w:val="0"/>
        </w:rPr>
      </w:r>
    </w:p>
    <w:p>
      <w:pPr>
        <w:pStyle w:val="Heading2"/>
        <w:spacing w:before="280" w:after="120" w:line="276" w:lineRule="auto"/>
      </w:pPr>
      <w:r>
        <w:t>1.1 Key Findings</w:t>
      </w:r>
    </w:p>
    <w:p>
      <w:pPr>
        <w:pStyle w:val="ListBullet"/>
        <w:spacing w:before="0" w:after="80" w:line="288" w:lineRule="auto"/>
      </w:pPr>
      <w:r>
        <w:rPr>
          <w:rFonts w:ascii="Calibri" w:hAnsi="Calibri"/>
          <w:b/>
          <w:color w:val="003A70"/>
          <w:sz w:val="21"/>
        </w:rPr>
        <w:t xml:space="preserve">The disruption threat is real and accelerating. </w:t>
      </w:r>
      <w:r>
        <w:rPr>
          <w:rFonts w:ascii="Calibri" w:hAnsi="Calibri"/>
          <w:color w:val="333333"/>
          <w:sz w:val="21"/>
        </w:rPr>
        <w:t>Digital livestock marketplaces grew an estimated 40%+ YoY in transaction volume during 2024–2025 while traditional auction models grew &lt;5%. Fintech-native credit and payment rails are being introduced by non-traditional entrants targeting PLMA's fee pools.</w:t>
      </w:r>
    </w:p>
    <w:p>
      <w:pPr>
        <w:pStyle w:val="ListBullet"/>
        <w:spacing w:before="0" w:after="80" w:line="288" w:lineRule="auto"/>
      </w:pPr>
      <w:r>
        <w:rPr>
          <w:rFonts w:ascii="Calibri" w:hAnsi="Calibri"/>
          <w:b/>
          <w:color w:val="003A70"/>
          <w:sz w:val="21"/>
        </w:rPr>
        <w:t xml:space="preserve">Cybersecurity is the highest-severity technology risk. </w:t>
      </w:r>
      <w:r>
        <w:rPr>
          <w:rFonts w:ascii="Calibri" w:hAnsi="Calibri"/>
          <w:color w:val="333333"/>
          <w:sz w:val="21"/>
        </w:rPr>
        <w:t>Ag-sector cyber incidents grew from 12 (2020) to 117 (2025) — a 9.75× increase. Average ransom demands escalated from $350K to $2.8M. A single incident could exceed PLMA's annual cyber avoidance budget by 3-5×.</w:t>
      </w:r>
    </w:p>
    <w:p>
      <w:pPr>
        <w:pStyle w:val="ListBullet"/>
        <w:spacing w:before="0" w:after="80" w:line="288" w:lineRule="auto"/>
      </w:pPr>
      <w:r>
        <w:rPr>
          <w:rFonts w:ascii="Calibri" w:hAnsi="Calibri"/>
          <w:b/>
          <w:color w:val="003A70"/>
          <w:sz w:val="21"/>
        </w:rPr>
        <w:t xml:space="preserve">AI is neither optional nor niche — it is a fiduciary imperative. </w:t>
      </w:r>
      <w:r>
        <w:rPr>
          <w:rFonts w:ascii="Calibri" w:hAnsi="Calibri"/>
          <w:color w:val="333333"/>
          <w:sz w:val="21"/>
        </w:rPr>
        <w:t>12 credible AI/tech use cases were identified for PLMA with aggregate expected 10-year NPV of ~$66M if all pursued. The top 7 use cases (DO FIRST + QUICK WINS quadrants) deliver ~$47M in NPV and form the core of the recommended program.</w:t>
      </w:r>
    </w:p>
    <w:p>
      <w:pPr>
        <w:pStyle w:val="ListBullet"/>
        <w:spacing w:before="0" w:after="80" w:line="288" w:lineRule="auto"/>
      </w:pPr>
      <w:r>
        <w:rPr>
          <w:rFonts w:ascii="Calibri" w:hAnsi="Calibri"/>
          <w:b/>
          <w:color w:val="003A70"/>
          <w:sz w:val="21"/>
        </w:rPr>
        <w:t xml:space="preserve">PLMA's digital maturity lags peers across all six dimensions. </w:t>
      </w:r>
      <w:r>
        <w:rPr>
          <w:rFonts w:ascii="Calibri" w:hAnsi="Calibri"/>
          <w:color w:val="333333"/>
          <w:sz w:val="21"/>
        </w:rPr>
        <w:t>Estimated maturity score: 2.25/5 average vs. peer cooperative average of 3.42/5 and digital leader benchmark of 4.75/5. The largest gaps are in AI/ML capability, data/analytics, and cloud infrastructure.</w:t>
      </w:r>
    </w:p>
    <w:p>
      <w:pPr>
        <w:pStyle w:val="ListBullet"/>
        <w:spacing w:before="0" w:after="80" w:line="288" w:lineRule="auto"/>
      </w:pPr>
      <w:r>
        <w:rPr>
          <w:rFonts w:ascii="Calibri" w:hAnsi="Calibri"/>
          <w:b/>
          <w:color w:val="003A70"/>
          <w:sz w:val="21"/>
        </w:rPr>
        <w:t xml:space="preserve">The investment case is compelling even under adverse sensitivity assumptions. </w:t>
      </w:r>
      <w:r>
        <w:rPr>
          <w:rFonts w:ascii="Calibri" w:hAnsi="Calibri"/>
          <w:color w:val="333333"/>
          <w:sz w:val="21"/>
        </w:rPr>
        <w:t>A $4.8M Year-1 investment generates a 10-year NPV of ~$34M at 8% discount rate, ~192% cumulative ROI, and payback within 18 months. The program remains NPV-positive across all tested sensitivity scenarios.</w:t>
      </w:r>
    </w:p>
    <w:p>
      <w:pPr>
        <w:pStyle w:val="ListBullet"/>
        <w:spacing w:before="0" w:after="80" w:line="288" w:lineRule="auto"/>
      </w:pPr>
      <w:r>
        <w:rPr>
          <w:rFonts w:ascii="Calibri" w:hAnsi="Calibri"/>
          <w:b/>
          <w:color w:val="003A70"/>
          <w:sz w:val="21"/>
        </w:rPr>
        <w:t xml:space="preserve">Credit risk and tech risk are the same risk viewed from two angles. </w:t>
      </w:r>
      <w:r>
        <w:rPr>
          <w:rFonts w:ascii="Calibri" w:hAnsi="Calibri"/>
          <w:color w:val="333333"/>
          <w:sz w:val="21"/>
        </w:rPr>
        <w:t>The manual, relationship-driven credit decisioning flagged in Report #1 is simultaneously a counterparty credit risk AND a technology risk. This report's AI credit scoring recommendation directly supersedes the v1 scoring model in Report #1's Horizon 1 plan.</w:t>
      </w:r>
    </w:p>
    <w:p>
      <w:pPr>
        <w:pStyle w:val="Heading2"/>
        <w:spacing w:before="280" w:after="120" w:line="276" w:lineRule="auto"/>
      </w:pPr>
      <w:r>
        <w:t>1.2 Recommended Actions</w:t>
      </w:r>
    </w:p>
    <w:p>
      <w:pPr>
        <w:spacing w:before="0" w:after="160" w:line="300" w:lineRule="auto"/>
      </w:pPr>
      <w:r>
        <w:rPr>
          <w:rFonts w:ascii="Calibri" w:hAnsi="Calibri"/>
          <w:b w:val="0"/>
          <w:i w:val="0"/>
          <w:sz w:val="21"/>
        </w:rPr>
        <w:t>The recommended program is a risk-led, opportunity-harvesting portfolio sequenced across the McKinsey Three Horizons framework:</w:t>
      </w:r>
    </w:p>
    <w:p>
      <w:pPr>
        <w:pStyle w:val="ListBullet"/>
        <w:spacing w:before="0" w:after="80" w:line="288" w:lineRule="auto"/>
      </w:pPr>
      <w:r>
        <w:rPr>
          <w:rFonts w:ascii="Calibri" w:hAnsi="Calibri"/>
          <w:b/>
          <w:color w:val="003A70"/>
          <w:sz w:val="21"/>
        </w:rPr>
        <w:t xml:space="preserve">Horizon 1 (Year 1 — Foundation): </w:t>
      </w:r>
      <w:r>
        <w:rPr>
          <w:rFonts w:ascii="Calibri" w:hAnsi="Calibri"/>
          <w:color w:val="333333"/>
          <w:sz w:val="21"/>
        </w:rPr>
        <w:t>Cybersecurity hardening (Zero Trust), cloud/data platform v1, AI governance framework, ML credit scoring v1, GenAI back-office pilots, RPA for AR/AP automation. $4.8M investment. Goal: stabilize risk surface, prove AI value.</w:t>
      </w:r>
    </w:p>
    <w:p>
      <w:pPr>
        <w:pStyle w:val="ListBullet"/>
        <w:spacing w:before="0" w:after="80" w:line="288" w:lineRule="auto"/>
      </w:pPr>
      <w:r>
        <w:rPr>
          <w:rFonts w:ascii="Calibri" w:hAnsi="Calibri"/>
          <w:b/>
          <w:color w:val="003A70"/>
          <w:sz w:val="21"/>
        </w:rPr>
        <w:t xml:space="preserve">Horizon 2 (Years 2–5 — Transformation): </w:t>
      </w:r>
      <w:r>
        <w:rPr>
          <w:rFonts w:ascii="Calibri" w:hAnsi="Calibri"/>
          <w:color w:val="333333"/>
          <w:sz w:val="21"/>
        </w:rPr>
        <w:t>Scaled AI (price prediction, computer vision), full platform modernization, digital auction platform, IoT/EID pilots. Goal: capture the digital marketplace threat, differentiate on analytics.</w:t>
      </w:r>
    </w:p>
    <w:p>
      <w:pPr>
        <w:pStyle w:val="ListBullet"/>
        <w:spacing w:before="0" w:after="80" w:line="288" w:lineRule="auto"/>
      </w:pPr>
      <w:r>
        <w:rPr>
          <w:rFonts w:ascii="Calibri" w:hAnsi="Calibri"/>
          <w:b/>
          <w:color w:val="003A70"/>
          <w:sz w:val="21"/>
        </w:rPr>
        <w:t xml:space="preserve">Horizon 3 (Years 6–10 — Reinvention): </w:t>
      </w:r>
      <w:r>
        <w:rPr>
          <w:rFonts w:ascii="Calibri" w:hAnsi="Calibri"/>
          <w:color w:val="333333"/>
          <w:sz w:val="21"/>
        </w:rPr>
        <w:t>AI-native operating model, platform business plays (data monetization, advisory services), ecosystem orchestration. Goal: transform PLMA from auction cooperative to agricultural risk and market intelligence platform.</w:t>
      </w:r>
    </w:p>
    <w:p>
      <w:pPr>
        <w:pStyle w:val="Heading2"/>
        <w:spacing w:before="280" w:after="120" w:line="276" w:lineRule="auto"/>
      </w:pPr>
      <w:r>
        <w:t>1.3 Financial Impact Summary</w:t>
      </w:r>
    </w:p>
    <w:tbl>
      <w:tblPr>
        <w:tblW w:type="auto" w:w="0"/>
        <w:jc w:val="center"/>
        <w:tblLook w:firstColumn="1" w:firstRow="1" w:lastColumn="0" w:lastRow="0" w:noHBand="0" w:noVBand="1" w:val="04A0"/>
      </w:tblPr>
      <w:tblGrid>
        <w:gridCol w:w="4680"/>
        <w:gridCol w:w="4680"/>
      </w:tblGrid>
      <w:tr>
        <w:tc>
          <w:tcPr>
            <w:tcW w:type="dxa" w:w="5040"/>
            <w:shd w:val="clear" w:color="auto" w:fill="003A70"/>
            <w:vAlign w:val="center"/>
          </w:tcPr>
          <w:p>
            <w:pPr>
              <w:spacing w:before="0" w:after="40" w:line="276" w:lineRule="auto"/>
            </w:pPr>
            <w:r/>
            <w:r>
              <w:rPr>
                <w:rFonts w:ascii="Calibri" w:hAnsi="Calibri"/>
                <w:b/>
                <w:color w:val="FFFFFF"/>
                <w:sz w:val="19"/>
              </w:rPr>
              <w:t>Metric</w:t>
            </w:r>
          </w:p>
        </w:tc>
        <w:tc>
          <w:tcPr>
            <w:tcW w:type="dxa" w:w="3600"/>
            <w:shd w:val="clear" w:color="auto" w:fill="003A70"/>
            <w:vAlign w:val="center"/>
          </w:tcPr>
          <w:p>
            <w:pPr>
              <w:spacing w:before="0" w:after="40" w:line="276" w:lineRule="auto"/>
            </w:pPr>
            <w:r/>
            <w:r>
              <w:rPr>
                <w:rFonts w:ascii="Calibri" w:hAnsi="Calibri"/>
                <w:b/>
                <w:color w:val="FFFFFF"/>
                <w:sz w:val="19"/>
              </w:rPr>
              <w:t>Value</w:t>
            </w:r>
          </w:p>
        </w:tc>
      </w:tr>
      <w:tr>
        <w:tc>
          <w:tcPr>
            <w:tcW w:type="dxa" w:w="5040"/>
            <w:vAlign w:val="center"/>
          </w:tcPr>
          <w:p>
            <w:pPr>
              <w:spacing w:before="0" w:after="40" w:line="276" w:lineRule="auto"/>
            </w:pPr>
            <w:r/>
            <w:r>
              <w:rPr>
                <w:rFonts w:ascii="Calibri" w:hAnsi="Calibri"/>
                <w:color w:val="333333"/>
                <w:sz w:val="19"/>
              </w:rPr>
              <w:t>Year 1 Program Investment</w:t>
            </w:r>
          </w:p>
        </w:tc>
        <w:tc>
          <w:tcPr>
            <w:tcW w:type="dxa" w:w="3600"/>
            <w:vAlign w:val="center"/>
          </w:tcPr>
          <w:p>
            <w:pPr>
              <w:spacing w:before="0" w:after="40" w:line="276" w:lineRule="auto"/>
            </w:pPr>
            <w:r/>
            <w:r>
              <w:rPr>
                <w:rFonts w:ascii="Calibri" w:hAnsi="Calibri"/>
                <w:color w:val="333333"/>
                <w:sz w:val="19"/>
              </w:rPr>
              <w:t>$4.80M</w:t>
            </w:r>
          </w:p>
        </w:tc>
      </w:tr>
      <w:tr>
        <w:tc>
          <w:tcPr>
            <w:tcW w:type="dxa" w:w="5040"/>
            <w:shd w:val="clear" w:color="auto" w:fill="F2F2F2"/>
            <w:vAlign w:val="center"/>
          </w:tcPr>
          <w:p>
            <w:pPr>
              <w:spacing w:before="0" w:after="40" w:line="276" w:lineRule="auto"/>
            </w:pPr>
            <w:r/>
            <w:r>
              <w:rPr>
                <w:rFonts w:ascii="Calibri" w:hAnsi="Calibri"/>
                <w:color w:val="333333"/>
                <w:sz w:val="19"/>
              </w:rPr>
              <w:t>Annual Ongoing Cost (Year 2+)</w:t>
            </w:r>
          </w:p>
        </w:tc>
        <w:tc>
          <w:tcPr>
            <w:tcW w:type="dxa" w:w="3600"/>
            <w:shd w:val="clear" w:color="auto" w:fill="F2F2F2"/>
            <w:vAlign w:val="center"/>
          </w:tcPr>
          <w:p>
            <w:pPr>
              <w:spacing w:before="0" w:after="40" w:line="276" w:lineRule="auto"/>
            </w:pPr>
            <w:r/>
            <w:r>
              <w:rPr>
                <w:rFonts w:ascii="Calibri" w:hAnsi="Calibri"/>
                <w:color w:val="333333"/>
                <w:sz w:val="19"/>
              </w:rPr>
              <w:t>$2.60M</w:t>
            </w:r>
          </w:p>
        </w:tc>
      </w:tr>
      <w:tr>
        <w:tc>
          <w:tcPr>
            <w:tcW w:type="dxa" w:w="5040"/>
            <w:vAlign w:val="center"/>
          </w:tcPr>
          <w:p>
            <w:pPr>
              <w:spacing w:before="0" w:after="40" w:line="276" w:lineRule="auto"/>
            </w:pPr>
            <w:r/>
            <w:r>
              <w:rPr>
                <w:rFonts w:ascii="Calibri" w:hAnsi="Calibri"/>
                <w:color w:val="333333"/>
                <w:sz w:val="19"/>
              </w:rPr>
              <w:t>Annual Steady-State Benefit</w:t>
            </w:r>
          </w:p>
        </w:tc>
        <w:tc>
          <w:tcPr>
            <w:tcW w:type="dxa" w:w="3600"/>
            <w:vAlign w:val="center"/>
          </w:tcPr>
          <w:p>
            <w:pPr>
              <w:spacing w:before="0" w:after="40" w:line="276" w:lineRule="auto"/>
            </w:pPr>
            <w:r/>
            <w:r>
              <w:rPr>
                <w:rFonts w:ascii="Calibri" w:hAnsi="Calibri"/>
                <w:color w:val="333333"/>
                <w:sz w:val="19"/>
              </w:rPr>
              <w:t>$9.00M</w:t>
            </w:r>
          </w:p>
        </w:tc>
      </w:tr>
      <w:tr>
        <w:tc>
          <w:tcPr>
            <w:tcW w:type="dxa" w:w="5040"/>
            <w:shd w:val="clear" w:color="auto" w:fill="F2F2F2"/>
            <w:vAlign w:val="center"/>
          </w:tcPr>
          <w:p>
            <w:pPr>
              <w:spacing w:before="0" w:after="40" w:line="276" w:lineRule="auto"/>
            </w:pPr>
            <w:r/>
            <w:r>
              <w:rPr>
                <w:rFonts w:ascii="Calibri" w:hAnsi="Calibri"/>
                <w:color w:val="333333"/>
                <w:sz w:val="19"/>
              </w:rPr>
              <w:t>Net Steady-State Annual Impact</w:t>
            </w:r>
          </w:p>
        </w:tc>
        <w:tc>
          <w:tcPr>
            <w:tcW w:type="dxa" w:w="3600"/>
            <w:shd w:val="clear" w:color="auto" w:fill="F2F2F2"/>
            <w:vAlign w:val="center"/>
          </w:tcPr>
          <w:p>
            <w:pPr>
              <w:spacing w:before="0" w:after="40" w:line="276" w:lineRule="auto"/>
            </w:pPr>
            <w:r/>
            <w:r>
              <w:rPr>
                <w:rFonts w:ascii="Calibri" w:hAnsi="Calibri"/>
                <w:color w:val="333333"/>
                <w:sz w:val="19"/>
              </w:rPr>
              <w:t>+$6.40M</w:t>
            </w:r>
          </w:p>
        </w:tc>
      </w:tr>
      <w:tr>
        <w:tc>
          <w:tcPr>
            <w:tcW w:type="dxa" w:w="5040"/>
            <w:vAlign w:val="center"/>
          </w:tcPr>
          <w:p>
            <w:pPr>
              <w:spacing w:before="0" w:after="40" w:line="276" w:lineRule="auto"/>
            </w:pPr>
            <w:r/>
            <w:r>
              <w:rPr>
                <w:rFonts w:ascii="Calibri" w:hAnsi="Calibri"/>
                <w:color w:val="333333"/>
                <w:sz w:val="19"/>
              </w:rPr>
              <w:t>10-Year NPV (8% discount rate)</w:t>
            </w:r>
          </w:p>
        </w:tc>
        <w:tc>
          <w:tcPr>
            <w:tcW w:type="dxa" w:w="3600"/>
            <w:vAlign w:val="center"/>
          </w:tcPr>
          <w:p>
            <w:pPr>
              <w:spacing w:before="0" w:after="40" w:line="276" w:lineRule="auto"/>
            </w:pPr>
            <w:r/>
            <w:r>
              <w:rPr>
                <w:rFonts w:ascii="Calibri" w:hAnsi="Calibri"/>
                <w:color w:val="333333"/>
                <w:sz w:val="19"/>
              </w:rPr>
              <w:t>~$34M</w:t>
            </w:r>
          </w:p>
        </w:tc>
      </w:tr>
      <w:tr>
        <w:tc>
          <w:tcPr>
            <w:tcW w:type="dxa" w:w="5040"/>
            <w:shd w:val="clear" w:color="auto" w:fill="F2F2F2"/>
            <w:vAlign w:val="center"/>
          </w:tcPr>
          <w:p>
            <w:pPr>
              <w:spacing w:before="0" w:after="40" w:line="276" w:lineRule="auto"/>
            </w:pPr>
            <w:r/>
            <w:r>
              <w:rPr>
                <w:rFonts w:ascii="Calibri" w:hAnsi="Calibri"/>
                <w:color w:val="333333"/>
                <w:sz w:val="19"/>
              </w:rPr>
              <w:t>Payback Period</w:t>
            </w:r>
          </w:p>
        </w:tc>
        <w:tc>
          <w:tcPr>
            <w:tcW w:type="dxa" w:w="3600"/>
            <w:shd w:val="clear" w:color="auto" w:fill="F2F2F2"/>
            <w:vAlign w:val="center"/>
          </w:tcPr>
          <w:p>
            <w:pPr>
              <w:spacing w:before="0" w:after="40" w:line="276" w:lineRule="auto"/>
            </w:pPr>
            <w:r/>
            <w:r>
              <w:rPr>
                <w:rFonts w:ascii="Calibri" w:hAnsi="Calibri"/>
                <w:color w:val="333333"/>
                <w:sz w:val="19"/>
              </w:rPr>
              <w:t>~16-18 months</w:t>
            </w:r>
          </w:p>
        </w:tc>
      </w:tr>
      <w:tr>
        <w:tc>
          <w:tcPr>
            <w:tcW w:type="dxa" w:w="5040"/>
            <w:vAlign w:val="center"/>
          </w:tcPr>
          <w:p>
            <w:pPr>
              <w:spacing w:before="0" w:after="40" w:line="276" w:lineRule="auto"/>
            </w:pPr>
            <w:r/>
            <w:r>
              <w:rPr>
                <w:rFonts w:ascii="Calibri" w:hAnsi="Calibri"/>
                <w:color w:val="333333"/>
                <w:sz w:val="19"/>
              </w:rPr>
              <w:t>10-Year Cumulative ROI</w:t>
            </w:r>
          </w:p>
        </w:tc>
        <w:tc>
          <w:tcPr>
            <w:tcW w:type="dxa" w:w="3600"/>
            <w:vAlign w:val="center"/>
          </w:tcPr>
          <w:p>
            <w:pPr>
              <w:spacing w:before="0" w:after="40" w:line="276" w:lineRule="auto"/>
            </w:pPr>
            <w:r/>
            <w:r>
              <w:rPr>
                <w:rFonts w:ascii="Calibri" w:hAnsi="Calibri"/>
                <w:color w:val="333333"/>
                <w:sz w:val="19"/>
              </w:rPr>
              <w:t>~192%</w:t>
            </w:r>
          </w:p>
        </w:tc>
      </w:tr>
      <w:tr>
        <w:tc>
          <w:tcPr>
            <w:tcW w:type="dxa" w:w="5040"/>
            <w:shd w:val="clear" w:color="auto" w:fill="F2F2F2"/>
            <w:vAlign w:val="center"/>
          </w:tcPr>
          <w:p>
            <w:pPr>
              <w:spacing w:before="0" w:after="40" w:line="276" w:lineRule="auto"/>
            </w:pPr>
            <w:r/>
            <w:r>
              <w:rPr>
                <w:rFonts w:ascii="Calibri" w:hAnsi="Calibri"/>
                <w:color w:val="333333"/>
                <w:sz w:val="19"/>
              </w:rPr>
              <w:t>Annual Tech Debt Drag (status quo)</w:t>
            </w:r>
          </w:p>
        </w:tc>
        <w:tc>
          <w:tcPr>
            <w:tcW w:type="dxa" w:w="3600"/>
            <w:shd w:val="clear" w:color="auto" w:fill="F2F2F2"/>
            <w:vAlign w:val="center"/>
          </w:tcPr>
          <w:p>
            <w:pPr>
              <w:spacing w:before="0" w:after="40" w:line="276" w:lineRule="auto"/>
            </w:pPr>
            <w:r/>
            <w:r>
              <w:rPr>
                <w:rFonts w:ascii="Calibri" w:hAnsi="Calibri"/>
                <w:color w:val="333333"/>
                <w:sz w:val="19"/>
              </w:rPr>
              <w:t>~$8.8M</w:t>
            </w:r>
          </w:p>
        </w:tc>
      </w:tr>
    </w:tbl>
    <w:p>
      <w:pPr>
        <w:spacing w:before="0" w:after="160" w:line="288" w:lineRule="auto"/>
      </w:pPr>
      <w:r>
        <w:rPr>
          <w:rFonts w:ascii="Calibri" w:hAnsi="Calibri"/>
          <w:b w:val="0"/>
          <w:i w:val="0"/>
        </w:rPr>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URGENCY</w:t>
            </w:r>
          </w:p>
          <w:p>
            <w:pPr>
              <w:spacing w:before="0" w:after="80" w:line="288" w:lineRule="auto"/>
            </w:pPr>
            <w:r>
              <w:rPr>
                <w:rFonts w:ascii="Calibri" w:hAnsi="Calibri"/>
                <w:color w:val="333333"/>
                <w:sz w:val="20"/>
              </w:rPr>
              <w:t>Three factors compress the decision window: (1) digital marketplace entrants are compounding advantage, (2) cyber insurance premiums are hardening as incident frequency rises, and (3) AI talent markets favor first-movers. A 12-month delay costs an estimated $5-7M in foregone NPV plus elevated tail risk.</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2. The Technology Landscape for Livestock Marketing</w:t>
      </w:r>
    </w:p>
    <w:p>
      <w:pPr>
        <w:spacing w:before="0" w:after="160" w:line="300" w:lineRule="auto"/>
      </w:pPr>
      <w:r>
        <w:rPr>
          <w:rFonts w:ascii="Calibri" w:hAnsi="Calibri"/>
          <w:b w:val="0"/>
          <w:i w:val="0"/>
          <w:sz w:val="21"/>
        </w:rPr>
        <w:t>The livestock marketing industry is undergoing a quiet but accelerating digital transformation. This section sets context: where capital is flowing, where AI adoption stands, how peers compare, and what the regulatory environment requires.</w:t>
      </w:r>
    </w:p>
    <w:p>
      <w:pPr>
        <w:pStyle w:val="Heading2"/>
        <w:spacing w:before="280" w:after="120" w:line="276" w:lineRule="auto"/>
      </w:pPr>
      <w:r>
        <w:t>2.1 Digital Disruption of Agricultural Value Chains</w:t>
      </w:r>
    </w:p>
    <w:p>
      <w:pPr>
        <w:spacing w:before="0" w:after="160" w:line="300" w:lineRule="auto"/>
      </w:pPr>
      <w:r>
        <w:rPr>
          <w:rFonts w:ascii="Calibri" w:hAnsi="Calibri"/>
          <w:b w:val="0"/>
          <w:i w:val="0"/>
          <w:sz w:val="21"/>
        </w:rPr>
        <w:t>Global agtech investment reached an estimated $13B in 2025 after a 2021 peak of $11.4B, a post-correction rebound. Cumulative 2018–2025 investment in ag-focused technology exceeds $75B, with the fastest-growing segment being ag AI/ML (from $400M in 2018 to $4.2B in 2025).</w:t>
      </w:r>
      <w:r>
        <w:rPr>
          <w:color w:val="0078D4"/>
          <w:sz w:val="16"/>
          <w:vertAlign w:val="superscript"/>
        </w:rPr>
        <w:t xml:space="preserve"> [1]</w:t>
      </w:r>
    </w:p>
    <w:p>
      <w:pPr>
        <w:jc w:val="center"/>
      </w:pPr>
      <w:r>
        <w:drawing>
          <wp:inline xmlns:a="http://schemas.openxmlformats.org/drawingml/2006/main" xmlns:pic="http://schemas.openxmlformats.org/drawingml/2006/picture">
            <wp:extent cx="5943600" cy="388201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82011"/>
                    </a:xfrm>
                    <a:prstGeom prst="rect"/>
                  </pic:spPr>
                </pic:pic>
              </a:graphicData>
            </a:graphic>
          </wp:inline>
        </w:drawing>
      </w:r>
    </w:p>
    <w:p>
      <w:pPr>
        <w:spacing w:before="0" w:after="240" w:line="276" w:lineRule="auto"/>
        <w:jc w:val="center"/>
      </w:pPr>
      <w:r>
        <w:rPr>
          <w:rFonts w:ascii="Calibri" w:hAnsi="Calibri"/>
          <w:i/>
          <w:color w:val="666666"/>
          <w:sz w:val="18"/>
        </w:rPr>
        <w:t>Exhibit: Ag AI/ML is the fastest-growing agtech segment, crossing $4B in 2025.</w:t>
      </w:r>
    </w:p>
    <w:p>
      <w:pPr>
        <w:spacing w:before="0" w:after="160" w:line="300" w:lineRule="auto"/>
      </w:pPr>
      <w:r>
        <w:rPr>
          <w:rFonts w:ascii="Calibri" w:hAnsi="Calibri"/>
          <w:b w:val="0"/>
          <w:i w:val="0"/>
          <w:sz w:val="21"/>
        </w:rPr>
        <w:t>This capital is funding direct threats to PLMA's business model: digital auction platforms, peer-to-peer livestock marketplaces, AI-driven credit decisioning for producers, fintech payment rails that bypass intermediaries, and data platforms that aggregate market intelligence cooperatively held historically.</w:t>
      </w:r>
    </w:p>
    <w:p>
      <w:pPr>
        <w:pStyle w:val="Heading2"/>
        <w:spacing w:before="280" w:after="120" w:line="276" w:lineRule="auto"/>
      </w:pPr>
      <w:r>
        <w:t>2.2 AI Adoption Curves</w:t>
      </w:r>
    </w:p>
    <w:p>
      <w:pPr>
        <w:spacing w:before="0" w:after="160" w:line="300" w:lineRule="auto"/>
      </w:pPr>
      <w:r>
        <w:rPr>
          <w:rFonts w:ascii="Calibri" w:hAnsi="Calibri"/>
          <w:b w:val="0"/>
          <w:i w:val="0"/>
          <w:sz w:val="21"/>
        </w:rPr>
        <w:t>McKinsey's State of AI surveys indicate enterprise AI adoption reaching ~65% of organizations globally in 2025, with GenAI adoption specifically jumping from 33% (2023) to 65% (2024). Adoption is not uniform: financial services and technology lead, while agriculture — particularly livestock marketing — lags.</w:t>
      </w:r>
      <w:r>
        <w:rPr>
          <w:color w:val="0078D4"/>
          <w:sz w:val="16"/>
          <w:vertAlign w:val="superscript"/>
        </w:rPr>
        <w:t xml:space="preserve"> [2]</w:t>
      </w:r>
    </w:p>
    <w:p>
      <w:pPr>
        <w:jc w:val="center"/>
      </w:pPr>
      <w:r>
        <w:drawing>
          <wp:inline xmlns:a="http://schemas.openxmlformats.org/drawingml/2006/main" xmlns:pic="http://schemas.openxmlformats.org/drawingml/2006/picture">
            <wp:extent cx="5943600" cy="376672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766726"/>
                    </a:xfrm>
                    <a:prstGeom prst="rect"/>
                  </pic:spPr>
                </pic:pic>
              </a:graphicData>
            </a:graphic>
          </wp:inline>
        </w:drawing>
      </w:r>
    </w:p>
    <w:p>
      <w:pPr>
        <w:spacing w:before="0" w:after="240" w:line="276" w:lineRule="auto"/>
        <w:jc w:val="center"/>
      </w:pPr>
      <w:r>
        <w:rPr>
          <w:rFonts w:ascii="Calibri" w:hAnsi="Calibri"/>
          <w:i/>
          <w:color w:val="666666"/>
          <w:sz w:val="18"/>
        </w:rPr>
        <w:t>Exhibit: Livestock marketing sits in the early-majority zone; PLMA has a 2-3 year window to catch up on favorable terms.</w:t>
      </w:r>
    </w:p>
    <w:p>
      <w:pPr>
        <w:pStyle w:val="Heading2"/>
        <w:spacing w:before="280" w:after="120" w:line="276" w:lineRule="auto"/>
      </w:pPr>
      <w:r>
        <w:t>2.3 Competitor / Peer Benchmarking</w:t>
      </w:r>
    </w:p>
    <w:p>
      <w:pPr>
        <w:spacing w:before="0" w:after="160" w:line="300" w:lineRule="auto"/>
      </w:pPr>
      <w:r>
        <w:rPr>
          <w:rFonts w:ascii="Calibri" w:hAnsi="Calibri"/>
          <w:b w:val="0"/>
          <w:i w:val="0"/>
          <w:sz w:val="21"/>
        </w:rPr>
        <w:t>Among ~15 major U.S. livestock marketing cooperatives and auction networks, we estimate:</w:t>
      </w:r>
    </w:p>
    <w:p>
      <w:pPr>
        <w:pStyle w:val="ListBullet"/>
        <w:spacing w:before="0" w:after="80" w:line="288" w:lineRule="auto"/>
      </w:pPr>
      <w:r>
        <w:rPr>
          <w:rFonts w:ascii="Calibri" w:hAnsi="Calibri"/>
          <w:b/>
          <w:color w:val="003A70"/>
          <w:sz w:val="21"/>
        </w:rPr>
        <w:t xml:space="preserve">Digital leaders (3-4 peers): </w:t>
      </w:r>
      <w:r>
        <w:rPr>
          <w:rFonts w:ascii="Calibri" w:hAnsi="Calibri"/>
          <w:color w:val="333333"/>
          <w:sz w:val="21"/>
        </w:rPr>
        <w:t>Cloud-native core systems, AI-driven credit scoring in production, digital auction platforms live, RPA deployed broadly.</w:t>
      </w:r>
    </w:p>
    <w:p>
      <w:pPr>
        <w:pStyle w:val="ListBullet"/>
        <w:spacing w:before="0" w:after="80" w:line="288" w:lineRule="auto"/>
      </w:pPr>
      <w:r>
        <w:rPr>
          <w:rFonts w:ascii="Calibri" w:hAnsi="Calibri"/>
          <w:b/>
          <w:color w:val="003A70"/>
          <w:sz w:val="21"/>
        </w:rPr>
        <w:t xml:space="preserve">Digital challengers (5-6 peers): </w:t>
      </w:r>
      <w:r>
        <w:rPr>
          <w:rFonts w:ascii="Calibri" w:hAnsi="Calibri"/>
          <w:color w:val="333333"/>
          <w:sz w:val="21"/>
        </w:rPr>
        <w:t>Hybrid cloud, selective AI pilots, partial digital auction capability, some RPA.</w:t>
      </w:r>
    </w:p>
    <w:p>
      <w:pPr>
        <w:pStyle w:val="ListBullet"/>
        <w:spacing w:before="0" w:after="80" w:line="288" w:lineRule="auto"/>
      </w:pPr>
      <w:r>
        <w:rPr>
          <w:rFonts w:ascii="Calibri" w:hAnsi="Calibri"/>
          <w:b/>
          <w:color w:val="003A70"/>
          <w:sz w:val="21"/>
        </w:rPr>
        <w:t xml:space="preserve">Digital laggards (5-6 peers, including PLMA): </w:t>
      </w:r>
      <w:r>
        <w:rPr>
          <w:rFonts w:ascii="Calibri" w:hAnsi="Calibri"/>
          <w:color w:val="333333"/>
          <w:sz w:val="21"/>
        </w:rPr>
        <w:t>On-premise legacy systems, manual credit processes, traditional auction model, limited or no AI, reactive cyber posture.</w:t>
      </w:r>
    </w:p>
    <w:p>
      <w:pPr>
        <w:pStyle w:val="Heading2"/>
        <w:spacing w:before="280" w:after="120" w:line="276" w:lineRule="auto"/>
      </w:pPr>
      <w:r>
        <w:t>2.4 Regulatory Landscape</w:t>
      </w:r>
    </w:p>
    <w:tbl>
      <w:tblPr>
        <w:tblW w:type="auto" w:w="0"/>
        <w:jc w:val="center"/>
        <w:tblLook w:firstColumn="1" w:firstRow="1" w:lastColumn="0" w:lastRow="0" w:noHBand="0" w:noVBand="1" w:val="04A0"/>
      </w:tblPr>
      <w:tblGrid>
        <w:gridCol w:w="3120"/>
        <w:gridCol w:w="3120"/>
        <w:gridCol w:w="3120"/>
      </w:tblGrid>
      <w:tr>
        <w:tc>
          <w:tcPr>
            <w:tcW w:type="dxa" w:w="3168"/>
            <w:shd w:val="clear" w:color="auto" w:fill="003A70"/>
            <w:vAlign w:val="center"/>
          </w:tcPr>
          <w:p>
            <w:pPr>
              <w:spacing w:before="0" w:after="40" w:line="276" w:lineRule="auto"/>
            </w:pPr>
            <w:r/>
            <w:r>
              <w:rPr>
                <w:rFonts w:ascii="Calibri" w:hAnsi="Calibri"/>
                <w:b/>
                <w:color w:val="FFFFFF"/>
                <w:sz w:val="19"/>
              </w:rPr>
              <w:t>Regulation / Framework</w:t>
            </w:r>
          </w:p>
        </w:tc>
        <w:tc>
          <w:tcPr>
            <w:tcW w:type="dxa" w:w="4032"/>
            <w:shd w:val="clear" w:color="auto" w:fill="003A70"/>
            <w:vAlign w:val="center"/>
          </w:tcPr>
          <w:p>
            <w:pPr>
              <w:spacing w:before="0" w:after="40" w:line="276" w:lineRule="auto"/>
            </w:pPr>
            <w:r/>
            <w:r>
              <w:rPr>
                <w:rFonts w:ascii="Calibri" w:hAnsi="Calibri"/>
                <w:b/>
                <w:color w:val="FFFFFF"/>
                <w:sz w:val="19"/>
              </w:rPr>
              <w:t>Relevance to PLMA</w:t>
            </w:r>
          </w:p>
        </w:tc>
        <w:tc>
          <w:tcPr>
            <w:tcW w:type="dxa" w:w="2016"/>
            <w:shd w:val="clear" w:color="auto" w:fill="003A70"/>
            <w:vAlign w:val="center"/>
          </w:tcPr>
          <w:p>
            <w:pPr>
              <w:spacing w:before="0" w:after="40" w:line="276" w:lineRule="auto"/>
            </w:pPr>
            <w:r/>
            <w:r>
              <w:rPr>
                <w:rFonts w:ascii="Calibri" w:hAnsi="Calibri"/>
                <w:b/>
                <w:color w:val="FFFFFF"/>
                <w:sz w:val="19"/>
              </w:rPr>
              <w:t>Status</w:t>
            </w:r>
          </w:p>
        </w:tc>
      </w:tr>
      <w:tr>
        <w:tc>
          <w:tcPr>
            <w:tcW w:type="dxa" w:w="3168"/>
            <w:vAlign w:val="center"/>
          </w:tcPr>
          <w:p>
            <w:pPr>
              <w:spacing w:before="0" w:after="40" w:line="276" w:lineRule="auto"/>
            </w:pPr>
            <w:r/>
            <w:r>
              <w:rPr>
                <w:rFonts w:ascii="Calibri" w:hAnsi="Calibri"/>
                <w:color w:val="333333"/>
                <w:sz w:val="19"/>
              </w:rPr>
              <w:t>NIST AI Risk Management Framework (AI RMF 1.0)</w:t>
            </w:r>
          </w:p>
        </w:tc>
        <w:tc>
          <w:tcPr>
            <w:tcW w:type="dxa" w:w="4032"/>
            <w:vAlign w:val="center"/>
          </w:tcPr>
          <w:p>
            <w:pPr>
              <w:spacing w:before="0" w:after="40" w:line="276" w:lineRule="auto"/>
            </w:pPr>
            <w:r/>
            <w:r>
              <w:rPr>
                <w:rFonts w:ascii="Calibri" w:hAnsi="Calibri"/>
                <w:color w:val="333333"/>
                <w:sz w:val="19"/>
              </w:rPr>
              <w:t>Voluntary but increasingly required in B2B and regulated contexts</w:t>
            </w:r>
          </w:p>
        </w:tc>
        <w:tc>
          <w:tcPr>
            <w:tcW w:type="dxa" w:w="2016"/>
            <w:vAlign w:val="center"/>
          </w:tcPr>
          <w:p>
            <w:pPr>
              <w:spacing w:before="0" w:after="40" w:line="276" w:lineRule="auto"/>
            </w:pPr>
            <w:r/>
            <w:r>
              <w:rPr>
                <w:rFonts w:ascii="Calibri" w:hAnsi="Calibri"/>
                <w:color w:val="333333"/>
                <w:sz w:val="19"/>
              </w:rPr>
              <w:t>Active (2023)</w:t>
            </w:r>
          </w:p>
        </w:tc>
      </w:tr>
      <w:tr>
        <w:tc>
          <w:tcPr>
            <w:tcW w:type="dxa" w:w="3168"/>
            <w:shd w:val="clear" w:color="auto" w:fill="F2F2F2"/>
            <w:vAlign w:val="center"/>
          </w:tcPr>
          <w:p>
            <w:pPr>
              <w:spacing w:before="0" w:after="40" w:line="276" w:lineRule="auto"/>
            </w:pPr>
            <w:r/>
            <w:r>
              <w:rPr>
                <w:rFonts w:ascii="Calibri" w:hAnsi="Calibri"/>
                <w:color w:val="333333"/>
                <w:sz w:val="19"/>
              </w:rPr>
              <w:t>SEC Cybersecurity Disclosure Rule</w:t>
            </w:r>
          </w:p>
        </w:tc>
        <w:tc>
          <w:tcPr>
            <w:tcW w:type="dxa" w:w="4032"/>
            <w:shd w:val="clear" w:color="auto" w:fill="F2F2F2"/>
            <w:vAlign w:val="center"/>
          </w:tcPr>
          <w:p>
            <w:pPr>
              <w:spacing w:before="0" w:after="40" w:line="276" w:lineRule="auto"/>
            </w:pPr>
            <w:r/>
            <w:r>
              <w:rPr>
                <w:rFonts w:ascii="Calibri" w:hAnsi="Calibri"/>
                <w:color w:val="333333"/>
                <w:sz w:val="19"/>
              </w:rPr>
              <w:t>Public filer obligation; signals expectations across all entities</w:t>
            </w:r>
          </w:p>
        </w:tc>
        <w:tc>
          <w:tcPr>
            <w:tcW w:type="dxa" w:w="2016"/>
            <w:shd w:val="clear" w:color="auto" w:fill="F2F2F2"/>
            <w:vAlign w:val="center"/>
          </w:tcPr>
          <w:p>
            <w:pPr>
              <w:spacing w:before="0" w:after="40" w:line="276" w:lineRule="auto"/>
            </w:pPr>
            <w:r/>
            <w:r>
              <w:rPr>
                <w:rFonts w:ascii="Calibri" w:hAnsi="Calibri"/>
                <w:color w:val="333333"/>
                <w:sz w:val="19"/>
              </w:rPr>
              <w:t>Effective 2023</w:t>
            </w:r>
          </w:p>
        </w:tc>
      </w:tr>
      <w:tr>
        <w:tc>
          <w:tcPr>
            <w:tcW w:type="dxa" w:w="3168"/>
            <w:vAlign w:val="center"/>
          </w:tcPr>
          <w:p>
            <w:pPr>
              <w:spacing w:before="0" w:after="40" w:line="276" w:lineRule="auto"/>
            </w:pPr>
            <w:r/>
            <w:r>
              <w:rPr>
                <w:rFonts w:ascii="Calibri" w:hAnsi="Calibri"/>
                <w:color w:val="333333"/>
                <w:sz w:val="19"/>
              </w:rPr>
              <w:t>State AI Governance Laws (CO, CA, UT, NYC)</w:t>
            </w:r>
          </w:p>
        </w:tc>
        <w:tc>
          <w:tcPr>
            <w:tcW w:type="dxa" w:w="4032"/>
            <w:vAlign w:val="center"/>
          </w:tcPr>
          <w:p>
            <w:pPr>
              <w:spacing w:before="0" w:after="40" w:line="276" w:lineRule="auto"/>
            </w:pPr>
            <w:r/>
            <w:r>
              <w:rPr>
                <w:rFonts w:ascii="Calibri" w:hAnsi="Calibri"/>
                <w:color w:val="333333"/>
                <w:sz w:val="19"/>
              </w:rPr>
              <w:t>High-risk AI decision systems; extend to credit/employment</w:t>
            </w:r>
          </w:p>
        </w:tc>
        <w:tc>
          <w:tcPr>
            <w:tcW w:type="dxa" w:w="2016"/>
            <w:vAlign w:val="center"/>
          </w:tcPr>
          <w:p>
            <w:pPr>
              <w:spacing w:before="0" w:after="40" w:line="276" w:lineRule="auto"/>
            </w:pPr>
            <w:r/>
            <w:r>
              <w:rPr>
                <w:rFonts w:ascii="Calibri" w:hAnsi="Calibri"/>
                <w:color w:val="333333"/>
                <w:sz w:val="19"/>
              </w:rPr>
              <w:t>Expanding 2024–2026</w:t>
            </w:r>
          </w:p>
        </w:tc>
      </w:tr>
      <w:tr>
        <w:tc>
          <w:tcPr>
            <w:tcW w:type="dxa" w:w="3168"/>
            <w:shd w:val="clear" w:color="auto" w:fill="F2F2F2"/>
            <w:vAlign w:val="center"/>
          </w:tcPr>
          <w:p>
            <w:pPr>
              <w:spacing w:before="0" w:after="40" w:line="276" w:lineRule="auto"/>
            </w:pPr>
            <w:r/>
            <w:r>
              <w:rPr>
                <w:rFonts w:ascii="Calibri" w:hAnsi="Calibri"/>
                <w:color w:val="333333"/>
                <w:sz w:val="19"/>
              </w:rPr>
              <w:t>EU AI Act</w:t>
            </w:r>
          </w:p>
        </w:tc>
        <w:tc>
          <w:tcPr>
            <w:tcW w:type="dxa" w:w="4032"/>
            <w:shd w:val="clear" w:color="auto" w:fill="F2F2F2"/>
            <w:vAlign w:val="center"/>
          </w:tcPr>
          <w:p>
            <w:pPr>
              <w:spacing w:before="0" w:after="40" w:line="276" w:lineRule="auto"/>
            </w:pPr>
            <w:r/>
            <w:r>
              <w:rPr>
                <w:rFonts w:ascii="Calibri" w:hAnsi="Calibri"/>
                <w:color w:val="333333"/>
                <w:sz w:val="19"/>
              </w:rPr>
              <w:t>Extraterritorial reach for firms operating with EU buyers/data</w:t>
            </w:r>
          </w:p>
        </w:tc>
        <w:tc>
          <w:tcPr>
            <w:tcW w:type="dxa" w:w="2016"/>
            <w:shd w:val="clear" w:color="auto" w:fill="F2F2F2"/>
            <w:vAlign w:val="center"/>
          </w:tcPr>
          <w:p>
            <w:pPr>
              <w:spacing w:before="0" w:after="40" w:line="276" w:lineRule="auto"/>
            </w:pPr>
            <w:r/>
            <w:r>
              <w:rPr>
                <w:rFonts w:ascii="Calibri" w:hAnsi="Calibri"/>
                <w:color w:val="333333"/>
                <w:sz w:val="19"/>
              </w:rPr>
              <w:t>Phased 2025–2027</w:t>
            </w:r>
          </w:p>
        </w:tc>
      </w:tr>
      <w:tr>
        <w:tc>
          <w:tcPr>
            <w:tcW w:type="dxa" w:w="3168"/>
            <w:vAlign w:val="center"/>
          </w:tcPr>
          <w:p>
            <w:pPr>
              <w:spacing w:before="0" w:after="40" w:line="276" w:lineRule="auto"/>
            </w:pPr>
            <w:r/>
            <w:r>
              <w:rPr>
                <w:rFonts w:ascii="Calibri" w:hAnsi="Calibri"/>
                <w:color w:val="333333"/>
                <w:sz w:val="19"/>
              </w:rPr>
              <w:t>State Privacy Laws (20+ states)</w:t>
            </w:r>
          </w:p>
        </w:tc>
        <w:tc>
          <w:tcPr>
            <w:tcW w:type="dxa" w:w="4032"/>
            <w:vAlign w:val="center"/>
          </w:tcPr>
          <w:p>
            <w:pPr>
              <w:spacing w:before="0" w:after="40" w:line="276" w:lineRule="auto"/>
            </w:pPr>
            <w:r/>
            <w:r>
              <w:rPr>
                <w:rFonts w:ascii="Calibri" w:hAnsi="Calibri"/>
                <w:color w:val="333333"/>
                <w:sz w:val="19"/>
              </w:rPr>
              <w:t>Producer data, member data, marketing consent</w:t>
            </w:r>
          </w:p>
        </w:tc>
        <w:tc>
          <w:tcPr>
            <w:tcW w:type="dxa" w:w="2016"/>
            <w:vAlign w:val="center"/>
          </w:tcPr>
          <w:p>
            <w:pPr>
              <w:spacing w:before="0" w:after="40" w:line="276" w:lineRule="auto"/>
            </w:pPr>
            <w:r/>
            <w:r>
              <w:rPr>
                <w:rFonts w:ascii="Calibri" w:hAnsi="Calibri"/>
                <w:color w:val="333333"/>
                <w:sz w:val="19"/>
              </w:rPr>
              <w:t>Patchwork, expanding</w:t>
            </w:r>
          </w:p>
        </w:tc>
      </w:tr>
      <w:tr>
        <w:tc>
          <w:tcPr>
            <w:tcW w:type="dxa" w:w="3168"/>
            <w:shd w:val="clear" w:color="auto" w:fill="F2F2F2"/>
            <w:vAlign w:val="center"/>
          </w:tcPr>
          <w:p>
            <w:pPr>
              <w:spacing w:before="0" w:after="40" w:line="276" w:lineRule="auto"/>
            </w:pPr>
            <w:r/>
            <w:r>
              <w:rPr>
                <w:rFonts w:ascii="Calibri" w:hAnsi="Calibri"/>
                <w:color w:val="333333"/>
                <w:sz w:val="19"/>
              </w:rPr>
              <w:t>Packers &amp; Stockyards Act (P&amp;SA)</w:t>
            </w:r>
          </w:p>
        </w:tc>
        <w:tc>
          <w:tcPr>
            <w:tcW w:type="dxa" w:w="4032"/>
            <w:shd w:val="clear" w:color="auto" w:fill="F2F2F2"/>
            <w:vAlign w:val="center"/>
          </w:tcPr>
          <w:p>
            <w:pPr>
              <w:spacing w:before="0" w:after="40" w:line="276" w:lineRule="auto"/>
            </w:pPr>
            <w:r/>
            <w:r>
              <w:rPr>
                <w:rFonts w:ascii="Calibri" w:hAnsi="Calibri"/>
                <w:color w:val="333333"/>
                <w:sz w:val="19"/>
              </w:rPr>
              <w:t>Algorithmic pricing, AI bias in credit decisions</w:t>
            </w:r>
          </w:p>
        </w:tc>
        <w:tc>
          <w:tcPr>
            <w:tcW w:type="dxa" w:w="2016"/>
            <w:shd w:val="clear" w:color="auto" w:fill="F2F2F2"/>
            <w:vAlign w:val="center"/>
          </w:tcPr>
          <w:p>
            <w:pPr>
              <w:spacing w:before="0" w:after="40" w:line="276" w:lineRule="auto"/>
            </w:pPr>
            <w:r/>
            <w:r>
              <w:rPr>
                <w:rFonts w:ascii="Calibri" w:hAnsi="Calibri"/>
                <w:color w:val="333333"/>
                <w:sz w:val="19"/>
              </w:rPr>
              <w:t>Active enforcement</w:t>
            </w:r>
          </w:p>
        </w:tc>
      </w:tr>
    </w:tbl>
    <w:p>
      <w:pPr>
        <w:spacing w:before="0" w:after="160" w:line="288" w:lineRule="auto"/>
      </w:pPr>
      <w:r>
        <w:rPr>
          <w:rFonts w:ascii="Calibri" w:hAnsi="Calibri"/>
          <w:b w:val="0"/>
          <w:i w:val="0"/>
        </w:rPr>
      </w:r>
    </w:p>
    <w:p>
      <w:pPr>
        <w:pStyle w:val="Heading2"/>
        <w:spacing w:before="280" w:after="120" w:line="276" w:lineRule="auto"/>
      </w:pPr>
      <w:r>
        <w:t>2.5 The Cost of Doing Nothing</w:t>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THE DO-NOTHING SCENARIO</w:t>
            </w:r>
          </w:p>
          <w:p>
            <w:pPr>
              <w:spacing w:before="0" w:after="80" w:line="288" w:lineRule="auto"/>
            </w:pPr>
            <w:r>
              <w:rPr>
                <w:rFonts w:ascii="Calibri" w:hAnsi="Calibri"/>
                <w:color w:val="333333"/>
                <w:sz w:val="20"/>
              </w:rPr>
              <w:t>If PLMA maintains current technology posture through 2030: (1) digital marketplace entrants capture an estimated 15-25% of transaction flow currently routed through PLMA, (2) cyber incident probability approaches ~35% over 5 years at estimated $2-4M per incident, (3) legacy system maintenance costs grow 8-12% annually, and (4) AI talent becomes unaffordable or unavailable as peers lock in capacity.</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3. Technology Risk Assessment [Risk-Led Anchor]</w:t>
      </w:r>
    </w:p>
    <w:p>
      <w:pPr>
        <w:spacing w:before="0" w:after="160" w:line="300" w:lineRule="auto"/>
      </w:pPr>
      <w:r>
        <w:rPr>
          <w:rFonts w:ascii="Calibri" w:hAnsi="Calibri"/>
          <w:b w:val="0"/>
          <w:i w:val="0"/>
          <w:sz w:val="21"/>
        </w:rPr>
        <w:t>This section anchors the report. We treat each technology risk in sequence, quantify where possible, and map to the PLMA context. The risks are ordered by materiality — not by technical complexity.</w:t>
      </w:r>
    </w:p>
    <w:p>
      <w:pPr>
        <w:jc w:val="center"/>
      </w:pPr>
      <w:r>
        <w:drawing>
          <wp:inline xmlns:a="http://schemas.openxmlformats.org/drawingml/2006/main" xmlns:pic="http://schemas.openxmlformats.org/drawingml/2006/picture">
            <wp:extent cx="5943600" cy="534474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5344749"/>
                    </a:xfrm>
                    <a:prstGeom prst="rect"/>
                  </pic:spPr>
                </pic:pic>
              </a:graphicData>
            </a:graphic>
          </wp:inline>
        </w:drawing>
      </w:r>
    </w:p>
    <w:p>
      <w:pPr>
        <w:spacing w:before="0" w:after="240" w:line="276" w:lineRule="auto"/>
        <w:jc w:val="center"/>
      </w:pPr>
      <w:r>
        <w:rPr>
          <w:rFonts w:ascii="Calibri" w:hAnsi="Calibri"/>
          <w:i/>
          <w:color w:val="666666"/>
          <w:sz w:val="18"/>
        </w:rPr>
        <w:t>Exhibit: Ransomware, digital disruption, and legacy tech debt occupy the red zone of the heat map.</w:t>
      </w:r>
    </w:p>
    <w:p>
      <w:pPr>
        <w:pStyle w:val="Heading2"/>
        <w:spacing w:before="280" w:after="120" w:line="276" w:lineRule="auto"/>
      </w:pPr>
      <w:r>
        <w:t>3.1 Disruption Risk — Digital Marketplaces Eroding the Auction Model</w:t>
      </w:r>
    </w:p>
    <w:p>
      <w:pPr>
        <w:spacing w:before="0" w:after="160" w:line="300" w:lineRule="auto"/>
      </w:pPr>
      <w:r>
        <w:rPr>
          <w:rFonts w:ascii="Calibri" w:hAnsi="Calibri"/>
          <w:b w:val="0"/>
          <w:i w:val="0"/>
          <w:sz w:val="21"/>
        </w:rPr>
        <w:t>The most significant strategic risk to PLMA is not a single incident but a structural shift: the gradual migration of buyer and producer behavior to digital-first channels. Superior Livestock Auction (a pioneer in video/online cattle sales), Cattlerange, and regional online marketplaces have captured share steadily since 2019. Newer entrants apply fintech playbooks: AI credit decisioning at origination, instant settlement, buyer-producer matching algorithms.</w:t>
      </w:r>
    </w:p>
    <w:p>
      <w:pPr>
        <w:spacing w:before="0" w:after="160" w:line="300" w:lineRule="auto"/>
      </w:pPr>
      <w:r>
        <w:rPr>
          <w:rFonts w:ascii="Calibri" w:hAnsi="Calibri"/>
          <w:b w:val="0"/>
          <w:i w:val="0"/>
          <w:sz w:val="21"/>
        </w:rPr>
        <w:t>Unlike a cyber incident, this disruption is slow and undramatic — which makes it particularly dangerous. By the time the shift is visible in revenue, competitive position has already eroded.</w:t>
      </w:r>
    </w:p>
    <w:p>
      <w:pPr>
        <w:pStyle w:val="Heading2"/>
        <w:spacing w:before="280" w:after="120" w:line="276" w:lineRule="auto"/>
      </w:pPr>
      <w:r>
        <w:t>3.2 Cybersecurity Risk — The Most Acute Technology Exposure</w:t>
      </w:r>
    </w:p>
    <w:p>
      <w:pPr>
        <w:spacing w:before="0" w:after="160" w:line="300" w:lineRule="auto"/>
      </w:pPr>
      <w:r>
        <w:rPr>
          <w:rFonts w:ascii="Calibri" w:hAnsi="Calibri"/>
          <w:b w:val="0"/>
          <w:i w:val="0"/>
          <w:sz w:val="21"/>
        </w:rPr>
        <w:t>The Food and Agriculture Information Sharing and Analysis Center (Food &amp; Ag-ISAC) and CISA have documented a material increase in targeted attacks on agricultural cooperatives and processors. Notable incidents include the 2021 JBS ransomware attack ($11M ransom paid), 2021 NEW Cooperative incident, and numerous 2023–2025 incidents affecting grain elevators, feed mills, and livestock marketers.</w:t>
      </w:r>
      <w:r>
        <w:rPr>
          <w:color w:val="0078D4"/>
          <w:sz w:val="16"/>
          <w:vertAlign w:val="superscript"/>
        </w:rPr>
        <w:t xml:space="preserve"> [12]</w:t>
      </w:r>
    </w:p>
    <w:p>
      <w:pPr>
        <w:jc w:val="center"/>
      </w:pPr>
      <w:r>
        <w:drawing>
          <wp:inline xmlns:a="http://schemas.openxmlformats.org/drawingml/2006/main" xmlns:pic="http://schemas.openxmlformats.org/drawingml/2006/picture">
            <wp:extent cx="5943600" cy="3647619"/>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647619"/>
                    </a:xfrm>
                    <a:prstGeom prst="rect"/>
                  </pic:spPr>
                </pic:pic>
              </a:graphicData>
            </a:graphic>
          </wp:inline>
        </w:drawing>
      </w:r>
    </w:p>
    <w:p>
      <w:pPr>
        <w:spacing w:before="0" w:after="240" w:line="276" w:lineRule="auto"/>
        <w:jc w:val="center"/>
      </w:pPr>
      <w:r>
        <w:rPr>
          <w:rFonts w:ascii="Calibri" w:hAnsi="Calibri"/>
          <w:i/>
          <w:color w:val="666666"/>
          <w:sz w:val="18"/>
        </w:rPr>
        <w:t>Exhibit: Cyber incidents in ag sector grew 9.75× from 2020–2025, with average ransoms reaching $2.8M.</w:t>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THE RANSOMWARE MATH</w:t>
            </w:r>
          </w:p>
          <w:p>
            <w:pPr>
              <w:spacing w:before="0" w:after="80" w:line="288" w:lineRule="auto"/>
            </w:pPr>
            <w:r>
              <w:rPr>
                <w:rFonts w:ascii="Calibri" w:hAnsi="Calibri"/>
                <w:color w:val="333333"/>
                <w:sz w:val="20"/>
              </w:rPr>
              <w:t>At 117 disclosed incidents/year across the ag sector and ~2,000-3,000 qualifying entities, the 12-month incident probability for a PLMA-sized target is approximately 4-6%. Expected loss per incident: $2.5-4M (ransom, business interruption, remediation, notification, litigation). Annual expected loss: $100K-$240K — but tail risk (catastrophic incident) is $8-15M.</w:t>
            </w:r>
          </w:p>
        </w:tc>
      </w:tr>
    </w:tbl>
    <w:p>
      <w:pPr>
        <w:spacing w:before="0" w:after="160" w:line="288" w:lineRule="auto"/>
      </w:pPr>
      <w:r>
        <w:rPr>
          <w:rFonts w:ascii="Calibri" w:hAnsi="Calibri"/>
          <w:b w:val="0"/>
          <w:i w:val="0"/>
        </w:rPr>
      </w:r>
    </w:p>
    <w:p>
      <w:pPr>
        <w:pStyle w:val="Heading2"/>
        <w:spacing w:before="280" w:after="120" w:line="276" w:lineRule="auto"/>
      </w:pPr>
      <w:r>
        <w:t>3.3 Legacy / Tech Debt Risk</w:t>
      </w:r>
    </w:p>
    <w:p>
      <w:pPr>
        <w:jc w:val="center"/>
      </w:pPr>
      <w:r>
        <w:drawing>
          <wp:inline xmlns:a="http://schemas.openxmlformats.org/drawingml/2006/main" xmlns:pic="http://schemas.openxmlformats.org/drawingml/2006/picture">
            <wp:extent cx="5943600" cy="330701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307014"/>
                    </a:xfrm>
                    <a:prstGeom prst="rect"/>
                  </pic:spPr>
                </pic:pic>
              </a:graphicData>
            </a:graphic>
          </wp:inline>
        </w:drawing>
      </w:r>
    </w:p>
    <w:p>
      <w:pPr>
        <w:spacing w:before="0" w:after="240" w:line="276" w:lineRule="auto"/>
        <w:jc w:val="center"/>
      </w:pPr>
      <w:r>
        <w:rPr>
          <w:rFonts w:ascii="Calibri" w:hAnsi="Calibri"/>
          <w:i/>
          <w:color w:val="666666"/>
          <w:sz w:val="18"/>
        </w:rPr>
        <w:t>Exhibit: Legacy tech debt silently costs PLMA an estimated $8.8M annually — more than the recommended Year-1 investment.</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CONNECTION TO REPORT #1 (COUNTERPARTY CREDIT RISK)</w:t>
            </w:r>
          </w:p>
          <w:p>
            <w:pPr>
              <w:spacing w:before="0" w:after="80" w:line="288" w:lineRule="auto"/>
            </w:pPr>
            <w:r>
              <w:rPr>
                <w:rFonts w:ascii="Calibri" w:hAnsi="Calibri"/>
                <w:color w:val="333333"/>
                <w:sz w:val="20"/>
              </w:rPr>
              <w:t>The manual credit decisioning process identified as a weakness in Report #1 is simultaneously a technology risk and a credit risk. Manual processes produce inconsistent underwriting, limited auditability, slow response to distress signals, and no systematic portfolio-level risk view. Fixing the credit process IS fixing a tech debt issue — the two reports point to the same root cause.</w:t>
            </w:r>
          </w:p>
        </w:tc>
      </w:tr>
    </w:tbl>
    <w:p>
      <w:pPr>
        <w:spacing w:before="0" w:after="160" w:line="288" w:lineRule="auto"/>
      </w:pPr>
      <w:r>
        <w:rPr>
          <w:rFonts w:ascii="Calibri" w:hAnsi="Calibri"/>
          <w:b w:val="0"/>
          <w:i w:val="0"/>
        </w:rPr>
      </w:r>
    </w:p>
    <w:p>
      <w:pPr>
        <w:pStyle w:val="Heading2"/>
        <w:spacing w:before="280" w:after="120" w:line="276" w:lineRule="auto"/>
      </w:pPr>
      <w:r>
        <w:t>3.4 AI Governance &amp; Explainability Risk</w:t>
      </w:r>
    </w:p>
    <w:p>
      <w:pPr>
        <w:spacing w:before="0" w:after="160" w:line="300" w:lineRule="auto"/>
      </w:pPr>
      <w:r>
        <w:rPr>
          <w:rFonts w:ascii="Calibri" w:hAnsi="Calibri"/>
          <w:b w:val="0"/>
          <w:i w:val="0"/>
          <w:sz w:val="21"/>
        </w:rPr>
        <w:t>Deploying AI creates new risk categories PLMA has not previously managed: model bias (decisions systematically disadvantaging producer subgroups), explainability requirements (P&amp;SA regulators may demand rationale for algorithmic credit decisions), model drift (performance degradation over time), and hallucination risk in GenAI applications (incorrect output presented with confidence).</w:t>
      </w:r>
    </w:p>
    <w:p>
      <w:pPr>
        <w:spacing w:before="0" w:after="160" w:line="300" w:lineRule="auto"/>
      </w:pPr>
      <w:r>
        <w:rPr>
          <w:rFonts w:ascii="Calibri" w:hAnsi="Calibri"/>
          <w:b w:val="0"/>
          <w:i w:val="0"/>
          <w:sz w:val="21"/>
        </w:rPr>
        <w:t>We recommend PLMA adopt the NIST AI Risk Management Framework (AI RMF 1.0) as the governance backbone — it provides structure for GOVERN, MAP, MEASURE, and MANAGE functions across the AI lifecycle.</w:t>
      </w:r>
      <w:r>
        <w:rPr>
          <w:color w:val="0078D4"/>
          <w:sz w:val="16"/>
          <w:vertAlign w:val="superscript"/>
        </w:rPr>
        <w:t xml:space="preserve"> [8]</w:t>
      </w:r>
    </w:p>
    <w:p>
      <w:pPr>
        <w:pStyle w:val="Heading2"/>
        <w:spacing w:before="280" w:after="120" w:line="276" w:lineRule="auto"/>
      </w:pPr>
      <w:r>
        <w:t>3.5 Data Privacy &amp; Regulatory Risk</w:t>
      </w:r>
    </w:p>
    <w:p>
      <w:pPr>
        <w:spacing w:before="0" w:after="160" w:line="300" w:lineRule="auto"/>
      </w:pPr>
      <w:r>
        <w:rPr>
          <w:rFonts w:ascii="Calibri" w:hAnsi="Calibri"/>
          <w:b w:val="0"/>
          <w:i w:val="0"/>
          <w:sz w:val="21"/>
        </w:rPr>
        <w:t>State privacy laws (CCPA/CPRA, VCDPA, CPA, and 20+ state-level analogs enacted or proposed) impose obligations around member data, producer data, marketing consent, and data subject rights. The patchwork of state laws creates compliance complexity far beyond what PLMA currently manages. SEC climate and cyber disclosure rules, while aimed at public filers, are setting de facto expectations across B2B ag.</w:t>
      </w:r>
    </w:p>
    <w:p>
      <w:pPr>
        <w:pStyle w:val="Heading2"/>
        <w:spacing w:before="280" w:after="120" w:line="276" w:lineRule="auto"/>
      </w:pPr>
      <w:r>
        <w:t>3.6 Talent Risk</w:t>
      </w:r>
    </w:p>
    <w:p>
      <w:pPr>
        <w:spacing w:before="0" w:after="160" w:line="300" w:lineRule="auto"/>
      </w:pPr>
      <w:r>
        <w:rPr>
          <w:rFonts w:ascii="Calibri" w:hAnsi="Calibri"/>
          <w:b w:val="0"/>
          <w:i w:val="0"/>
          <w:sz w:val="21"/>
        </w:rPr>
        <w:t>AI, data, and cloud talent is in acute shortage nationally — and PLMA's rural/ag-adjacent hiring footprint makes the challenge harder. Competitive offers for senior data scientists, ML engineers, and cloud architects commonly exceed $200K total comp. PLMA cannot outbid coastal tech firms, but it can compete on mission, flexibility, and career arc — if the organization visibly invests.</w:t>
      </w:r>
    </w:p>
    <w:p>
      <w:pPr>
        <w:pStyle w:val="Heading2"/>
        <w:spacing w:before="280" w:after="120" w:line="276" w:lineRule="auto"/>
      </w:pPr>
      <w:r>
        <w:t>3.7 Vendor Lock-in &amp; Platform Risk</w:t>
      </w:r>
    </w:p>
    <w:p>
      <w:pPr>
        <w:spacing w:before="0" w:after="160" w:line="300" w:lineRule="auto"/>
      </w:pPr>
      <w:r>
        <w:rPr>
          <w:rFonts w:ascii="Calibri" w:hAnsi="Calibri"/>
          <w:b w:val="0"/>
          <w:i w:val="0"/>
          <w:sz w:val="21"/>
        </w:rPr>
        <w:t>Hyperscaler cloud providers (AWS, Azure, GCP), enterprise SaaS vendors, and AI foundation model providers all create lock-in risk. The mitigation is not to avoid these vendors but to architect deliberately: abstraction layers, data portability standards, multi-cloud optionality for critical workloads, and contractual exit rights.</w:t>
      </w:r>
    </w:p>
    <w:p>
      <w:r>
        <w:br w:type="page"/>
      </w:r>
    </w:p>
    <w:p>
      <w:pPr>
        <w:pStyle w:val="Heading1"/>
        <w:spacing w:before="0" w:after="240" w:line="276" w:lineRule="auto"/>
        <w:pBdr>
          <w:bottom w:val="single" w:sz="12" w:space="4" w:color="003A70"/>
        </w:pBdr>
      </w:pPr>
      <w:r>
        <w:t>4. The AI Opportunity Deep Dive</w:t>
      </w:r>
    </w:p>
    <w:p>
      <w:pPr>
        <w:spacing w:before="0" w:after="160" w:line="300" w:lineRule="auto"/>
      </w:pPr>
      <w:r>
        <w:rPr>
          <w:rFonts w:ascii="Calibri" w:hAnsi="Calibri"/>
          <w:b w:val="0"/>
          <w:i w:val="0"/>
          <w:sz w:val="21"/>
        </w:rPr>
        <w:t>AI is the single largest source of value-creation opportunity in PLMA's technology portfolio. This section identifies, scores, and sequences AI use cases — separating where PLMA should invest, where it should pilot, and where it should defer.</w:t>
      </w:r>
    </w:p>
    <w:p>
      <w:pPr>
        <w:pStyle w:val="Heading2"/>
        <w:spacing w:before="280" w:after="120" w:line="276" w:lineRule="auto"/>
      </w:pPr>
      <w:r>
        <w:t>4.1 The PLMA AI Use Case Portfolio</w:t>
      </w:r>
    </w:p>
    <w:p>
      <w:pPr>
        <w:spacing w:before="0" w:after="160" w:line="300" w:lineRule="auto"/>
      </w:pPr>
      <w:r>
        <w:rPr>
          <w:rFonts w:ascii="Calibri" w:hAnsi="Calibri"/>
          <w:b w:val="0"/>
          <w:i w:val="0"/>
          <w:sz w:val="21"/>
        </w:rPr>
        <w:t>We identified 12 candidate use cases across six AI/tech categories. Each is scored on strategic value (1-10) and feasibility (1-10). Bubble size represents estimated 10-year NPV contribution.</w:t>
      </w:r>
    </w:p>
    <w:p>
      <w:pPr>
        <w:jc w:val="center"/>
      </w:pPr>
      <w:r>
        <w:drawing>
          <wp:inline xmlns:a="http://schemas.openxmlformats.org/drawingml/2006/main" xmlns:pic="http://schemas.openxmlformats.org/drawingml/2006/picture">
            <wp:extent cx="5943600" cy="425650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4256500"/>
                    </a:xfrm>
                    <a:prstGeom prst="rect"/>
                  </pic:spPr>
                </pic:pic>
              </a:graphicData>
            </a:graphic>
          </wp:inline>
        </w:drawing>
      </w:r>
    </w:p>
    <w:p>
      <w:pPr>
        <w:spacing w:before="0" w:after="240" w:line="276" w:lineRule="auto"/>
        <w:jc w:val="center"/>
      </w:pPr>
      <w:r>
        <w:rPr>
          <w:rFonts w:ascii="Calibri" w:hAnsi="Calibri"/>
          <w:i/>
          <w:color w:val="666666"/>
          <w:sz w:val="18"/>
        </w:rPr>
        <w:t>Exhibit: DO FIRST quadrant (high value, high feasibility) contains 4 use cases with ~$29M combined NPV.</w:t>
      </w:r>
    </w:p>
    <w:tbl>
      <w:tblPr>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003A70"/>
            <w:vAlign w:val="center"/>
          </w:tcPr>
          <w:p>
            <w:pPr>
              <w:spacing w:before="0" w:after="40" w:line="276" w:lineRule="auto"/>
            </w:pPr>
            <w:r/>
            <w:r>
              <w:rPr>
                <w:rFonts w:ascii="Calibri" w:hAnsi="Calibri"/>
                <w:b/>
                <w:color w:val="FFFFFF"/>
                <w:sz w:val="19"/>
              </w:rPr>
              <w:t>Use Case</w:t>
            </w:r>
          </w:p>
        </w:tc>
        <w:tc>
          <w:tcPr>
            <w:tcW w:type="dxa" w:w="1584"/>
            <w:shd w:val="clear" w:color="auto" w:fill="003A70"/>
            <w:vAlign w:val="center"/>
          </w:tcPr>
          <w:p>
            <w:pPr>
              <w:spacing w:before="0" w:after="40" w:line="276" w:lineRule="auto"/>
            </w:pPr>
            <w:r/>
            <w:r>
              <w:rPr>
                <w:rFonts w:ascii="Calibri" w:hAnsi="Calibri"/>
                <w:b/>
                <w:color w:val="FFFFFF"/>
                <w:sz w:val="19"/>
              </w:rPr>
              <w:t>Category</w:t>
            </w:r>
          </w:p>
        </w:tc>
        <w:tc>
          <w:tcPr>
            <w:tcW w:type="dxa" w:w="1296"/>
            <w:shd w:val="clear" w:color="auto" w:fill="003A70"/>
            <w:vAlign w:val="center"/>
          </w:tcPr>
          <w:p>
            <w:pPr>
              <w:spacing w:before="0" w:after="40" w:line="276" w:lineRule="auto"/>
            </w:pPr>
            <w:r/>
            <w:r>
              <w:rPr>
                <w:rFonts w:ascii="Calibri" w:hAnsi="Calibri"/>
                <w:b/>
                <w:color w:val="FFFFFF"/>
                <w:sz w:val="19"/>
              </w:rPr>
              <w:t>Value</w:t>
            </w:r>
          </w:p>
        </w:tc>
        <w:tc>
          <w:tcPr>
            <w:tcW w:type="dxa" w:w="1584"/>
            <w:shd w:val="clear" w:color="auto" w:fill="003A70"/>
            <w:vAlign w:val="center"/>
          </w:tcPr>
          <w:p>
            <w:pPr>
              <w:spacing w:before="0" w:after="40" w:line="276" w:lineRule="auto"/>
            </w:pPr>
            <w:r/>
            <w:r>
              <w:rPr>
                <w:rFonts w:ascii="Calibri" w:hAnsi="Calibri"/>
                <w:b/>
                <w:color w:val="FFFFFF"/>
                <w:sz w:val="19"/>
              </w:rPr>
              <w:t>Feasibility</w:t>
            </w:r>
          </w:p>
        </w:tc>
        <w:tc>
          <w:tcPr>
            <w:tcW w:type="dxa" w:w="1296"/>
            <w:shd w:val="clear" w:color="auto" w:fill="003A70"/>
            <w:vAlign w:val="center"/>
          </w:tcPr>
          <w:p>
            <w:pPr>
              <w:spacing w:before="0" w:after="40" w:line="276" w:lineRule="auto"/>
            </w:pPr>
            <w:r/>
            <w:r>
              <w:rPr>
                <w:rFonts w:ascii="Calibri" w:hAnsi="Calibri"/>
                <w:b/>
                <w:color w:val="FFFFFF"/>
                <w:sz w:val="19"/>
              </w:rPr>
              <w:t>10yr NPV</w:t>
            </w:r>
          </w:p>
        </w:tc>
      </w:tr>
      <w:tr>
        <w:tc>
          <w:tcPr>
            <w:tcW w:type="dxa" w:w="2736"/>
            <w:vAlign w:val="center"/>
          </w:tcPr>
          <w:p>
            <w:pPr>
              <w:spacing w:before="0" w:after="40" w:line="276" w:lineRule="auto"/>
            </w:pPr>
            <w:r/>
            <w:r>
              <w:rPr>
                <w:rFonts w:ascii="Calibri" w:hAnsi="Calibri"/>
                <w:color w:val="333333"/>
                <w:sz w:val="19"/>
              </w:rPr>
              <w:t>ML Credit Scoring</w:t>
            </w:r>
          </w:p>
        </w:tc>
        <w:tc>
          <w:tcPr>
            <w:tcW w:type="dxa" w:w="1584"/>
            <w:vAlign w:val="center"/>
          </w:tcPr>
          <w:p>
            <w:pPr>
              <w:spacing w:before="0" w:after="40" w:line="276" w:lineRule="auto"/>
            </w:pPr>
            <w:r/>
            <w:r>
              <w:rPr>
                <w:rFonts w:ascii="Calibri" w:hAnsi="Calibri"/>
                <w:color w:val="333333"/>
                <w:sz w:val="19"/>
              </w:rPr>
              <w:t>AI/ML</w:t>
            </w:r>
          </w:p>
        </w:tc>
        <w:tc>
          <w:tcPr>
            <w:tcW w:type="dxa" w:w="1296"/>
            <w:vAlign w:val="center"/>
          </w:tcPr>
          <w:p>
            <w:pPr>
              <w:spacing w:before="0" w:after="40" w:line="276" w:lineRule="auto"/>
            </w:pPr>
            <w:r/>
            <w:r>
              <w:rPr>
                <w:rFonts w:ascii="Calibri" w:hAnsi="Calibri"/>
                <w:color w:val="333333"/>
                <w:sz w:val="19"/>
              </w:rPr>
              <w:t>9/10</w:t>
            </w:r>
          </w:p>
        </w:tc>
        <w:tc>
          <w:tcPr>
            <w:tcW w:type="dxa" w:w="1584"/>
            <w:vAlign w:val="center"/>
          </w:tcPr>
          <w:p>
            <w:pPr>
              <w:spacing w:before="0" w:after="40" w:line="276" w:lineRule="auto"/>
            </w:pPr>
            <w:r/>
            <w:r>
              <w:rPr>
                <w:rFonts w:ascii="Calibri" w:hAnsi="Calibri"/>
                <w:color w:val="333333"/>
                <w:sz w:val="19"/>
              </w:rPr>
              <w:t>8/10</w:t>
            </w:r>
          </w:p>
        </w:tc>
        <w:tc>
          <w:tcPr>
            <w:tcW w:type="dxa" w:w="1296"/>
            <w:vAlign w:val="center"/>
          </w:tcPr>
          <w:p>
            <w:pPr>
              <w:spacing w:before="0" w:after="40" w:line="276" w:lineRule="auto"/>
            </w:pPr>
            <w:r/>
            <w:r>
              <w:rPr>
                <w:rFonts w:ascii="Calibri" w:hAnsi="Calibri"/>
                <w:color w:val="333333"/>
                <w:sz w:val="19"/>
              </w:rPr>
              <w:t>$7.5M</w:t>
            </w:r>
          </w:p>
        </w:tc>
      </w:tr>
      <w:tr>
        <w:tc>
          <w:tcPr>
            <w:tcW w:type="dxa" w:w="2736"/>
            <w:shd w:val="clear" w:color="auto" w:fill="F2F2F2"/>
            <w:vAlign w:val="center"/>
          </w:tcPr>
          <w:p>
            <w:pPr>
              <w:spacing w:before="0" w:after="40" w:line="276" w:lineRule="auto"/>
            </w:pPr>
            <w:r/>
            <w:r>
              <w:rPr>
                <w:rFonts w:ascii="Calibri" w:hAnsi="Calibri"/>
                <w:color w:val="333333"/>
                <w:sz w:val="19"/>
              </w:rPr>
              <w:t>GenAI Doc Processing</w:t>
            </w:r>
          </w:p>
        </w:tc>
        <w:tc>
          <w:tcPr>
            <w:tcW w:type="dxa" w:w="1584"/>
            <w:shd w:val="clear" w:color="auto" w:fill="F2F2F2"/>
            <w:vAlign w:val="center"/>
          </w:tcPr>
          <w:p>
            <w:pPr>
              <w:spacing w:before="0" w:after="40" w:line="276" w:lineRule="auto"/>
            </w:pPr>
            <w:r/>
            <w:r>
              <w:rPr>
                <w:rFonts w:ascii="Calibri" w:hAnsi="Calibri"/>
                <w:color w:val="333333"/>
                <w:sz w:val="19"/>
              </w:rPr>
              <w:t>GenAI</w:t>
            </w:r>
          </w:p>
        </w:tc>
        <w:tc>
          <w:tcPr>
            <w:tcW w:type="dxa" w:w="1296"/>
            <w:shd w:val="clear" w:color="auto" w:fill="F2F2F2"/>
            <w:vAlign w:val="center"/>
          </w:tcPr>
          <w:p>
            <w:pPr>
              <w:spacing w:before="0" w:after="40" w:line="276" w:lineRule="auto"/>
            </w:pPr>
            <w:r/>
            <w:r>
              <w:rPr>
                <w:rFonts w:ascii="Calibri" w:hAnsi="Calibri"/>
                <w:color w:val="333333"/>
                <w:sz w:val="19"/>
              </w:rPr>
              <w:t>8/10</w:t>
            </w:r>
          </w:p>
        </w:tc>
        <w:tc>
          <w:tcPr>
            <w:tcW w:type="dxa" w:w="1584"/>
            <w:shd w:val="clear" w:color="auto" w:fill="F2F2F2"/>
            <w:vAlign w:val="center"/>
          </w:tcPr>
          <w:p>
            <w:pPr>
              <w:spacing w:before="0" w:after="40" w:line="276" w:lineRule="auto"/>
            </w:pPr>
            <w:r/>
            <w:r>
              <w:rPr>
                <w:rFonts w:ascii="Calibri" w:hAnsi="Calibri"/>
                <w:color w:val="333333"/>
                <w:sz w:val="19"/>
              </w:rPr>
              <w:t>9/10</w:t>
            </w:r>
          </w:p>
        </w:tc>
        <w:tc>
          <w:tcPr>
            <w:tcW w:type="dxa" w:w="1296"/>
            <w:shd w:val="clear" w:color="auto" w:fill="F2F2F2"/>
            <w:vAlign w:val="center"/>
          </w:tcPr>
          <w:p>
            <w:pPr>
              <w:spacing w:before="0" w:after="40" w:line="276" w:lineRule="auto"/>
            </w:pPr>
            <w:r/>
            <w:r>
              <w:rPr>
                <w:rFonts w:ascii="Calibri" w:hAnsi="Calibri"/>
                <w:color w:val="333333"/>
                <w:sz w:val="19"/>
              </w:rPr>
              <w:t>$6.8M</w:t>
            </w:r>
          </w:p>
        </w:tc>
      </w:tr>
      <w:tr>
        <w:tc>
          <w:tcPr>
            <w:tcW w:type="dxa" w:w="2736"/>
            <w:vAlign w:val="center"/>
          </w:tcPr>
          <w:p>
            <w:pPr>
              <w:spacing w:before="0" w:after="40" w:line="276" w:lineRule="auto"/>
            </w:pPr>
            <w:r/>
            <w:r>
              <w:rPr>
                <w:rFonts w:ascii="Calibri" w:hAnsi="Calibri"/>
                <w:color w:val="333333"/>
                <w:sz w:val="19"/>
              </w:rPr>
              <w:t>Price Prediction Models</w:t>
            </w:r>
          </w:p>
        </w:tc>
        <w:tc>
          <w:tcPr>
            <w:tcW w:type="dxa" w:w="1584"/>
            <w:vAlign w:val="center"/>
          </w:tcPr>
          <w:p>
            <w:pPr>
              <w:spacing w:before="0" w:after="40" w:line="276" w:lineRule="auto"/>
            </w:pPr>
            <w:r/>
            <w:r>
              <w:rPr>
                <w:rFonts w:ascii="Calibri" w:hAnsi="Calibri"/>
                <w:color w:val="333333"/>
                <w:sz w:val="19"/>
              </w:rPr>
              <w:t>AI/ML</w:t>
            </w:r>
          </w:p>
        </w:tc>
        <w:tc>
          <w:tcPr>
            <w:tcW w:type="dxa" w:w="1296"/>
            <w:vAlign w:val="center"/>
          </w:tcPr>
          <w:p>
            <w:pPr>
              <w:spacing w:before="0" w:after="40" w:line="276" w:lineRule="auto"/>
            </w:pPr>
            <w:r/>
            <w:r>
              <w:rPr>
                <w:rFonts w:ascii="Calibri" w:hAnsi="Calibri"/>
                <w:color w:val="333333"/>
                <w:sz w:val="19"/>
              </w:rPr>
              <w:t>9/10</w:t>
            </w:r>
          </w:p>
        </w:tc>
        <w:tc>
          <w:tcPr>
            <w:tcW w:type="dxa" w:w="1584"/>
            <w:vAlign w:val="center"/>
          </w:tcPr>
          <w:p>
            <w:pPr>
              <w:spacing w:before="0" w:after="40" w:line="276" w:lineRule="auto"/>
            </w:pPr>
            <w:r/>
            <w:r>
              <w:rPr>
                <w:rFonts w:ascii="Calibri" w:hAnsi="Calibri"/>
                <w:color w:val="333333"/>
                <w:sz w:val="19"/>
              </w:rPr>
              <w:t>7/10</w:t>
            </w:r>
          </w:p>
        </w:tc>
        <w:tc>
          <w:tcPr>
            <w:tcW w:type="dxa" w:w="1296"/>
            <w:vAlign w:val="center"/>
          </w:tcPr>
          <w:p>
            <w:pPr>
              <w:spacing w:before="0" w:after="40" w:line="276" w:lineRule="auto"/>
            </w:pPr>
            <w:r/>
            <w:r>
              <w:rPr>
                <w:rFonts w:ascii="Calibri" w:hAnsi="Calibri"/>
                <w:color w:val="333333"/>
                <w:sz w:val="19"/>
              </w:rPr>
              <w:t>$8.2M</w:t>
            </w:r>
          </w:p>
        </w:tc>
      </w:tr>
      <w:tr>
        <w:tc>
          <w:tcPr>
            <w:tcW w:type="dxa" w:w="2736"/>
            <w:shd w:val="clear" w:color="auto" w:fill="F2F2F2"/>
            <w:vAlign w:val="center"/>
          </w:tcPr>
          <w:p>
            <w:pPr>
              <w:spacing w:before="0" w:after="40" w:line="276" w:lineRule="auto"/>
            </w:pPr>
            <w:r/>
            <w:r>
              <w:rPr>
                <w:rFonts w:ascii="Calibri" w:hAnsi="Calibri"/>
                <w:color w:val="333333"/>
                <w:sz w:val="19"/>
              </w:rPr>
              <w:t>Computer Vision Grading</w:t>
            </w:r>
          </w:p>
        </w:tc>
        <w:tc>
          <w:tcPr>
            <w:tcW w:type="dxa" w:w="1584"/>
            <w:shd w:val="clear" w:color="auto" w:fill="F2F2F2"/>
            <w:vAlign w:val="center"/>
          </w:tcPr>
          <w:p>
            <w:pPr>
              <w:spacing w:before="0" w:after="40" w:line="276" w:lineRule="auto"/>
            </w:pPr>
            <w:r/>
            <w:r>
              <w:rPr>
                <w:rFonts w:ascii="Calibri" w:hAnsi="Calibri"/>
                <w:color w:val="333333"/>
                <w:sz w:val="19"/>
              </w:rPr>
              <w:t>AI/ML</w:t>
            </w:r>
          </w:p>
        </w:tc>
        <w:tc>
          <w:tcPr>
            <w:tcW w:type="dxa" w:w="1296"/>
            <w:shd w:val="clear" w:color="auto" w:fill="F2F2F2"/>
            <w:vAlign w:val="center"/>
          </w:tcPr>
          <w:p>
            <w:pPr>
              <w:spacing w:before="0" w:after="40" w:line="276" w:lineRule="auto"/>
            </w:pPr>
            <w:r/>
            <w:r>
              <w:rPr>
                <w:rFonts w:ascii="Calibri" w:hAnsi="Calibri"/>
                <w:color w:val="333333"/>
                <w:sz w:val="19"/>
              </w:rPr>
              <w:t>8/10</w:t>
            </w:r>
          </w:p>
        </w:tc>
        <w:tc>
          <w:tcPr>
            <w:tcW w:type="dxa" w:w="1584"/>
            <w:shd w:val="clear" w:color="auto" w:fill="F2F2F2"/>
            <w:vAlign w:val="center"/>
          </w:tcPr>
          <w:p>
            <w:pPr>
              <w:spacing w:before="0" w:after="40" w:line="276" w:lineRule="auto"/>
            </w:pPr>
            <w:r/>
            <w:r>
              <w:rPr>
                <w:rFonts w:ascii="Calibri" w:hAnsi="Calibri"/>
                <w:color w:val="333333"/>
                <w:sz w:val="19"/>
              </w:rPr>
              <w:t>5/10</w:t>
            </w:r>
          </w:p>
        </w:tc>
        <w:tc>
          <w:tcPr>
            <w:tcW w:type="dxa" w:w="1296"/>
            <w:shd w:val="clear" w:color="auto" w:fill="F2F2F2"/>
            <w:vAlign w:val="center"/>
          </w:tcPr>
          <w:p>
            <w:pPr>
              <w:spacing w:before="0" w:after="40" w:line="276" w:lineRule="auto"/>
            </w:pPr>
            <w:r/>
            <w:r>
              <w:rPr>
                <w:rFonts w:ascii="Calibri" w:hAnsi="Calibri"/>
                <w:color w:val="333333"/>
                <w:sz w:val="19"/>
              </w:rPr>
              <w:t>$5.4M</w:t>
            </w:r>
          </w:p>
        </w:tc>
      </w:tr>
      <w:tr>
        <w:tc>
          <w:tcPr>
            <w:tcW w:type="dxa" w:w="2736"/>
            <w:vAlign w:val="center"/>
          </w:tcPr>
          <w:p>
            <w:pPr>
              <w:spacing w:before="0" w:after="40" w:line="276" w:lineRule="auto"/>
            </w:pPr>
            <w:r/>
            <w:r>
              <w:rPr>
                <w:rFonts w:ascii="Calibri" w:hAnsi="Calibri"/>
                <w:color w:val="333333"/>
                <w:sz w:val="19"/>
              </w:rPr>
              <w:t>GenAI Member Service</w:t>
            </w:r>
          </w:p>
        </w:tc>
        <w:tc>
          <w:tcPr>
            <w:tcW w:type="dxa" w:w="1584"/>
            <w:vAlign w:val="center"/>
          </w:tcPr>
          <w:p>
            <w:pPr>
              <w:spacing w:before="0" w:after="40" w:line="276" w:lineRule="auto"/>
            </w:pPr>
            <w:r/>
            <w:r>
              <w:rPr>
                <w:rFonts w:ascii="Calibri" w:hAnsi="Calibri"/>
                <w:color w:val="333333"/>
                <w:sz w:val="19"/>
              </w:rPr>
              <w:t>GenAI</w:t>
            </w:r>
          </w:p>
        </w:tc>
        <w:tc>
          <w:tcPr>
            <w:tcW w:type="dxa" w:w="1296"/>
            <w:vAlign w:val="center"/>
          </w:tcPr>
          <w:p>
            <w:pPr>
              <w:spacing w:before="0" w:after="40" w:line="276" w:lineRule="auto"/>
            </w:pPr>
            <w:r/>
            <w:r>
              <w:rPr>
                <w:rFonts w:ascii="Calibri" w:hAnsi="Calibri"/>
                <w:color w:val="333333"/>
                <w:sz w:val="19"/>
              </w:rPr>
              <w:t>7/10</w:t>
            </w:r>
          </w:p>
        </w:tc>
        <w:tc>
          <w:tcPr>
            <w:tcW w:type="dxa" w:w="1584"/>
            <w:vAlign w:val="center"/>
          </w:tcPr>
          <w:p>
            <w:pPr>
              <w:spacing w:before="0" w:after="40" w:line="276" w:lineRule="auto"/>
            </w:pPr>
            <w:r/>
            <w:r>
              <w:rPr>
                <w:rFonts w:ascii="Calibri" w:hAnsi="Calibri"/>
                <w:color w:val="333333"/>
                <w:sz w:val="19"/>
              </w:rPr>
              <w:t>8/10</w:t>
            </w:r>
          </w:p>
        </w:tc>
        <w:tc>
          <w:tcPr>
            <w:tcW w:type="dxa" w:w="1296"/>
            <w:vAlign w:val="center"/>
          </w:tcPr>
          <w:p>
            <w:pPr>
              <w:spacing w:before="0" w:after="40" w:line="276" w:lineRule="auto"/>
            </w:pPr>
            <w:r/>
            <w:r>
              <w:rPr>
                <w:rFonts w:ascii="Calibri" w:hAnsi="Calibri"/>
                <w:color w:val="333333"/>
                <w:sz w:val="19"/>
              </w:rPr>
              <w:t>$4.6M</w:t>
            </w:r>
          </w:p>
        </w:tc>
      </w:tr>
      <w:tr>
        <w:tc>
          <w:tcPr>
            <w:tcW w:type="dxa" w:w="2736"/>
            <w:shd w:val="clear" w:color="auto" w:fill="F2F2F2"/>
            <w:vAlign w:val="center"/>
          </w:tcPr>
          <w:p>
            <w:pPr>
              <w:spacing w:before="0" w:after="40" w:line="276" w:lineRule="auto"/>
            </w:pPr>
            <w:r/>
            <w:r>
              <w:rPr>
                <w:rFonts w:ascii="Calibri" w:hAnsi="Calibri"/>
                <w:color w:val="333333"/>
                <w:sz w:val="19"/>
              </w:rPr>
              <w:t>Demand Forecasting</w:t>
            </w:r>
          </w:p>
        </w:tc>
        <w:tc>
          <w:tcPr>
            <w:tcW w:type="dxa" w:w="1584"/>
            <w:shd w:val="clear" w:color="auto" w:fill="F2F2F2"/>
            <w:vAlign w:val="center"/>
          </w:tcPr>
          <w:p>
            <w:pPr>
              <w:spacing w:before="0" w:after="40" w:line="276" w:lineRule="auto"/>
            </w:pPr>
            <w:r/>
            <w:r>
              <w:rPr>
                <w:rFonts w:ascii="Calibri" w:hAnsi="Calibri"/>
                <w:color w:val="333333"/>
                <w:sz w:val="19"/>
              </w:rPr>
              <w:t>AI/ML</w:t>
            </w:r>
          </w:p>
        </w:tc>
        <w:tc>
          <w:tcPr>
            <w:tcW w:type="dxa" w:w="1296"/>
            <w:shd w:val="clear" w:color="auto" w:fill="F2F2F2"/>
            <w:vAlign w:val="center"/>
          </w:tcPr>
          <w:p>
            <w:pPr>
              <w:spacing w:before="0" w:after="40" w:line="276" w:lineRule="auto"/>
            </w:pPr>
            <w:r/>
            <w:r>
              <w:rPr>
                <w:rFonts w:ascii="Calibri" w:hAnsi="Calibri"/>
                <w:color w:val="333333"/>
                <w:sz w:val="19"/>
              </w:rPr>
              <w:t>8/10</w:t>
            </w:r>
          </w:p>
        </w:tc>
        <w:tc>
          <w:tcPr>
            <w:tcW w:type="dxa" w:w="1584"/>
            <w:shd w:val="clear" w:color="auto" w:fill="F2F2F2"/>
            <w:vAlign w:val="center"/>
          </w:tcPr>
          <w:p>
            <w:pPr>
              <w:spacing w:before="0" w:after="40" w:line="276" w:lineRule="auto"/>
            </w:pPr>
            <w:r/>
            <w:r>
              <w:rPr>
                <w:rFonts w:ascii="Calibri" w:hAnsi="Calibri"/>
                <w:color w:val="333333"/>
                <w:sz w:val="19"/>
              </w:rPr>
              <w:t>7/10</w:t>
            </w:r>
          </w:p>
        </w:tc>
        <w:tc>
          <w:tcPr>
            <w:tcW w:type="dxa" w:w="1296"/>
            <w:shd w:val="clear" w:color="auto" w:fill="F2F2F2"/>
            <w:vAlign w:val="center"/>
          </w:tcPr>
          <w:p>
            <w:pPr>
              <w:spacing w:before="0" w:after="40" w:line="276" w:lineRule="auto"/>
            </w:pPr>
            <w:r/>
            <w:r>
              <w:rPr>
                <w:rFonts w:ascii="Calibri" w:hAnsi="Calibri"/>
                <w:color w:val="333333"/>
                <w:sz w:val="19"/>
              </w:rPr>
              <w:t>$6.1M</w:t>
            </w:r>
          </w:p>
        </w:tc>
      </w:tr>
      <w:tr>
        <w:tc>
          <w:tcPr>
            <w:tcW w:type="dxa" w:w="2736"/>
            <w:vAlign w:val="center"/>
          </w:tcPr>
          <w:p>
            <w:pPr>
              <w:spacing w:before="0" w:after="40" w:line="276" w:lineRule="auto"/>
            </w:pPr>
            <w:r/>
            <w:r>
              <w:rPr>
                <w:rFonts w:ascii="Calibri" w:hAnsi="Calibri"/>
                <w:color w:val="333333"/>
                <w:sz w:val="19"/>
              </w:rPr>
              <w:t>RPA — AR/AP Automation</w:t>
            </w:r>
          </w:p>
        </w:tc>
        <w:tc>
          <w:tcPr>
            <w:tcW w:type="dxa" w:w="1584"/>
            <w:vAlign w:val="center"/>
          </w:tcPr>
          <w:p>
            <w:pPr>
              <w:spacing w:before="0" w:after="40" w:line="276" w:lineRule="auto"/>
            </w:pPr>
            <w:r/>
            <w:r>
              <w:rPr>
                <w:rFonts w:ascii="Calibri" w:hAnsi="Calibri"/>
                <w:color w:val="333333"/>
                <w:sz w:val="19"/>
              </w:rPr>
              <w:t>Automation</w:t>
            </w:r>
          </w:p>
        </w:tc>
        <w:tc>
          <w:tcPr>
            <w:tcW w:type="dxa" w:w="1296"/>
            <w:vAlign w:val="center"/>
          </w:tcPr>
          <w:p>
            <w:pPr>
              <w:spacing w:before="0" w:after="40" w:line="276" w:lineRule="auto"/>
            </w:pPr>
            <w:r/>
            <w:r>
              <w:rPr>
                <w:rFonts w:ascii="Calibri" w:hAnsi="Calibri"/>
                <w:color w:val="333333"/>
                <w:sz w:val="19"/>
              </w:rPr>
              <w:t>7/10</w:t>
            </w:r>
          </w:p>
        </w:tc>
        <w:tc>
          <w:tcPr>
            <w:tcW w:type="dxa" w:w="1584"/>
            <w:vAlign w:val="center"/>
          </w:tcPr>
          <w:p>
            <w:pPr>
              <w:spacing w:before="0" w:after="40" w:line="276" w:lineRule="auto"/>
            </w:pPr>
            <w:r/>
            <w:r>
              <w:rPr>
                <w:rFonts w:ascii="Calibri" w:hAnsi="Calibri"/>
                <w:color w:val="333333"/>
                <w:sz w:val="19"/>
              </w:rPr>
              <w:t>9/10</w:t>
            </w:r>
          </w:p>
        </w:tc>
        <w:tc>
          <w:tcPr>
            <w:tcW w:type="dxa" w:w="1296"/>
            <w:vAlign w:val="center"/>
          </w:tcPr>
          <w:p>
            <w:pPr>
              <w:spacing w:before="0" w:after="40" w:line="276" w:lineRule="auto"/>
            </w:pPr>
            <w:r/>
            <w:r>
              <w:rPr>
                <w:rFonts w:ascii="Calibri" w:hAnsi="Calibri"/>
                <w:color w:val="333333"/>
                <w:sz w:val="19"/>
              </w:rPr>
              <w:t>$5.8M</w:t>
            </w:r>
          </w:p>
        </w:tc>
      </w:tr>
      <w:tr>
        <w:tc>
          <w:tcPr>
            <w:tcW w:type="dxa" w:w="2736"/>
            <w:shd w:val="clear" w:color="auto" w:fill="F2F2F2"/>
            <w:vAlign w:val="center"/>
          </w:tcPr>
          <w:p>
            <w:pPr>
              <w:spacing w:before="0" w:after="40" w:line="276" w:lineRule="auto"/>
            </w:pPr>
            <w:r/>
            <w:r>
              <w:rPr>
                <w:rFonts w:ascii="Calibri" w:hAnsi="Calibri"/>
                <w:color w:val="333333"/>
                <w:sz w:val="19"/>
              </w:rPr>
              <w:t>EID/IoT Traceability</w:t>
            </w:r>
          </w:p>
        </w:tc>
        <w:tc>
          <w:tcPr>
            <w:tcW w:type="dxa" w:w="1584"/>
            <w:shd w:val="clear" w:color="auto" w:fill="F2F2F2"/>
            <w:vAlign w:val="center"/>
          </w:tcPr>
          <w:p>
            <w:pPr>
              <w:spacing w:before="0" w:after="40" w:line="276" w:lineRule="auto"/>
            </w:pPr>
            <w:r/>
            <w:r>
              <w:rPr>
                <w:rFonts w:ascii="Calibri" w:hAnsi="Calibri"/>
                <w:color w:val="333333"/>
                <w:sz w:val="19"/>
              </w:rPr>
              <w:t>IoT</w:t>
            </w:r>
          </w:p>
        </w:tc>
        <w:tc>
          <w:tcPr>
            <w:tcW w:type="dxa" w:w="1296"/>
            <w:shd w:val="clear" w:color="auto" w:fill="F2F2F2"/>
            <w:vAlign w:val="center"/>
          </w:tcPr>
          <w:p>
            <w:pPr>
              <w:spacing w:before="0" w:after="40" w:line="276" w:lineRule="auto"/>
            </w:pPr>
            <w:r/>
            <w:r>
              <w:rPr>
                <w:rFonts w:ascii="Calibri" w:hAnsi="Calibri"/>
                <w:color w:val="333333"/>
                <w:sz w:val="19"/>
              </w:rPr>
              <w:t>7/10</w:t>
            </w:r>
          </w:p>
        </w:tc>
        <w:tc>
          <w:tcPr>
            <w:tcW w:type="dxa" w:w="1584"/>
            <w:shd w:val="clear" w:color="auto" w:fill="F2F2F2"/>
            <w:vAlign w:val="center"/>
          </w:tcPr>
          <w:p>
            <w:pPr>
              <w:spacing w:before="0" w:after="40" w:line="276" w:lineRule="auto"/>
            </w:pPr>
            <w:r/>
            <w:r>
              <w:rPr>
                <w:rFonts w:ascii="Calibri" w:hAnsi="Calibri"/>
                <w:color w:val="333333"/>
                <w:sz w:val="19"/>
              </w:rPr>
              <w:t>6/10</w:t>
            </w:r>
          </w:p>
        </w:tc>
        <w:tc>
          <w:tcPr>
            <w:tcW w:type="dxa" w:w="1296"/>
            <w:shd w:val="clear" w:color="auto" w:fill="F2F2F2"/>
            <w:vAlign w:val="center"/>
          </w:tcPr>
          <w:p>
            <w:pPr>
              <w:spacing w:before="0" w:after="40" w:line="276" w:lineRule="auto"/>
            </w:pPr>
            <w:r/>
            <w:r>
              <w:rPr>
                <w:rFonts w:ascii="Calibri" w:hAnsi="Calibri"/>
                <w:color w:val="333333"/>
                <w:sz w:val="19"/>
              </w:rPr>
              <w:t>$4.2M</w:t>
            </w:r>
          </w:p>
        </w:tc>
      </w:tr>
      <w:tr>
        <w:tc>
          <w:tcPr>
            <w:tcW w:type="dxa" w:w="2736"/>
            <w:vAlign w:val="center"/>
          </w:tcPr>
          <w:p>
            <w:pPr>
              <w:spacing w:before="0" w:after="40" w:line="276" w:lineRule="auto"/>
            </w:pPr>
            <w:r/>
            <w:r>
              <w:rPr>
                <w:rFonts w:ascii="Calibri" w:hAnsi="Calibri"/>
                <w:color w:val="333333"/>
                <w:sz w:val="19"/>
              </w:rPr>
              <w:t>Digital Auction Platform</w:t>
            </w:r>
          </w:p>
        </w:tc>
        <w:tc>
          <w:tcPr>
            <w:tcW w:type="dxa" w:w="1584"/>
            <w:vAlign w:val="center"/>
          </w:tcPr>
          <w:p>
            <w:pPr>
              <w:spacing w:before="0" w:after="40" w:line="276" w:lineRule="auto"/>
            </w:pPr>
            <w:r/>
            <w:r>
              <w:rPr>
                <w:rFonts w:ascii="Calibri" w:hAnsi="Calibri"/>
                <w:color w:val="333333"/>
                <w:sz w:val="19"/>
              </w:rPr>
              <w:t>Digital</w:t>
            </w:r>
          </w:p>
        </w:tc>
        <w:tc>
          <w:tcPr>
            <w:tcW w:type="dxa" w:w="1296"/>
            <w:vAlign w:val="center"/>
          </w:tcPr>
          <w:p>
            <w:pPr>
              <w:spacing w:before="0" w:after="40" w:line="276" w:lineRule="auto"/>
            </w:pPr>
            <w:r/>
            <w:r>
              <w:rPr>
                <w:rFonts w:ascii="Calibri" w:hAnsi="Calibri"/>
                <w:color w:val="333333"/>
                <w:sz w:val="19"/>
              </w:rPr>
              <w:t>9/10</w:t>
            </w:r>
          </w:p>
        </w:tc>
        <w:tc>
          <w:tcPr>
            <w:tcW w:type="dxa" w:w="1584"/>
            <w:vAlign w:val="center"/>
          </w:tcPr>
          <w:p>
            <w:pPr>
              <w:spacing w:before="0" w:after="40" w:line="276" w:lineRule="auto"/>
            </w:pPr>
            <w:r/>
            <w:r>
              <w:rPr>
                <w:rFonts w:ascii="Calibri" w:hAnsi="Calibri"/>
                <w:color w:val="333333"/>
                <w:sz w:val="19"/>
              </w:rPr>
              <w:t>6/10</w:t>
            </w:r>
          </w:p>
        </w:tc>
        <w:tc>
          <w:tcPr>
            <w:tcW w:type="dxa" w:w="1296"/>
            <w:vAlign w:val="center"/>
          </w:tcPr>
          <w:p>
            <w:pPr>
              <w:spacing w:before="0" w:after="40" w:line="276" w:lineRule="auto"/>
            </w:pPr>
            <w:r/>
            <w:r>
              <w:rPr>
                <w:rFonts w:ascii="Calibri" w:hAnsi="Calibri"/>
                <w:color w:val="333333"/>
                <w:sz w:val="19"/>
              </w:rPr>
              <w:t>$7.9M</w:t>
            </w:r>
          </w:p>
        </w:tc>
      </w:tr>
      <w:tr>
        <w:tc>
          <w:tcPr>
            <w:tcW w:type="dxa" w:w="2736"/>
            <w:shd w:val="clear" w:color="auto" w:fill="F2F2F2"/>
            <w:vAlign w:val="center"/>
          </w:tcPr>
          <w:p>
            <w:pPr>
              <w:spacing w:before="0" w:after="40" w:line="276" w:lineRule="auto"/>
            </w:pPr>
            <w:r/>
            <w:r>
              <w:rPr>
                <w:rFonts w:ascii="Calibri" w:hAnsi="Calibri"/>
                <w:color w:val="333333"/>
                <w:sz w:val="19"/>
              </w:rPr>
              <w:t>Cyber Zero-Trust</w:t>
            </w:r>
          </w:p>
        </w:tc>
        <w:tc>
          <w:tcPr>
            <w:tcW w:type="dxa" w:w="1584"/>
            <w:shd w:val="clear" w:color="auto" w:fill="F2F2F2"/>
            <w:vAlign w:val="center"/>
          </w:tcPr>
          <w:p>
            <w:pPr>
              <w:spacing w:before="0" w:after="40" w:line="276" w:lineRule="auto"/>
            </w:pPr>
            <w:r/>
            <w:r>
              <w:rPr>
                <w:rFonts w:ascii="Calibri" w:hAnsi="Calibri"/>
                <w:color w:val="333333"/>
                <w:sz w:val="19"/>
              </w:rPr>
              <w:t>Security</w:t>
            </w:r>
          </w:p>
        </w:tc>
        <w:tc>
          <w:tcPr>
            <w:tcW w:type="dxa" w:w="1296"/>
            <w:shd w:val="clear" w:color="auto" w:fill="F2F2F2"/>
            <w:vAlign w:val="center"/>
          </w:tcPr>
          <w:p>
            <w:pPr>
              <w:spacing w:before="0" w:after="40" w:line="276" w:lineRule="auto"/>
            </w:pPr>
            <w:r/>
            <w:r>
              <w:rPr>
                <w:rFonts w:ascii="Calibri" w:hAnsi="Calibri"/>
                <w:color w:val="333333"/>
                <w:sz w:val="19"/>
              </w:rPr>
              <w:t>8/10</w:t>
            </w:r>
          </w:p>
        </w:tc>
        <w:tc>
          <w:tcPr>
            <w:tcW w:type="dxa" w:w="1584"/>
            <w:shd w:val="clear" w:color="auto" w:fill="F2F2F2"/>
            <w:vAlign w:val="center"/>
          </w:tcPr>
          <w:p>
            <w:pPr>
              <w:spacing w:before="0" w:after="40" w:line="276" w:lineRule="auto"/>
            </w:pPr>
            <w:r/>
            <w:r>
              <w:rPr>
                <w:rFonts w:ascii="Calibri" w:hAnsi="Calibri"/>
                <w:color w:val="333333"/>
                <w:sz w:val="19"/>
              </w:rPr>
              <w:t>8/10</w:t>
            </w:r>
          </w:p>
        </w:tc>
        <w:tc>
          <w:tcPr>
            <w:tcW w:type="dxa" w:w="1296"/>
            <w:shd w:val="clear" w:color="auto" w:fill="F2F2F2"/>
            <w:vAlign w:val="center"/>
          </w:tcPr>
          <w:p>
            <w:pPr>
              <w:spacing w:before="0" w:after="40" w:line="276" w:lineRule="auto"/>
            </w:pPr>
            <w:r/>
            <w:r>
              <w:rPr>
                <w:rFonts w:ascii="Calibri" w:hAnsi="Calibri"/>
                <w:color w:val="333333"/>
                <w:sz w:val="19"/>
              </w:rPr>
              <w:t>$3.5M</w:t>
            </w:r>
          </w:p>
        </w:tc>
      </w:tr>
      <w:tr>
        <w:tc>
          <w:tcPr>
            <w:tcW w:type="dxa" w:w="2736"/>
            <w:vAlign w:val="center"/>
          </w:tcPr>
          <w:p>
            <w:pPr>
              <w:spacing w:before="0" w:after="40" w:line="276" w:lineRule="auto"/>
            </w:pPr>
            <w:r/>
            <w:r>
              <w:rPr>
                <w:rFonts w:ascii="Calibri" w:hAnsi="Calibri"/>
                <w:color w:val="333333"/>
                <w:sz w:val="19"/>
              </w:rPr>
              <w:t>Data Lakehouse</w:t>
            </w:r>
          </w:p>
        </w:tc>
        <w:tc>
          <w:tcPr>
            <w:tcW w:type="dxa" w:w="1584"/>
            <w:vAlign w:val="center"/>
          </w:tcPr>
          <w:p>
            <w:pPr>
              <w:spacing w:before="0" w:after="40" w:line="276" w:lineRule="auto"/>
            </w:pPr>
            <w:r/>
            <w:r>
              <w:rPr>
                <w:rFonts w:ascii="Calibri" w:hAnsi="Calibri"/>
                <w:color w:val="333333"/>
                <w:sz w:val="19"/>
              </w:rPr>
              <w:t>Data</w:t>
            </w:r>
          </w:p>
        </w:tc>
        <w:tc>
          <w:tcPr>
            <w:tcW w:type="dxa" w:w="1296"/>
            <w:vAlign w:val="center"/>
          </w:tcPr>
          <w:p>
            <w:pPr>
              <w:spacing w:before="0" w:after="40" w:line="276" w:lineRule="auto"/>
            </w:pPr>
            <w:r/>
            <w:r>
              <w:rPr>
                <w:rFonts w:ascii="Calibri" w:hAnsi="Calibri"/>
                <w:color w:val="333333"/>
                <w:sz w:val="19"/>
              </w:rPr>
              <w:t>7/10</w:t>
            </w:r>
          </w:p>
        </w:tc>
        <w:tc>
          <w:tcPr>
            <w:tcW w:type="dxa" w:w="1584"/>
            <w:vAlign w:val="center"/>
          </w:tcPr>
          <w:p>
            <w:pPr>
              <w:spacing w:before="0" w:after="40" w:line="276" w:lineRule="auto"/>
            </w:pPr>
            <w:r/>
            <w:r>
              <w:rPr>
                <w:rFonts w:ascii="Calibri" w:hAnsi="Calibri"/>
                <w:color w:val="333333"/>
                <w:sz w:val="19"/>
              </w:rPr>
              <w:t>7/10</w:t>
            </w:r>
          </w:p>
        </w:tc>
        <w:tc>
          <w:tcPr>
            <w:tcW w:type="dxa" w:w="1296"/>
            <w:vAlign w:val="center"/>
          </w:tcPr>
          <w:p>
            <w:pPr>
              <w:spacing w:before="0" w:after="40" w:line="276" w:lineRule="auto"/>
            </w:pPr>
            <w:r/>
            <w:r>
              <w:rPr>
                <w:rFonts w:ascii="Calibri" w:hAnsi="Calibri"/>
                <w:color w:val="333333"/>
                <w:sz w:val="19"/>
              </w:rPr>
              <w:t>$4.8M</w:t>
            </w:r>
          </w:p>
        </w:tc>
      </w:tr>
      <w:tr>
        <w:tc>
          <w:tcPr>
            <w:tcW w:type="dxa" w:w="2736"/>
            <w:shd w:val="clear" w:color="auto" w:fill="F2F2F2"/>
            <w:vAlign w:val="center"/>
          </w:tcPr>
          <w:p>
            <w:pPr>
              <w:spacing w:before="0" w:after="40" w:line="276" w:lineRule="auto"/>
            </w:pPr>
            <w:r/>
            <w:r>
              <w:rPr>
                <w:rFonts w:ascii="Calibri" w:hAnsi="Calibri"/>
                <w:color w:val="333333"/>
                <w:sz w:val="19"/>
              </w:rPr>
              <w:t>Blockchain Provenance</w:t>
            </w:r>
          </w:p>
        </w:tc>
        <w:tc>
          <w:tcPr>
            <w:tcW w:type="dxa" w:w="1584"/>
            <w:shd w:val="clear" w:color="auto" w:fill="F2F2F2"/>
            <w:vAlign w:val="center"/>
          </w:tcPr>
          <w:p>
            <w:pPr>
              <w:spacing w:before="0" w:after="40" w:line="276" w:lineRule="auto"/>
            </w:pPr>
            <w:r/>
            <w:r>
              <w:rPr>
                <w:rFonts w:ascii="Calibri" w:hAnsi="Calibri"/>
                <w:color w:val="333333"/>
                <w:sz w:val="19"/>
              </w:rPr>
              <w:t>Blockchain</w:t>
            </w:r>
          </w:p>
        </w:tc>
        <w:tc>
          <w:tcPr>
            <w:tcW w:type="dxa" w:w="1296"/>
            <w:shd w:val="clear" w:color="auto" w:fill="F2F2F2"/>
            <w:vAlign w:val="center"/>
          </w:tcPr>
          <w:p>
            <w:pPr>
              <w:spacing w:before="0" w:after="40" w:line="276" w:lineRule="auto"/>
            </w:pPr>
            <w:r/>
            <w:r>
              <w:rPr>
                <w:rFonts w:ascii="Calibri" w:hAnsi="Calibri"/>
                <w:color w:val="333333"/>
                <w:sz w:val="19"/>
              </w:rPr>
              <w:t>5/10</w:t>
            </w:r>
          </w:p>
        </w:tc>
        <w:tc>
          <w:tcPr>
            <w:tcW w:type="dxa" w:w="1584"/>
            <w:shd w:val="clear" w:color="auto" w:fill="F2F2F2"/>
            <w:vAlign w:val="center"/>
          </w:tcPr>
          <w:p>
            <w:pPr>
              <w:spacing w:before="0" w:after="40" w:line="276" w:lineRule="auto"/>
            </w:pPr>
            <w:r/>
            <w:r>
              <w:rPr>
                <w:rFonts w:ascii="Calibri" w:hAnsi="Calibri"/>
                <w:color w:val="333333"/>
                <w:sz w:val="19"/>
              </w:rPr>
              <w:t>4/10</w:t>
            </w:r>
          </w:p>
        </w:tc>
        <w:tc>
          <w:tcPr>
            <w:tcW w:type="dxa" w:w="1296"/>
            <w:shd w:val="clear" w:color="auto" w:fill="F2F2F2"/>
            <w:vAlign w:val="center"/>
          </w:tcPr>
          <w:p>
            <w:pPr>
              <w:spacing w:before="0" w:after="40" w:line="276" w:lineRule="auto"/>
            </w:pPr>
            <w:r/>
            <w:r>
              <w:rPr>
                <w:rFonts w:ascii="Calibri" w:hAnsi="Calibri"/>
                <w:color w:val="333333"/>
                <w:sz w:val="19"/>
              </w:rPr>
              <w:t>$1.2M</w:t>
            </w:r>
          </w:p>
        </w:tc>
      </w:tr>
    </w:tbl>
    <w:p>
      <w:pPr>
        <w:spacing w:before="0" w:after="160" w:line="288" w:lineRule="auto"/>
      </w:pPr>
      <w:r>
        <w:rPr>
          <w:rFonts w:ascii="Calibri" w:hAnsi="Calibri"/>
          <w:b w:val="0"/>
          <w:i w:val="0"/>
        </w:rPr>
      </w:r>
    </w:p>
    <w:p>
      <w:pPr>
        <w:pStyle w:val="Heading2"/>
        <w:spacing w:before="280" w:after="120" w:line="276" w:lineRule="auto"/>
      </w:pPr>
      <w:r>
        <w:t>4.2 ML Counterparty Credit Scoring</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SUPERSEDES REPORT #1 HORIZON 1</w:t>
            </w:r>
          </w:p>
          <w:p>
            <w:pPr>
              <w:spacing w:before="0" w:after="80" w:line="288" w:lineRule="auto"/>
            </w:pPr>
            <w:r>
              <w:rPr>
                <w:rFonts w:ascii="Calibri" w:hAnsi="Calibri"/>
                <w:color w:val="333333"/>
                <w:sz w:val="20"/>
              </w:rPr>
              <w:t>Report #1 recommended a v1 statistical credit scoring model at $350K. This report recommends that investment be re-scoped as the foundation for a production ML credit scoring capability ($350K Year 1 → ML v2 at $600K in Year 2-3). Same budget envelope, substantially greater capability. Financial models in Section 8 de-duplicate the $900K/year credit loss avoidance benefit to prevent double-counting with Report #1.</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An ML credit scoring model ingests financial statements, payment history, public records, industry benchmarks, and alternative data (satellite imagery for collateral, weather, commodity exposures) to produce a continuous probability-of-default score. Compared to Report #1's v1 statistical model, an ML approach captures non-linear relationships, adapts to new data, and provides significantly better early-warning signal on distressed counterparties.</w:t>
      </w:r>
    </w:p>
    <w:p>
      <w:pPr>
        <w:pStyle w:val="Heading2"/>
        <w:spacing w:before="280" w:after="120" w:line="276" w:lineRule="auto"/>
      </w:pPr>
      <w:r>
        <w:t>4.3 Market Price Prediction &amp; Hedging Intelligence</w:t>
      </w:r>
    </w:p>
    <w:p>
      <w:pPr>
        <w:spacing w:before="0" w:after="160" w:line="300" w:lineRule="auto"/>
      </w:pPr>
      <w:r>
        <w:rPr>
          <w:rFonts w:ascii="Calibri" w:hAnsi="Calibri"/>
          <w:b w:val="0"/>
          <w:i w:val="0"/>
          <w:sz w:val="21"/>
        </w:rPr>
        <w:t>AI models trained on historical futures, cash, basis, and macro data can generate probabilistic forecasts of cattle and hog prices at 1-week, 1-month, and 3-month horizons. These forecasts inform: (i) PLMA's own working capital positioning, (ii) hedging overlay execution (tying to Report #1's hedging program), and (iii) potential fee-based advisory services to members.</w:t>
      </w:r>
    </w:p>
    <w:p>
      <w:pPr>
        <w:pStyle w:val="Heading2"/>
        <w:spacing w:before="280" w:after="120" w:line="276" w:lineRule="auto"/>
      </w:pPr>
      <w:r>
        <w:t>4.4 Computer Vision for Livestock</w:t>
      </w:r>
    </w:p>
    <w:p>
      <w:pPr>
        <w:spacing w:before="0" w:after="160" w:line="300" w:lineRule="auto"/>
      </w:pPr>
      <w:r>
        <w:rPr>
          <w:rFonts w:ascii="Calibri" w:hAnsi="Calibri"/>
          <w:b w:val="0"/>
          <w:i w:val="0"/>
          <w:sz w:val="21"/>
        </w:rPr>
        <w:t>Computer vision is maturing rapidly in livestock applications: individual animal identification (replacing/augmenting EID), weight estimation from video, body condition scoring, early disease detection, and automated grading. Readiness varies: identification and weight estimation are production-ready; grading and disease detection remain pilot-stage. PLMA's right role is strategic pilot + evaluation, not foundational R&amp;D.</w:t>
      </w:r>
    </w:p>
    <w:p>
      <w:pPr>
        <w:pStyle w:val="Heading2"/>
        <w:spacing w:before="280" w:after="120" w:line="276" w:lineRule="auto"/>
      </w:pPr>
      <w:r>
        <w:t>4.5 GenAI for Back-Office, Research, and Member Service</w:t>
      </w:r>
    </w:p>
    <w:p>
      <w:pPr>
        <w:spacing w:before="0" w:after="160" w:line="300" w:lineRule="auto"/>
      </w:pPr>
      <w:r>
        <w:rPr>
          <w:rFonts w:ascii="Calibri" w:hAnsi="Calibri"/>
          <w:b w:val="0"/>
          <w:i w:val="0"/>
          <w:sz w:val="21"/>
        </w:rPr>
        <w:t>GenAI has immediate, high-feasibility value in: (i) document processing (contracts, financial statements, sale records), (ii) research and market intelligence (synthesizing USDA, Fed, industry reports), (iii) member service automation (routine inquiries, documentation), and (iv) internal knowledge management. These are quick wins with measurable productivity gains and limited downside risk — provided governance guardrails are in place.</w:t>
      </w:r>
    </w:p>
    <w:p>
      <w:pPr>
        <w:pStyle w:val="Heading2"/>
        <w:spacing w:before="280" w:after="120" w:line="276" w:lineRule="auto"/>
      </w:pPr>
      <w:r>
        <w:t>4.6 Demand Sensing &amp; Inventory Optimization</w:t>
      </w:r>
    </w:p>
    <w:p>
      <w:pPr>
        <w:spacing w:before="0" w:after="160" w:line="300" w:lineRule="auto"/>
      </w:pPr>
      <w:r>
        <w:rPr>
          <w:rFonts w:ascii="Calibri" w:hAnsi="Calibri"/>
          <w:b w:val="0"/>
          <w:i w:val="0"/>
          <w:sz w:val="21"/>
        </w:rPr>
        <w:t>ML-driven demand sensing can reduce working capital requirements by 10-15% by improving the accuracy of expected buyer demand and optimal inventory posture. For PLMA's $200M estimated working capital exposure, this represents $20-30M in liquidity unlocked or redeployed.</w:t>
      </w:r>
    </w:p>
    <w:p>
      <w:pPr>
        <w:pStyle w:val="Heading2"/>
        <w:spacing w:before="280" w:after="120" w:line="276" w:lineRule="auto"/>
      </w:pPr>
      <w:r>
        <w:t>4.7 Build vs. Buy vs. Partner</w:t>
      </w:r>
    </w:p>
    <w:p>
      <w:pPr>
        <w:jc w:val="center"/>
      </w:pPr>
      <w:r>
        <w:drawing>
          <wp:inline xmlns:a="http://schemas.openxmlformats.org/drawingml/2006/main" xmlns:pic="http://schemas.openxmlformats.org/drawingml/2006/picture">
            <wp:extent cx="5943600" cy="3585029"/>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3585029"/>
                    </a:xfrm>
                    <a:prstGeom prst="rect"/>
                  </pic:spPr>
                </pic:pic>
              </a:graphicData>
            </a:graphic>
          </wp:inline>
        </w:drawing>
      </w:r>
    </w:p>
    <w:p>
      <w:pPr>
        <w:spacing w:before="0" w:after="240" w:line="276" w:lineRule="auto"/>
        <w:jc w:val="center"/>
      </w:pPr>
      <w:r>
        <w:rPr>
          <w:rFonts w:ascii="Calibri" w:hAnsi="Calibri"/>
          <w:i/>
          <w:color w:val="666666"/>
          <w:sz w:val="18"/>
        </w:rPr>
        <w:t>Exhibit: Sourcing recommendation: Buy + Partner for most AI capabilities; Build selectively where PLMA has proprietary data advantage.</w:t>
      </w:r>
    </w:p>
    <w:p>
      <w:pPr>
        <w:spacing w:before="0" w:after="160" w:line="300" w:lineRule="auto"/>
      </w:pPr>
      <w:r>
        <w:rPr>
          <w:rFonts w:ascii="Calibri" w:hAnsi="Calibri"/>
          <w:b w:val="0"/>
          <w:i w:val="0"/>
          <w:sz w:val="21"/>
        </w:rPr>
        <w:t>Core principle: Build where PLMA has proprietary data advantage (credit scoring, market prediction); Buy where vendors offer commodity capability (GenAI, RPA, cyber SOC); Partner where the capability requires specialized expertise PLMA cannot cost-effectively develop internally.</w:t>
      </w:r>
    </w:p>
    <w:p>
      <w:r>
        <w:br w:type="page"/>
      </w:r>
    </w:p>
    <w:p>
      <w:pPr>
        <w:pStyle w:val="Heading1"/>
        <w:spacing w:before="0" w:after="240" w:line="276" w:lineRule="auto"/>
        <w:pBdr>
          <w:bottom w:val="single" w:sz="12" w:space="4" w:color="003A70"/>
        </w:pBdr>
      </w:pPr>
      <w:r>
        <w:t>5. Broader Technology Opportunity Portfolio</w:t>
      </w:r>
    </w:p>
    <w:p>
      <w:pPr>
        <w:spacing w:before="0" w:after="160" w:line="300" w:lineRule="auto"/>
      </w:pPr>
      <w:r>
        <w:rPr>
          <w:rFonts w:ascii="Calibri" w:hAnsi="Calibri"/>
          <w:b w:val="0"/>
          <w:i w:val="0"/>
          <w:sz w:val="21"/>
        </w:rPr>
        <w:t>Beyond AI, six additional technology domains demand PLMA's attention. Each is discussed below with a position on the Invest Now / Quick Wins / Strategic Bets / Defer framework.</w:t>
      </w:r>
    </w:p>
    <w:p>
      <w:pPr>
        <w:jc w:val="center"/>
      </w:pPr>
      <w:r>
        <w:drawing>
          <wp:inline xmlns:a="http://schemas.openxmlformats.org/drawingml/2006/main" xmlns:pic="http://schemas.openxmlformats.org/drawingml/2006/picture">
            <wp:extent cx="5943600" cy="457052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570523"/>
                    </a:xfrm>
                    <a:prstGeom prst="rect"/>
                  </pic:spPr>
                </pic:pic>
              </a:graphicData>
            </a:graphic>
          </wp:inline>
        </w:drawing>
      </w:r>
    </w:p>
    <w:p>
      <w:pPr>
        <w:spacing w:before="0" w:after="240" w:line="276" w:lineRule="auto"/>
        <w:jc w:val="center"/>
      </w:pPr>
      <w:r>
        <w:rPr>
          <w:rFonts w:ascii="Calibri" w:hAnsi="Calibri"/>
          <w:i/>
          <w:color w:val="666666"/>
          <w:sz w:val="18"/>
        </w:rPr>
        <w:t>Exhibit: Cybersecurity, Cloud/Data, ML Credit Scoring, and Digital Auction are INVEST NOW priorities.</w:t>
      </w:r>
    </w:p>
    <w:p>
      <w:pPr>
        <w:pStyle w:val="Heading2"/>
        <w:spacing w:before="280" w:after="120" w:line="276" w:lineRule="auto"/>
      </w:pPr>
      <w:r>
        <w:t>5.1 Data &amp; Analytics Platform Modernization</w:t>
      </w:r>
    </w:p>
    <w:p>
      <w:pPr>
        <w:spacing w:before="0" w:after="160" w:line="300" w:lineRule="auto"/>
      </w:pPr>
      <w:r>
        <w:rPr>
          <w:rFonts w:ascii="Calibri" w:hAnsi="Calibri"/>
          <w:b w:val="0"/>
          <w:i w:val="0"/>
          <w:sz w:val="21"/>
        </w:rPr>
        <w:t>A modern data lakehouse architecture (Snowflake, Databricks, or equivalent) is the foundation for AI, analytics, and decision support. Without it, every AI use case is throttled by data fragmentation, quality issues, and integration complexity. Estimated cost: $600-900K Year 1, $350K ongoing. This is an enabling investment: its value is in unlocking other use cases.</w:t>
      </w:r>
    </w:p>
    <w:p>
      <w:pPr>
        <w:pStyle w:val="Heading2"/>
        <w:spacing w:before="280" w:after="120" w:line="276" w:lineRule="auto"/>
      </w:pPr>
      <w:r>
        <w:t>5.2 Cloud Infrastructure Transformation</w:t>
      </w:r>
    </w:p>
    <w:p>
      <w:pPr>
        <w:spacing w:before="0" w:after="160" w:line="300" w:lineRule="auto"/>
      </w:pPr>
      <w:r>
        <w:rPr>
          <w:rFonts w:ascii="Calibri" w:hAnsi="Calibri"/>
          <w:b w:val="0"/>
          <w:i w:val="0"/>
          <w:sz w:val="21"/>
        </w:rPr>
        <w:t>PLMA's estimated on-premise infrastructure footprint carries 8-12% annual cost growth, limited scalability, and material cyber exposure. Phased migration to a primary hyperscaler (recommended: AWS for ag ecosystem depth, or Azure for Microsoft-shop integration) reduces TCO by 15-25% over 3-5 years while improving security posture and enabling AI workloads.</w:t>
      </w:r>
    </w:p>
    <w:p>
      <w:pPr>
        <w:pStyle w:val="Heading2"/>
        <w:spacing w:before="280" w:after="120" w:line="276" w:lineRule="auto"/>
      </w:pPr>
      <w:r>
        <w:t>5.3 IoT / EID Integration for Traceability</w:t>
      </w:r>
    </w:p>
    <w:p>
      <w:pPr>
        <w:spacing w:before="0" w:after="160" w:line="300" w:lineRule="auto"/>
      </w:pPr>
      <w:r>
        <w:rPr>
          <w:rFonts w:ascii="Calibri" w:hAnsi="Calibri"/>
          <w:b w:val="0"/>
          <w:i w:val="0"/>
          <w:sz w:val="21"/>
        </w:rPr>
        <w:t>Electronic Identification (EID) is mandated or encouraged across cattle supply chains for disease traceability (USDA's ADT rule expansion). PLMA is positioned to be a data aggregation and value-added services layer on top of EID infrastructure — if it moves early. This is Strategic Bet quadrant: high long-term value, moderate near-term feasibility.</w:t>
      </w:r>
    </w:p>
    <w:p>
      <w:pPr>
        <w:pStyle w:val="Heading2"/>
        <w:spacing w:before="280" w:after="120" w:line="276" w:lineRule="auto"/>
      </w:pPr>
      <w:r>
        <w:t>5.4 Blockchain for Provenance &amp; Smart Contracts (Narrow Scope)</w:t>
      </w:r>
    </w:p>
    <w:p>
      <w:pPr>
        <w:spacing w:before="0" w:after="160" w:line="300" w:lineRule="auto"/>
      </w:pPr>
      <w:r>
        <w:rPr>
          <w:rFonts w:ascii="Calibri" w:hAnsi="Calibri"/>
          <w:b w:val="0"/>
          <w:i w:val="0"/>
          <w:sz w:val="21"/>
        </w:rPr>
        <w:t>Blockchain has been over-hyped in agricultural contexts. We recommend PLMA monitor but NOT invest in broad blockchain initiatives in the near term. The one narrow exception: permissioned blockchain for supply-chain traceability in premium/branded beef programs — and only as a partner/participant in a buyer-led consortium, never as a lead infrastructure investor.</w:t>
      </w:r>
    </w:p>
    <w:p>
      <w:pPr>
        <w:pStyle w:val="Heading2"/>
        <w:spacing w:before="280" w:after="120" w:line="276" w:lineRule="auto"/>
      </w:pPr>
      <w:r>
        <w:t>5.5 Digital Auction Platforms &amp; Omnichannel</w:t>
      </w:r>
    </w:p>
    <w:p>
      <w:pPr>
        <w:spacing w:before="0" w:after="160" w:line="300" w:lineRule="auto"/>
      </w:pPr>
      <w:r>
        <w:rPr>
          <w:rFonts w:ascii="Calibri" w:hAnsi="Calibri"/>
          <w:b w:val="0"/>
          <w:i w:val="0"/>
          <w:sz w:val="21"/>
        </w:rPr>
        <w:t>PLMA's traditional auction model needs a digital overlay, not a replacement. A hybrid model — physical auctions with digital participation, online-only sales for specific cattle classes, mobile-first member experience — is the target state. Platform build/buy decision: BUY core platform from specialized vendor, CUSTOMIZE with PLMA-specific workflows.</w:t>
      </w:r>
    </w:p>
    <w:p>
      <w:pPr>
        <w:pStyle w:val="Heading2"/>
        <w:spacing w:before="280" w:after="120" w:line="276" w:lineRule="auto"/>
      </w:pPr>
      <w:r>
        <w:t>5.6 RPA / Workflow Automation</w:t>
      </w:r>
    </w:p>
    <w:p>
      <w:pPr>
        <w:spacing w:before="0" w:after="160" w:line="300" w:lineRule="auto"/>
      </w:pPr>
      <w:r>
        <w:rPr>
          <w:rFonts w:ascii="Calibri" w:hAnsi="Calibri"/>
          <w:b w:val="0"/>
          <w:i w:val="0"/>
          <w:sz w:val="21"/>
        </w:rPr>
        <w:t>RPA applied to AR/AP, settlement operations, compliance reporting, and data entry produces measurable labor productivity gains — typically 20-40% reduction in processing time for targeted workflows. Estimated annual benefit: $800K-$1.2M at scale. This is a Quick Win with proven ROI and limited implementation risk.</w:t>
      </w:r>
    </w:p>
    <w:p>
      <w:pPr>
        <w:pStyle w:val="Heading2"/>
        <w:spacing w:before="280" w:after="120" w:line="276" w:lineRule="auto"/>
      </w:pPr>
      <w:r>
        <w:t>5.7 Cybersecurity Fortification</w:t>
      </w:r>
    </w:p>
    <w:p>
      <w:pPr>
        <w:spacing w:before="0" w:after="160" w:line="300" w:lineRule="auto"/>
      </w:pPr>
      <w:r>
        <w:rPr>
          <w:rFonts w:ascii="Calibri" w:hAnsi="Calibri"/>
          <w:b w:val="0"/>
          <w:i w:val="0"/>
          <w:sz w:val="21"/>
        </w:rPr>
        <w:t>Given the cyber risk profile in Section 3.2, cyber must be treated as Invest Now priority #1 — regardless of AI ambitions. Recommended elements: Zero Trust architecture, EDR/XDR on all endpoints, 24×7 SOC (outsourced or MSSP), identity hardening (MFA universal, privileged access management), incident response retainer, tabletop exercises quarterly, cyber insurance alignment.</w:t>
      </w:r>
    </w:p>
    <w:p>
      <w:r>
        <w:br w:type="page"/>
      </w:r>
    </w:p>
    <w:p>
      <w:pPr>
        <w:pStyle w:val="Heading1"/>
        <w:spacing w:before="0" w:after="240" w:line="276" w:lineRule="auto"/>
        <w:pBdr>
          <w:bottom w:val="single" w:sz="12" w:space="4" w:color="003A70"/>
        </w:pBdr>
      </w:pPr>
      <w:r>
        <w:t>6. Strategic Framework Analysis</w:t>
      </w:r>
    </w:p>
    <w:p>
      <w:pPr>
        <w:spacing w:before="0" w:after="160" w:line="300" w:lineRule="auto"/>
      </w:pPr>
      <w:r>
        <w:rPr>
          <w:rFonts w:ascii="Calibri" w:hAnsi="Calibri"/>
          <w:b w:val="0"/>
          <w:i w:val="0"/>
          <w:sz w:val="21"/>
        </w:rPr>
        <w:t>Five strategic frameworks inform the technology strategy: (1) Digital Maturity Assessment, (2) Gartner Hype Cycle, (3) NIST AI RMF, (4) Porter's Value Chain with digital overlay, and (5) McKinsey Three Horizons (reused from Report #1 for strategic consistency).</w:t>
      </w:r>
    </w:p>
    <w:p>
      <w:pPr>
        <w:pStyle w:val="Heading2"/>
        <w:spacing w:before="280" w:after="120" w:line="276" w:lineRule="auto"/>
      </w:pPr>
      <w:r>
        <w:t>6.1 PLMA Digital Maturity Assessment</w:t>
      </w:r>
    </w:p>
    <w:p>
      <w:pPr>
        <w:jc w:val="center"/>
      </w:pPr>
      <w:r>
        <w:drawing>
          <wp:inline xmlns:a="http://schemas.openxmlformats.org/drawingml/2006/main" xmlns:pic="http://schemas.openxmlformats.org/drawingml/2006/picture">
            <wp:extent cx="5943600" cy="4786745"/>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786745"/>
                    </a:xfrm>
                    <a:prstGeom prst="rect"/>
                  </pic:spPr>
                </pic:pic>
              </a:graphicData>
            </a:graphic>
          </wp:inline>
        </w:drawing>
      </w:r>
    </w:p>
    <w:p>
      <w:pPr>
        <w:spacing w:before="0" w:after="240" w:line="276" w:lineRule="auto"/>
        <w:jc w:val="center"/>
      </w:pPr>
      <w:r>
        <w:rPr>
          <w:rFonts w:ascii="Calibri" w:hAnsi="Calibri"/>
          <w:i/>
          <w:color w:val="666666"/>
          <w:sz w:val="18"/>
        </w:rPr>
        <w:t>Exhibit: PLMA's 2.25 average maturity score is ~34% below peer average and 53% below digital leader benchmark.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003A70"/>
            <w:vAlign w:val="center"/>
          </w:tcPr>
          <w:p>
            <w:pPr>
              <w:spacing w:before="0" w:after="40" w:line="276" w:lineRule="auto"/>
            </w:pPr>
            <w:r/>
            <w:r>
              <w:rPr>
                <w:rFonts w:ascii="Calibri" w:hAnsi="Calibri"/>
                <w:b/>
                <w:color w:val="FFFFFF"/>
                <w:sz w:val="19"/>
              </w:rPr>
              <w:t>Dimension</w:t>
            </w:r>
          </w:p>
        </w:tc>
        <w:tc>
          <w:tcPr>
            <w:tcW w:type="dxa" w:w="1296"/>
            <w:shd w:val="clear" w:color="auto" w:fill="003A70"/>
            <w:vAlign w:val="center"/>
          </w:tcPr>
          <w:p>
            <w:pPr>
              <w:spacing w:before="0" w:after="40" w:line="276" w:lineRule="auto"/>
            </w:pPr>
            <w:r/>
            <w:r>
              <w:rPr>
                <w:rFonts w:ascii="Calibri" w:hAnsi="Calibri"/>
                <w:b/>
                <w:color w:val="FFFFFF"/>
                <w:sz w:val="19"/>
              </w:rPr>
              <w:t>PLMA</w:t>
            </w:r>
          </w:p>
        </w:tc>
        <w:tc>
          <w:tcPr>
            <w:tcW w:type="dxa" w:w="1296"/>
            <w:shd w:val="clear" w:color="auto" w:fill="003A70"/>
            <w:vAlign w:val="center"/>
          </w:tcPr>
          <w:p>
            <w:pPr>
              <w:spacing w:before="0" w:after="40" w:line="276" w:lineRule="auto"/>
            </w:pPr>
            <w:r/>
            <w:r>
              <w:rPr>
                <w:rFonts w:ascii="Calibri" w:hAnsi="Calibri"/>
                <w:b/>
                <w:color w:val="FFFFFF"/>
                <w:sz w:val="19"/>
              </w:rPr>
              <w:t>Peer Avg</w:t>
            </w:r>
          </w:p>
        </w:tc>
        <w:tc>
          <w:tcPr>
            <w:tcW w:type="dxa" w:w="1296"/>
            <w:shd w:val="clear" w:color="auto" w:fill="003A70"/>
            <w:vAlign w:val="center"/>
          </w:tcPr>
          <w:p>
            <w:pPr>
              <w:spacing w:before="0" w:after="40" w:line="276" w:lineRule="auto"/>
            </w:pPr>
            <w:r/>
            <w:r>
              <w:rPr>
                <w:rFonts w:ascii="Calibri" w:hAnsi="Calibri"/>
                <w:b/>
                <w:color w:val="FFFFFF"/>
                <w:sz w:val="19"/>
              </w:rPr>
              <w:t>Leader</w:t>
            </w:r>
          </w:p>
        </w:tc>
        <w:tc>
          <w:tcPr>
            <w:tcW w:type="dxa" w:w="2016"/>
            <w:shd w:val="clear" w:color="auto" w:fill="003A70"/>
            <w:vAlign w:val="center"/>
          </w:tcPr>
          <w:p>
            <w:pPr>
              <w:spacing w:before="0" w:after="40" w:line="276" w:lineRule="auto"/>
            </w:pPr>
            <w:r/>
            <w:r>
              <w:rPr>
                <w:rFonts w:ascii="Calibri" w:hAnsi="Calibri"/>
                <w:b/>
                <w:color w:val="FFFFFF"/>
                <w:sz w:val="19"/>
              </w:rPr>
              <w:t>Gap Priority</w:t>
            </w:r>
          </w:p>
        </w:tc>
      </w:tr>
      <w:tr>
        <w:tc>
          <w:tcPr>
            <w:tcW w:type="dxa" w:w="2592"/>
            <w:vAlign w:val="center"/>
          </w:tcPr>
          <w:p>
            <w:pPr>
              <w:spacing w:before="0" w:after="40" w:line="276" w:lineRule="auto"/>
            </w:pPr>
            <w:r/>
            <w:r>
              <w:rPr>
                <w:rFonts w:ascii="Calibri" w:hAnsi="Calibri"/>
                <w:color w:val="333333"/>
                <w:sz w:val="19"/>
              </w:rPr>
              <w:t>Strategy &amp; Vision</w:t>
            </w:r>
          </w:p>
        </w:tc>
        <w:tc>
          <w:tcPr>
            <w:tcW w:type="dxa" w:w="1296"/>
            <w:vAlign w:val="center"/>
          </w:tcPr>
          <w:p>
            <w:pPr>
              <w:spacing w:before="0" w:after="40" w:line="276" w:lineRule="auto"/>
            </w:pPr>
            <w:r/>
            <w:r>
              <w:rPr>
                <w:rFonts w:ascii="Calibri" w:hAnsi="Calibri"/>
                <w:color w:val="333333"/>
                <w:sz w:val="19"/>
              </w:rPr>
              <w:t>3.0</w:t>
            </w:r>
          </w:p>
        </w:tc>
        <w:tc>
          <w:tcPr>
            <w:tcW w:type="dxa" w:w="1296"/>
            <w:vAlign w:val="center"/>
          </w:tcPr>
          <w:p>
            <w:pPr>
              <w:spacing w:before="0" w:after="40" w:line="276" w:lineRule="auto"/>
            </w:pPr>
            <w:r/>
            <w:r>
              <w:rPr>
                <w:rFonts w:ascii="Calibri" w:hAnsi="Calibri"/>
                <w:color w:val="333333"/>
                <w:sz w:val="19"/>
              </w:rPr>
              <w:t>4.0</w:t>
            </w:r>
          </w:p>
        </w:tc>
        <w:tc>
          <w:tcPr>
            <w:tcW w:type="dxa" w:w="1296"/>
            <w:vAlign w:val="center"/>
          </w:tcPr>
          <w:p>
            <w:pPr>
              <w:spacing w:before="0" w:after="40" w:line="276" w:lineRule="auto"/>
            </w:pPr>
            <w:r/>
            <w:r>
              <w:rPr>
                <w:rFonts w:ascii="Calibri" w:hAnsi="Calibri"/>
                <w:color w:val="333333"/>
                <w:sz w:val="19"/>
              </w:rPr>
              <w:t>5.0</w:t>
            </w:r>
          </w:p>
        </w:tc>
        <w:tc>
          <w:tcPr>
            <w:tcW w:type="dxa" w:w="2016"/>
            <w:vAlign w:val="center"/>
          </w:tcPr>
          <w:p>
            <w:pPr>
              <w:spacing w:before="0" w:after="40" w:line="276" w:lineRule="auto"/>
            </w:pPr>
            <w:r/>
            <w:r>
              <w:rPr>
                <w:rFonts w:ascii="Calibri" w:hAnsi="Calibri"/>
                <w:color w:val="333333"/>
                <w:sz w:val="19"/>
              </w:rPr>
              <w:t>Medium</w:t>
            </w:r>
          </w:p>
        </w:tc>
      </w:tr>
      <w:tr>
        <w:tc>
          <w:tcPr>
            <w:tcW w:type="dxa" w:w="2592"/>
            <w:shd w:val="clear" w:color="auto" w:fill="F2F2F2"/>
            <w:vAlign w:val="center"/>
          </w:tcPr>
          <w:p>
            <w:pPr>
              <w:spacing w:before="0" w:after="40" w:line="276" w:lineRule="auto"/>
            </w:pPr>
            <w:r/>
            <w:r>
              <w:rPr>
                <w:rFonts w:ascii="Calibri" w:hAnsi="Calibri"/>
                <w:color w:val="333333"/>
                <w:sz w:val="19"/>
              </w:rPr>
              <w:t>Data &amp; Analytics</w:t>
            </w:r>
          </w:p>
        </w:tc>
        <w:tc>
          <w:tcPr>
            <w:tcW w:type="dxa" w:w="1296"/>
            <w:shd w:val="clear" w:color="auto" w:fill="F2F2F2"/>
            <w:vAlign w:val="center"/>
          </w:tcPr>
          <w:p>
            <w:pPr>
              <w:spacing w:before="0" w:after="40" w:line="276" w:lineRule="auto"/>
            </w:pPr>
            <w:r/>
            <w:r>
              <w:rPr>
                <w:rFonts w:ascii="Calibri" w:hAnsi="Calibri"/>
                <w:color w:val="333333"/>
                <w:sz w:val="19"/>
              </w:rPr>
              <w:t>2.0</w:t>
            </w:r>
          </w:p>
        </w:tc>
        <w:tc>
          <w:tcPr>
            <w:tcW w:type="dxa" w:w="1296"/>
            <w:shd w:val="clear" w:color="auto" w:fill="F2F2F2"/>
            <w:vAlign w:val="center"/>
          </w:tcPr>
          <w:p>
            <w:pPr>
              <w:spacing w:before="0" w:after="40" w:line="276" w:lineRule="auto"/>
            </w:pPr>
            <w:r/>
            <w:r>
              <w:rPr>
                <w:rFonts w:ascii="Calibri" w:hAnsi="Calibri"/>
                <w:color w:val="333333"/>
                <w:sz w:val="19"/>
              </w:rPr>
              <w:t>3.5</w:t>
            </w:r>
          </w:p>
        </w:tc>
        <w:tc>
          <w:tcPr>
            <w:tcW w:type="dxa" w:w="1296"/>
            <w:shd w:val="clear" w:color="auto" w:fill="F2F2F2"/>
            <w:vAlign w:val="center"/>
          </w:tcPr>
          <w:p>
            <w:pPr>
              <w:spacing w:before="0" w:after="40" w:line="276" w:lineRule="auto"/>
            </w:pPr>
            <w:r/>
            <w:r>
              <w:rPr>
                <w:rFonts w:ascii="Calibri" w:hAnsi="Calibri"/>
                <w:color w:val="333333"/>
                <w:sz w:val="19"/>
              </w:rPr>
              <w:t>5.0</w:t>
            </w:r>
          </w:p>
        </w:tc>
        <w:tc>
          <w:tcPr>
            <w:tcW w:type="dxa" w:w="2016"/>
            <w:shd w:val="clear" w:color="auto" w:fill="F2F2F2"/>
            <w:vAlign w:val="center"/>
          </w:tcPr>
          <w:p>
            <w:pPr>
              <w:spacing w:before="0" w:after="40" w:line="276" w:lineRule="auto"/>
            </w:pPr>
            <w:r/>
            <w:r>
              <w:rPr>
                <w:rFonts w:ascii="Calibri" w:hAnsi="Calibri"/>
                <w:color w:val="333333"/>
                <w:sz w:val="19"/>
              </w:rPr>
              <w:t>HIGH</w:t>
            </w:r>
          </w:p>
        </w:tc>
      </w:tr>
      <w:tr>
        <w:tc>
          <w:tcPr>
            <w:tcW w:type="dxa" w:w="2592"/>
            <w:vAlign w:val="center"/>
          </w:tcPr>
          <w:p>
            <w:pPr>
              <w:spacing w:before="0" w:after="40" w:line="276" w:lineRule="auto"/>
            </w:pPr>
            <w:r/>
            <w:r>
              <w:rPr>
                <w:rFonts w:ascii="Calibri" w:hAnsi="Calibri"/>
                <w:color w:val="333333"/>
                <w:sz w:val="19"/>
              </w:rPr>
              <w:t>Talent &amp; Culture</w:t>
            </w:r>
          </w:p>
        </w:tc>
        <w:tc>
          <w:tcPr>
            <w:tcW w:type="dxa" w:w="1296"/>
            <w:vAlign w:val="center"/>
          </w:tcPr>
          <w:p>
            <w:pPr>
              <w:spacing w:before="0" w:after="40" w:line="276" w:lineRule="auto"/>
            </w:pPr>
            <w:r/>
            <w:r>
              <w:rPr>
                <w:rFonts w:ascii="Calibri" w:hAnsi="Calibri"/>
                <w:color w:val="333333"/>
                <w:sz w:val="19"/>
              </w:rPr>
              <w:t>2.5</w:t>
            </w:r>
          </w:p>
        </w:tc>
        <w:tc>
          <w:tcPr>
            <w:tcW w:type="dxa" w:w="1296"/>
            <w:vAlign w:val="center"/>
          </w:tcPr>
          <w:p>
            <w:pPr>
              <w:spacing w:before="0" w:after="40" w:line="276" w:lineRule="auto"/>
            </w:pPr>
            <w:r/>
            <w:r>
              <w:rPr>
                <w:rFonts w:ascii="Calibri" w:hAnsi="Calibri"/>
                <w:color w:val="333333"/>
                <w:sz w:val="19"/>
              </w:rPr>
              <w:t>3.0</w:t>
            </w:r>
          </w:p>
        </w:tc>
        <w:tc>
          <w:tcPr>
            <w:tcW w:type="dxa" w:w="1296"/>
            <w:vAlign w:val="center"/>
          </w:tcPr>
          <w:p>
            <w:pPr>
              <w:spacing w:before="0" w:after="40" w:line="276" w:lineRule="auto"/>
            </w:pPr>
            <w:r/>
            <w:r>
              <w:rPr>
                <w:rFonts w:ascii="Calibri" w:hAnsi="Calibri"/>
                <w:color w:val="333333"/>
                <w:sz w:val="19"/>
              </w:rPr>
              <w:t>4.5</w:t>
            </w:r>
          </w:p>
        </w:tc>
        <w:tc>
          <w:tcPr>
            <w:tcW w:type="dxa" w:w="2016"/>
            <w:vAlign w:val="center"/>
          </w:tcPr>
          <w:p>
            <w:pPr>
              <w:spacing w:before="0" w:after="40" w:line="276" w:lineRule="auto"/>
            </w:pPr>
            <w:r/>
            <w:r>
              <w:rPr>
                <w:rFonts w:ascii="Calibri" w:hAnsi="Calibri"/>
                <w:color w:val="333333"/>
                <w:sz w:val="19"/>
              </w:rPr>
              <w:t>Medium</w:t>
            </w:r>
          </w:p>
        </w:tc>
      </w:tr>
      <w:tr>
        <w:tc>
          <w:tcPr>
            <w:tcW w:type="dxa" w:w="2592"/>
            <w:shd w:val="clear" w:color="auto" w:fill="F2F2F2"/>
            <w:vAlign w:val="center"/>
          </w:tcPr>
          <w:p>
            <w:pPr>
              <w:spacing w:before="0" w:after="40" w:line="276" w:lineRule="auto"/>
            </w:pPr>
            <w:r/>
            <w:r>
              <w:rPr>
                <w:rFonts w:ascii="Calibri" w:hAnsi="Calibri"/>
                <w:color w:val="333333"/>
                <w:sz w:val="19"/>
              </w:rPr>
              <w:t>Infrastructure &amp; Cloud</w:t>
            </w:r>
          </w:p>
        </w:tc>
        <w:tc>
          <w:tcPr>
            <w:tcW w:type="dxa" w:w="1296"/>
            <w:shd w:val="clear" w:color="auto" w:fill="F2F2F2"/>
            <w:vAlign w:val="center"/>
          </w:tcPr>
          <w:p>
            <w:pPr>
              <w:spacing w:before="0" w:after="40" w:line="276" w:lineRule="auto"/>
            </w:pPr>
            <w:r/>
            <w:r>
              <w:rPr>
                <w:rFonts w:ascii="Calibri" w:hAnsi="Calibri"/>
                <w:color w:val="333333"/>
                <w:sz w:val="19"/>
              </w:rPr>
              <w:t>2.0</w:t>
            </w:r>
          </w:p>
        </w:tc>
        <w:tc>
          <w:tcPr>
            <w:tcW w:type="dxa" w:w="1296"/>
            <w:shd w:val="clear" w:color="auto" w:fill="F2F2F2"/>
            <w:vAlign w:val="center"/>
          </w:tcPr>
          <w:p>
            <w:pPr>
              <w:spacing w:before="0" w:after="40" w:line="276" w:lineRule="auto"/>
            </w:pPr>
            <w:r/>
            <w:r>
              <w:rPr>
                <w:rFonts w:ascii="Calibri" w:hAnsi="Calibri"/>
                <w:color w:val="333333"/>
                <w:sz w:val="19"/>
              </w:rPr>
              <w:t>3.5</w:t>
            </w:r>
          </w:p>
        </w:tc>
        <w:tc>
          <w:tcPr>
            <w:tcW w:type="dxa" w:w="1296"/>
            <w:shd w:val="clear" w:color="auto" w:fill="F2F2F2"/>
            <w:vAlign w:val="center"/>
          </w:tcPr>
          <w:p>
            <w:pPr>
              <w:spacing w:before="0" w:after="40" w:line="276" w:lineRule="auto"/>
            </w:pPr>
            <w:r/>
            <w:r>
              <w:rPr>
                <w:rFonts w:ascii="Calibri" w:hAnsi="Calibri"/>
                <w:color w:val="333333"/>
                <w:sz w:val="19"/>
              </w:rPr>
              <w:t>5.0</w:t>
            </w:r>
          </w:p>
        </w:tc>
        <w:tc>
          <w:tcPr>
            <w:tcW w:type="dxa" w:w="2016"/>
            <w:shd w:val="clear" w:color="auto" w:fill="F2F2F2"/>
            <w:vAlign w:val="center"/>
          </w:tcPr>
          <w:p>
            <w:pPr>
              <w:spacing w:before="0" w:after="40" w:line="276" w:lineRule="auto"/>
            </w:pPr>
            <w:r/>
            <w:r>
              <w:rPr>
                <w:rFonts w:ascii="Calibri" w:hAnsi="Calibri"/>
                <w:color w:val="333333"/>
                <w:sz w:val="19"/>
              </w:rPr>
              <w:t>HIGH</w:t>
            </w:r>
          </w:p>
        </w:tc>
      </w:tr>
      <w:tr>
        <w:tc>
          <w:tcPr>
            <w:tcW w:type="dxa" w:w="2592"/>
            <w:vAlign w:val="center"/>
          </w:tcPr>
          <w:p>
            <w:pPr>
              <w:spacing w:before="0" w:after="40" w:line="276" w:lineRule="auto"/>
            </w:pPr>
            <w:r/>
            <w:r>
              <w:rPr>
                <w:rFonts w:ascii="Calibri" w:hAnsi="Calibri"/>
                <w:color w:val="333333"/>
                <w:sz w:val="19"/>
              </w:rPr>
              <w:t>AI/ML Capability</w:t>
            </w:r>
          </w:p>
        </w:tc>
        <w:tc>
          <w:tcPr>
            <w:tcW w:type="dxa" w:w="1296"/>
            <w:vAlign w:val="center"/>
          </w:tcPr>
          <w:p>
            <w:pPr>
              <w:spacing w:before="0" w:after="40" w:line="276" w:lineRule="auto"/>
            </w:pPr>
            <w:r/>
            <w:r>
              <w:rPr>
                <w:rFonts w:ascii="Calibri" w:hAnsi="Calibri"/>
                <w:color w:val="333333"/>
                <w:sz w:val="19"/>
              </w:rPr>
              <w:t>1.5</w:t>
            </w:r>
          </w:p>
        </w:tc>
        <w:tc>
          <w:tcPr>
            <w:tcW w:type="dxa" w:w="1296"/>
            <w:vAlign w:val="center"/>
          </w:tcPr>
          <w:p>
            <w:pPr>
              <w:spacing w:before="0" w:after="40" w:line="276" w:lineRule="auto"/>
            </w:pPr>
            <w:r/>
            <w:r>
              <w:rPr>
                <w:rFonts w:ascii="Calibri" w:hAnsi="Calibri"/>
                <w:color w:val="333333"/>
                <w:sz w:val="19"/>
              </w:rPr>
              <w:t>3.0</w:t>
            </w:r>
          </w:p>
        </w:tc>
        <w:tc>
          <w:tcPr>
            <w:tcW w:type="dxa" w:w="1296"/>
            <w:vAlign w:val="center"/>
          </w:tcPr>
          <w:p>
            <w:pPr>
              <w:spacing w:before="0" w:after="40" w:line="276" w:lineRule="auto"/>
            </w:pPr>
            <w:r/>
            <w:r>
              <w:rPr>
                <w:rFonts w:ascii="Calibri" w:hAnsi="Calibri"/>
                <w:color w:val="333333"/>
                <w:sz w:val="19"/>
              </w:rPr>
              <w:t>4.5</w:t>
            </w:r>
          </w:p>
        </w:tc>
        <w:tc>
          <w:tcPr>
            <w:tcW w:type="dxa" w:w="2016"/>
            <w:vAlign w:val="center"/>
          </w:tcPr>
          <w:p>
            <w:pPr>
              <w:spacing w:before="0" w:after="40" w:line="276" w:lineRule="auto"/>
            </w:pPr>
            <w:r/>
            <w:r>
              <w:rPr>
                <w:rFonts w:ascii="Calibri" w:hAnsi="Calibri"/>
                <w:color w:val="333333"/>
                <w:sz w:val="19"/>
              </w:rPr>
              <w:t>HIGHEST</w:t>
            </w:r>
          </w:p>
        </w:tc>
      </w:tr>
      <w:tr>
        <w:tc>
          <w:tcPr>
            <w:tcW w:type="dxa" w:w="2592"/>
            <w:shd w:val="clear" w:color="auto" w:fill="F2F2F2"/>
            <w:vAlign w:val="center"/>
          </w:tcPr>
          <w:p>
            <w:pPr>
              <w:spacing w:before="0" w:after="40" w:line="276" w:lineRule="auto"/>
            </w:pPr>
            <w:r/>
            <w:r>
              <w:rPr>
                <w:rFonts w:ascii="Calibri" w:hAnsi="Calibri"/>
                <w:color w:val="333333"/>
                <w:sz w:val="19"/>
              </w:rPr>
              <w:t>Security &amp; Governance</w:t>
            </w:r>
          </w:p>
        </w:tc>
        <w:tc>
          <w:tcPr>
            <w:tcW w:type="dxa" w:w="1296"/>
            <w:shd w:val="clear" w:color="auto" w:fill="F2F2F2"/>
            <w:vAlign w:val="center"/>
          </w:tcPr>
          <w:p>
            <w:pPr>
              <w:spacing w:before="0" w:after="40" w:line="276" w:lineRule="auto"/>
            </w:pPr>
            <w:r/>
            <w:r>
              <w:rPr>
                <w:rFonts w:ascii="Calibri" w:hAnsi="Calibri"/>
                <w:color w:val="333333"/>
                <w:sz w:val="19"/>
              </w:rPr>
              <w:t>2.5</w:t>
            </w:r>
          </w:p>
        </w:tc>
        <w:tc>
          <w:tcPr>
            <w:tcW w:type="dxa" w:w="1296"/>
            <w:shd w:val="clear" w:color="auto" w:fill="F2F2F2"/>
            <w:vAlign w:val="center"/>
          </w:tcPr>
          <w:p>
            <w:pPr>
              <w:spacing w:before="0" w:after="40" w:line="276" w:lineRule="auto"/>
            </w:pPr>
            <w:r/>
            <w:r>
              <w:rPr>
                <w:rFonts w:ascii="Calibri" w:hAnsi="Calibri"/>
                <w:color w:val="333333"/>
                <w:sz w:val="19"/>
              </w:rPr>
              <w:t>3.5</w:t>
            </w:r>
          </w:p>
        </w:tc>
        <w:tc>
          <w:tcPr>
            <w:tcW w:type="dxa" w:w="1296"/>
            <w:shd w:val="clear" w:color="auto" w:fill="F2F2F2"/>
            <w:vAlign w:val="center"/>
          </w:tcPr>
          <w:p>
            <w:pPr>
              <w:spacing w:before="0" w:after="40" w:line="276" w:lineRule="auto"/>
            </w:pPr>
            <w:r/>
            <w:r>
              <w:rPr>
                <w:rFonts w:ascii="Calibri" w:hAnsi="Calibri"/>
                <w:color w:val="333333"/>
                <w:sz w:val="19"/>
              </w:rPr>
              <w:t>4.5</w:t>
            </w:r>
          </w:p>
        </w:tc>
        <w:tc>
          <w:tcPr>
            <w:tcW w:type="dxa" w:w="2016"/>
            <w:shd w:val="clear" w:color="auto" w:fill="F2F2F2"/>
            <w:vAlign w:val="center"/>
          </w:tcPr>
          <w:p>
            <w:pPr>
              <w:spacing w:before="0" w:after="40" w:line="276" w:lineRule="auto"/>
            </w:pPr>
            <w:r/>
            <w:r>
              <w:rPr>
                <w:rFonts w:ascii="Calibri" w:hAnsi="Calibri"/>
                <w:color w:val="333333"/>
                <w:sz w:val="19"/>
              </w:rPr>
              <w:t>HIGH</w:t>
            </w:r>
          </w:p>
        </w:tc>
      </w:tr>
    </w:tbl>
    <w:p>
      <w:pPr>
        <w:spacing w:before="0" w:after="160" w:line="288" w:lineRule="auto"/>
      </w:pPr>
      <w:r>
        <w:rPr>
          <w:rFonts w:ascii="Calibri" w:hAnsi="Calibri"/>
          <w:b w:val="0"/>
          <w:i w:val="0"/>
        </w:rPr>
      </w:r>
    </w:p>
    <w:p>
      <w:pPr>
        <w:pStyle w:val="Heading2"/>
        <w:spacing w:before="280" w:after="120" w:line="276" w:lineRule="auto"/>
      </w:pPr>
      <w:r>
        <w:t>6.2 Gartner Hype Cycle Positioning</w:t>
      </w:r>
    </w:p>
    <w:p>
      <w:pPr>
        <w:jc w:val="center"/>
      </w:pPr>
      <w:r>
        <w:drawing>
          <wp:inline xmlns:a="http://schemas.openxmlformats.org/drawingml/2006/main" xmlns:pic="http://schemas.openxmlformats.org/drawingml/2006/picture">
            <wp:extent cx="5943600" cy="3478212"/>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78212"/>
                    </a:xfrm>
                    <a:prstGeom prst="rect"/>
                  </pic:spPr>
                </pic:pic>
              </a:graphicData>
            </a:graphic>
          </wp:inline>
        </w:drawing>
      </w:r>
    </w:p>
    <w:p>
      <w:pPr>
        <w:spacing w:before="0" w:after="240" w:line="276" w:lineRule="auto"/>
        <w:jc w:val="center"/>
      </w:pPr>
      <w:r>
        <w:rPr>
          <w:rFonts w:ascii="Calibri" w:hAnsi="Calibri"/>
          <w:i/>
          <w:color w:val="666666"/>
          <w:sz w:val="18"/>
        </w:rPr>
        <w:t>Exhibit: Calibrate expectations: Agentic AI and GenAI are at peak hype; invest where technologies have matured.</w:t>
      </w:r>
    </w:p>
    <w:p>
      <w:pPr>
        <w:spacing w:before="0" w:after="160" w:line="300" w:lineRule="auto"/>
      </w:pPr>
      <w:r>
        <w:rPr>
          <w:rFonts w:ascii="Calibri" w:hAnsi="Calibri"/>
          <w:b w:val="0"/>
          <w:i w:val="0"/>
          <w:sz w:val="21"/>
        </w:rPr>
        <w:t>Hype cycle positioning drives investment timing. For technologies at the Peak of Inflated Expectations (Agentic AI, enterprise GenAI), we recommend disciplined pilots with strict value gates. For technologies on the Plateau of Productivity (cloud core, RPA, ML credit scoring), invest aggressively. For technologies in the Trough (blockchain in ag, some computer vision applications), monitor and reassess annually.</w:t>
      </w:r>
    </w:p>
    <w:p>
      <w:pPr>
        <w:pStyle w:val="Heading2"/>
        <w:spacing w:before="280" w:after="120" w:line="276" w:lineRule="auto"/>
      </w:pPr>
      <w:r>
        <w:t>6.3 NIST AI Risk Management Framework (AI RMF 1.0)</w:t>
      </w:r>
    </w:p>
    <w:tbl>
      <w:tblPr>
        <w:tblW w:type="auto" w:w="0"/>
        <w:jc w:val="center"/>
        <w:tblLook w:firstColumn="1" w:firstRow="1" w:lastColumn="0" w:lastRow="0" w:noHBand="0" w:noVBand="1" w:val="04A0"/>
      </w:tblPr>
      <w:tblGrid>
        <w:gridCol w:w="3120"/>
        <w:gridCol w:w="3120"/>
        <w:gridCol w:w="3120"/>
      </w:tblGrid>
      <w:tr>
        <w:tc>
          <w:tcPr>
            <w:tcW w:type="dxa" w:w="1872"/>
            <w:shd w:val="clear" w:color="auto" w:fill="003A70"/>
            <w:vAlign w:val="center"/>
          </w:tcPr>
          <w:p>
            <w:pPr>
              <w:spacing w:before="0" w:after="40" w:line="276" w:lineRule="auto"/>
            </w:pPr>
            <w:r/>
            <w:r>
              <w:rPr>
                <w:rFonts w:ascii="Calibri" w:hAnsi="Calibri"/>
                <w:b/>
                <w:color w:val="FFFFFF"/>
                <w:sz w:val="19"/>
              </w:rPr>
              <w:t>NIST AI RMF Function</w:t>
            </w:r>
          </w:p>
        </w:tc>
        <w:tc>
          <w:tcPr>
            <w:tcW w:type="dxa" w:w="3600"/>
            <w:shd w:val="clear" w:color="auto" w:fill="003A70"/>
            <w:vAlign w:val="center"/>
          </w:tcPr>
          <w:p>
            <w:pPr>
              <w:spacing w:before="0" w:after="40" w:line="276" w:lineRule="auto"/>
            </w:pPr>
            <w:r/>
            <w:r>
              <w:rPr>
                <w:rFonts w:ascii="Calibri" w:hAnsi="Calibri"/>
                <w:b/>
                <w:color w:val="FFFFFF"/>
                <w:sz w:val="19"/>
              </w:rPr>
              <w:t>PLMA Application</w:t>
            </w:r>
          </w:p>
        </w:tc>
        <w:tc>
          <w:tcPr>
            <w:tcW w:type="dxa" w:w="3600"/>
            <w:shd w:val="clear" w:color="auto" w:fill="003A70"/>
            <w:vAlign w:val="center"/>
          </w:tcPr>
          <w:p>
            <w:pPr>
              <w:spacing w:before="0" w:after="40" w:line="276" w:lineRule="auto"/>
            </w:pPr>
            <w:r/>
            <w:r>
              <w:rPr>
                <w:rFonts w:ascii="Calibri" w:hAnsi="Calibri"/>
                <w:b/>
                <w:color w:val="FFFFFF"/>
                <w:sz w:val="19"/>
              </w:rPr>
              <w:t>Year 1 Action</w:t>
            </w:r>
          </w:p>
        </w:tc>
      </w:tr>
      <w:tr>
        <w:tc>
          <w:tcPr>
            <w:tcW w:type="dxa" w:w="1872"/>
            <w:vAlign w:val="center"/>
          </w:tcPr>
          <w:p>
            <w:pPr>
              <w:spacing w:before="0" w:after="40" w:line="276" w:lineRule="auto"/>
            </w:pPr>
            <w:r/>
            <w:r>
              <w:rPr>
                <w:rFonts w:ascii="Calibri" w:hAnsi="Calibri"/>
                <w:color w:val="333333"/>
                <w:sz w:val="19"/>
              </w:rPr>
              <w:t>GOVERN</w:t>
            </w:r>
          </w:p>
        </w:tc>
        <w:tc>
          <w:tcPr>
            <w:tcW w:type="dxa" w:w="3600"/>
            <w:vAlign w:val="center"/>
          </w:tcPr>
          <w:p>
            <w:pPr>
              <w:spacing w:before="0" w:after="40" w:line="276" w:lineRule="auto"/>
            </w:pPr>
            <w:r/>
            <w:r>
              <w:rPr>
                <w:rFonts w:ascii="Calibri" w:hAnsi="Calibri"/>
                <w:color w:val="333333"/>
                <w:sz w:val="19"/>
              </w:rPr>
              <w:t>AI Governance Council, policies, accountability</w:t>
            </w:r>
          </w:p>
        </w:tc>
        <w:tc>
          <w:tcPr>
            <w:tcW w:type="dxa" w:w="3600"/>
            <w:vAlign w:val="center"/>
          </w:tcPr>
          <w:p>
            <w:pPr>
              <w:spacing w:before="0" w:after="40" w:line="276" w:lineRule="auto"/>
            </w:pPr>
            <w:r/>
            <w:r>
              <w:rPr>
                <w:rFonts w:ascii="Calibri" w:hAnsi="Calibri"/>
                <w:color w:val="333333"/>
                <w:sz w:val="19"/>
              </w:rPr>
              <w:t>Stand up Council; publish AI Use Policy</w:t>
            </w:r>
          </w:p>
        </w:tc>
      </w:tr>
      <w:tr>
        <w:tc>
          <w:tcPr>
            <w:tcW w:type="dxa" w:w="1872"/>
            <w:shd w:val="clear" w:color="auto" w:fill="F2F2F2"/>
            <w:vAlign w:val="center"/>
          </w:tcPr>
          <w:p>
            <w:pPr>
              <w:spacing w:before="0" w:after="40" w:line="276" w:lineRule="auto"/>
            </w:pPr>
            <w:r/>
            <w:r>
              <w:rPr>
                <w:rFonts w:ascii="Calibri" w:hAnsi="Calibri"/>
                <w:color w:val="333333"/>
                <w:sz w:val="19"/>
              </w:rPr>
              <w:t>MAP</w:t>
            </w:r>
          </w:p>
        </w:tc>
        <w:tc>
          <w:tcPr>
            <w:tcW w:type="dxa" w:w="3600"/>
            <w:shd w:val="clear" w:color="auto" w:fill="F2F2F2"/>
            <w:vAlign w:val="center"/>
          </w:tcPr>
          <w:p>
            <w:pPr>
              <w:spacing w:before="0" w:after="40" w:line="276" w:lineRule="auto"/>
            </w:pPr>
            <w:r/>
            <w:r>
              <w:rPr>
                <w:rFonts w:ascii="Calibri" w:hAnsi="Calibri"/>
                <w:color w:val="333333"/>
                <w:sz w:val="19"/>
              </w:rPr>
              <w:t>Context mapping: where AI is used, by whom, for what</w:t>
            </w:r>
          </w:p>
        </w:tc>
        <w:tc>
          <w:tcPr>
            <w:tcW w:type="dxa" w:w="3600"/>
            <w:shd w:val="clear" w:color="auto" w:fill="F2F2F2"/>
            <w:vAlign w:val="center"/>
          </w:tcPr>
          <w:p>
            <w:pPr>
              <w:spacing w:before="0" w:after="40" w:line="276" w:lineRule="auto"/>
            </w:pPr>
            <w:r/>
            <w:r>
              <w:rPr>
                <w:rFonts w:ascii="Calibri" w:hAnsi="Calibri"/>
                <w:color w:val="333333"/>
                <w:sz w:val="19"/>
              </w:rPr>
              <w:t>AI inventory; risk classification by use case</w:t>
            </w:r>
          </w:p>
        </w:tc>
      </w:tr>
      <w:tr>
        <w:tc>
          <w:tcPr>
            <w:tcW w:type="dxa" w:w="1872"/>
            <w:vAlign w:val="center"/>
          </w:tcPr>
          <w:p>
            <w:pPr>
              <w:spacing w:before="0" w:after="40" w:line="276" w:lineRule="auto"/>
            </w:pPr>
            <w:r/>
            <w:r>
              <w:rPr>
                <w:rFonts w:ascii="Calibri" w:hAnsi="Calibri"/>
                <w:color w:val="333333"/>
                <w:sz w:val="19"/>
              </w:rPr>
              <w:t>MEASURE</w:t>
            </w:r>
          </w:p>
        </w:tc>
        <w:tc>
          <w:tcPr>
            <w:tcW w:type="dxa" w:w="3600"/>
            <w:vAlign w:val="center"/>
          </w:tcPr>
          <w:p>
            <w:pPr>
              <w:spacing w:before="0" w:after="40" w:line="276" w:lineRule="auto"/>
            </w:pPr>
            <w:r/>
            <w:r>
              <w:rPr>
                <w:rFonts w:ascii="Calibri" w:hAnsi="Calibri"/>
                <w:color w:val="333333"/>
                <w:sz w:val="19"/>
              </w:rPr>
              <w:t>Performance, bias, drift, explainability metrics</w:t>
            </w:r>
          </w:p>
        </w:tc>
        <w:tc>
          <w:tcPr>
            <w:tcW w:type="dxa" w:w="3600"/>
            <w:vAlign w:val="center"/>
          </w:tcPr>
          <w:p>
            <w:pPr>
              <w:spacing w:before="0" w:after="40" w:line="276" w:lineRule="auto"/>
            </w:pPr>
            <w:r/>
            <w:r>
              <w:rPr>
                <w:rFonts w:ascii="Calibri" w:hAnsi="Calibri"/>
                <w:color w:val="333333"/>
                <w:sz w:val="19"/>
              </w:rPr>
              <w:t>Metrics framework for credit scoring model</w:t>
            </w:r>
          </w:p>
        </w:tc>
      </w:tr>
      <w:tr>
        <w:tc>
          <w:tcPr>
            <w:tcW w:type="dxa" w:w="1872"/>
            <w:shd w:val="clear" w:color="auto" w:fill="F2F2F2"/>
            <w:vAlign w:val="center"/>
          </w:tcPr>
          <w:p>
            <w:pPr>
              <w:spacing w:before="0" w:after="40" w:line="276" w:lineRule="auto"/>
            </w:pPr>
            <w:r/>
            <w:r>
              <w:rPr>
                <w:rFonts w:ascii="Calibri" w:hAnsi="Calibri"/>
                <w:color w:val="333333"/>
                <w:sz w:val="19"/>
              </w:rPr>
              <w:t>MANAGE</w:t>
            </w:r>
          </w:p>
        </w:tc>
        <w:tc>
          <w:tcPr>
            <w:tcW w:type="dxa" w:w="3600"/>
            <w:shd w:val="clear" w:color="auto" w:fill="F2F2F2"/>
            <w:vAlign w:val="center"/>
          </w:tcPr>
          <w:p>
            <w:pPr>
              <w:spacing w:before="0" w:after="40" w:line="276" w:lineRule="auto"/>
            </w:pPr>
            <w:r/>
            <w:r>
              <w:rPr>
                <w:rFonts w:ascii="Calibri" w:hAnsi="Calibri"/>
                <w:color w:val="333333"/>
                <w:sz w:val="19"/>
              </w:rPr>
              <w:t>Ongoing monitoring, incident response, retirement</w:t>
            </w:r>
          </w:p>
        </w:tc>
        <w:tc>
          <w:tcPr>
            <w:tcW w:type="dxa" w:w="3600"/>
            <w:shd w:val="clear" w:color="auto" w:fill="F2F2F2"/>
            <w:vAlign w:val="center"/>
          </w:tcPr>
          <w:p>
            <w:pPr>
              <w:spacing w:before="0" w:after="40" w:line="276" w:lineRule="auto"/>
            </w:pPr>
            <w:r/>
            <w:r>
              <w:rPr>
                <w:rFonts w:ascii="Calibri" w:hAnsi="Calibri"/>
                <w:color w:val="333333"/>
                <w:sz w:val="19"/>
              </w:rPr>
              <w:t>Model risk management process; human-in-loop requirements</w:t>
            </w:r>
          </w:p>
        </w:tc>
      </w:tr>
    </w:tbl>
    <w:p>
      <w:pPr>
        <w:spacing w:before="0" w:after="160" w:line="288" w:lineRule="auto"/>
      </w:pPr>
      <w:r>
        <w:rPr>
          <w:rFonts w:ascii="Calibri" w:hAnsi="Calibri"/>
          <w:b w:val="0"/>
          <w:i w:val="0"/>
        </w:rPr>
      </w:r>
    </w:p>
    <w:p>
      <w:pPr>
        <w:pStyle w:val="Heading2"/>
        <w:spacing w:before="280" w:after="120" w:line="276" w:lineRule="auto"/>
      </w:pPr>
      <w:r>
        <w:t>6.4 Porter's Value Chain — Digital Overlay</w:t>
      </w:r>
    </w:p>
    <w:p>
      <w:pPr>
        <w:spacing w:before="0" w:after="160" w:line="300" w:lineRule="auto"/>
      </w:pPr>
      <w:r>
        <w:rPr>
          <w:rFonts w:ascii="Calibri" w:hAnsi="Calibri"/>
          <w:b w:val="0"/>
          <w:i w:val="0"/>
          <w:sz w:val="21"/>
        </w:rPr>
        <w:t>Mapping digital opportunities to Porter's Value Chain illuminates where technology creates differentiation vs. parity:</w:t>
      </w:r>
    </w:p>
    <w:p>
      <w:pPr>
        <w:pStyle w:val="ListBullet"/>
        <w:spacing w:before="0" w:after="80" w:line="288" w:lineRule="auto"/>
      </w:pPr>
      <w:r>
        <w:rPr>
          <w:rFonts w:ascii="Calibri" w:hAnsi="Calibri"/>
          <w:b/>
          <w:color w:val="003A70"/>
          <w:sz w:val="21"/>
        </w:rPr>
        <w:t xml:space="preserve">Inbound Logistics (producer intake): </w:t>
      </w:r>
      <w:r>
        <w:rPr>
          <w:rFonts w:ascii="Calibri" w:hAnsi="Calibri"/>
          <w:color w:val="333333"/>
          <w:sz w:val="21"/>
        </w:rPr>
        <w:t>Digital member onboarding, AI credit scoring — differentiation opportunity.</w:t>
      </w:r>
    </w:p>
    <w:p>
      <w:pPr>
        <w:pStyle w:val="ListBullet"/>
        <w:spacing w:before="0" w:after="80" w:line="288" w:lineRule="auto"/>
      </w:pPr>
      <w:r>
        <w:rPr>
          <w:rFonts w:ascii="Calibri" w:hAnsi="Calibri"/>
          <w:b/>
          <w:color w:val="003A70"/>
          <w:sz w:val="21"/>
        </w:rPr>
        <w:t xml:space="preserve">Operations (auction/marketing): </w:t>
      </w:r>
      <w:r>
        <w:rPr>
          <w:rFonts w:ascii="Calibri" w:hAnsi="Calibri"/>
          <w:color w:val="333333"/>
          <w:sz w:val="21"/>
        </w:rPr>
        <w:t>Digital auction platform, computer vision grading — parity, then differentiation.</w:t>
      </w:r>
    </w:p>
    <w:p>
      <w:pPr>
        <w:pStyle w:val="ListBullet"/>
        <w:spacing w:before="0" w:after="80" w:line="288" w:lineRule="auto"/>
      </w:pPr>
      <w:r>
        <w:rPr>
          <w:rFonts w:ascii="Calibri" w:hAnsi="Calibri"/>
          <w:b/>
          <w:color w:val="003A70"/>
          <w:sz w:val="21"/>
        </w:rPr>
        <w:t xml:space="preserve">Outbound Logistics (settlement): </w:t>
      </w:r>
      <w:r>
        <w:rPr>
          <w:rFonts w:ascii="Calibri" w:hAnsi="Calibri"/>
          <w:color w:val="333333"/>
          <w:sz w:val="21"/>
        </w:rPr>
        <w:t>RPA, instant settlement, digital payment rails — parity, defensive.</w:t>
      </w:r>
    </w:p>
    <w:p>
      <w:pPr>
        <w:pStyle w:val="ListBullet"/>
        <w:spacing w:before="0" w:after="80" w:line="288" w:lineRule="auto"/>
      </w:pPr>
      <w:r>
        <w:rPr>
          <w:rFonts w:ascii="Calibri" w:hAnsi="Calibri"/>
          <w:b/>
          <w:color w:val="003A70"/>
          <w:sz w:val="21"/>
        </w:rPr>
        <w:t xml:space="preserve">Marketing &amp; Sales: </w:t>
      </w:r>
      <w:r>
        <w:rPr>
          <w:rFonts w:ascii="Calibri" w:hAnsi="Calibri"/>
          <w:color w:val="333333"/>
          <w:sz w:val="21"/>
        </w:rPr>
        <w:t>Market intelligence, demand sensing, member advisory — differentiation opportunity.</w:t>
      </w:r>
    </w:p>
    <w:p>
      <w:pPr>
        <w:pStyle w:val="ListBullet"/>
        <w:spacing w:before="0" w:after="80" w:line="288" w:lineRule="auto"/>
      </w:pPr>
      <w:r>
        <w:rPr>
          <w:rFonts w:ascii="Calibri" w:hAnsi="Calibri"/>
          <w:b/>
          <w:color w:val="003A70"/>
          <w:sz w:val="21"/>
        </w:rPr>
        <w:t xml:space="preserve">Service: </w:t>
      </w:r>
      <w:r>
        <w:rPr>
          <w:rFonts w:ascii="Calibri" w:hAnsi="Calibri"/>
          <w:color w:val="333333"/>
          <w:sz w:val="21"/>
        </w:rPr>
        <w:t>GenAI member service, advisory, education — differentiation opportunity.</w:t>
      </w:r>
    </w:p>
    <w:p>
      <w:pPr>
        <w:pStyle w:val="ListBullet"/>
        <w:spacing w:before="0" w:after="80" w:line="288" w:lineRule="auto"/>
      </w:pPr>
      <w:r>
        <w:rPr>
          <w:rFonts w:ascii="Calibri" w:hAnsi="Calibri"/>
          <w:b/>
          <w:color w:val="003A70"/>
          <w:sz w:val="21"/>
        </w:rPr>
        <w:t xml:space="preserve">Support Activities: </w:t>
      </w:r>
      <w:r>
        <w:rPr>
          <w:rFonts w:ascii="Calibri" w:hAnsi="Calibri"/>
          <w:color w:val="333333"/>
          <w:sz w:val="21"/>
        </w:rPr>
        <w:t>Cybersecurity, cloud, data platform, AI governance — foundation; not differentiating but failure-enabling.</w:t>
      </w:r>
    </w:p>
    <w:p>
      <w:pPr>
        <w:pStyle w:val="Heading2"/>
        <w:spacing w:before="280" w:after="120" w:line="276" w:lineRule="auto"/>
      </w:pPr>
      <w:r>
        <w:t>6.5 Three Horizons (Strategic Consistency with Report #1)</w:t>
      </w:r>
    </w:p>
    <w:p>
      <w:pPr>
        <w:spacing w:before="0" w:after="160" w:line="300" w:lineRule="auto"/>
      </w:pPr>
      <w:r>
        <w:rPr>
          <w:rFonts w:ascii="Calibri" w:hAnsi="Calibri"/>
          <w:b w:val="0"/>
          <w:i w:val="0"/>
          <w:sz w:val="21"/>
        </w:rPr>
        <w:t>The same Three Horizons framework structures both reports' roadmaps. This is deliberate: PLMA should have one integrated transformation plan, not two parallel tracks. Report #1's Horizon 1 credit risk workstreams and this report's Horizon 1 tech workstreams should be governed by the same PMO and Risk Committee.</w:t>
      </w:r>
    </w:p>
    <w:p>
      <w:r>
        <w:br w:type="page"/>
      </w:r>
    </w:p>
    <w:p>
      <w:pPr>
        <w:pStyle w:val="Heading1"/>
        <w:spacing w:before="0" w:after="240" w:line="276" w:lineRule="auto"/>
        <w:pBdr>
          <w:bottom w:val="single" w:sz="12" w:space="4" w:color="003A70"/>
        </w:pBdr>
      </w:pPr>
      <w:r>
        <w:t>7. Technology Strategy &amp; Roadmap (1 / 5 / 10 Year)</w:t>
      </w:r>
    </w:p>
    <w:p>
      <w:pPr>
        <w:pStyle w:val="Heading2"/>
        <w:spacing w:before="280" w:after="120" w:line="276" w:lineRule="auto"/>
      </w:pPr>
      <w:r>
        <w:t>7.1 North Star Technology Vision</w:t>
      </w:r>
    </w:p>
    <w:tbl>
      <w:tblPr>
        <w:tblW w:type="auto" w:w="0"/>
        <w:tblLook w:firstColumn="1" w:firstRow="1" w:lastColumn="0" w:lastRow="0" w:noHBand="0" w:noVBand="1" w:val="04A0"/>
      </w:tblPr>
      <w:tblGrid>
        <w:gridCol w:w="9360"/>
      </w:tblGrid>
      <w:tr>
        <w:tc>
          <w:tcPr>
            <w:tcW w:type="dxa" w:w="9360"/>
            <w:shd w:val="clear" w:color="auto" w:fill="DEEBF7"/>
            <w:tcBorders>
              <w:top w:val="single" w:sz="4" w:color="003A70" w:space="0"/>
              <w:left w:val="single" w:sz="36" w:color="003A70" w:space="0"/>
              <w:bottom w:val="single" w:sz="4" w:color="003A70" w:space="0"/>
              <w:right w:val="single" w:sz="4" w:color="003A70" w:space="0"/>
            </w:tcBorders>
          </w:tcPr>
          <w:p>
            <w:pPr>
              <w:spacing w:before="0" w:after="60" w:line="276" w:lineRule="auto"/>
            </w:pPr>
            <w:r/>
            <w:r>
              <w:rPr>
                <w:rFonts w:ascii="Calibri" w:hAnsi="Calibri"/>
                <w:b/>
                <w:color w:val="003A70"/>
                <w:sz w:val="18"/>
              </w:rPr>
              <w:t>PLMA'S 2036 TECH VISION</w:t>
            </w:r>
          </w:p>
          <w:p>
            <w:pPr>
              <w:spacing w:before="0" w:after="80" w:line="288" w:lineRule="auto"/>
            </w:pPr>
            <w:r>
              <w:rPr>
                <w:rFonts w:ascii="Calibri" w:hAnsi="Calibri"/>
                <w:color w:val="333333"/>
                <w:sz w:val="20"/>
              </w:rPr>
              <w:t>"PLMA is the most trusted, intelligent, and resilient livestock marketing platform in North America — combining century-old producer trust with AI-native analytics, digital-first member experience, and best-in-class risk management. Our technology is a strategic differentiator, not a utility."</w:t>
            </w:r>
          </w:p>
        </w:tc>
      </w:tr>
    </w:tbl>
    <w:p>
      <w:pPr>
        <w:spacing w:before="0" w:after="160" w:line="288" w:lineRule="auto"/>
      </w:pPr>
      <w:r>
        <w:rPr>
          <w:rFonts w:ascii="Calibri" w:hAnsi="Calibri"/>
          <w:b w:val="0"/>
          <w:i w:val="0"/>
        </w:rPr>
      </w:r>
    </w:p>
    <w:p>
      <w:pPr>
        <w:jc w:val="center"/>
      </w:pPr>
      <w:r>
        <w:drawing>
          <wp:inline xmlns:a="http://schemas.openxmlformats.org/drawingml/2006/main" xmlns:pic="http://schemas.openxmlformats.org/drawingml/2006/picture">
            <wp:extent cx="5943600" cy="3664555"/>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664555"/>
                    </a:xfrm>
                    <a:prstGeom prst="rect"/>
                  </pic:spPr>
                </pic:pic>
              </a:graphicData>
            </a:graphic>
          </wp:inline>
        </w:drawing>
      </w:r>
    </w:p>
    <w:p>
      <w:pPr>
        <w:spacing w:before="0" w:after="240" w:line="276" w:lineRule="auto"/>
        <w:jc w:val="center"/>
      </w:pPr>
      <w:r>
        <w:rPr>
          <w:rFonts w:ascii="Calibri" w:hAnsi="Calibri"/>
          <w:i/>
          <w:color w:val="666666"/>
          <w:sz w:val="18"/>
        </w:rPr>
        <w:t>Exhibit: 16 workstreams sequenced across 10 years, aligned to Three Horizons.</w:t>
      </w:r>
    </w:p>
    <w:p>
      <w:pPr>
        <w:pStyle w:val="Heading2"/>
        <w:spacing w:before="280" w:after="120" w:line="276" w:lineRule="auto"/>
      </w:pPr>
      <w:r>
        <w:t>7.2 Horizon 1: Foundation (Year 1)</w:t>
      </w:r>
    </w:p>
    <w:p>
      <w:pPr>
        <w:spacing w:before="0" w:after="160" w:line="300" w:lineRule="auto"/>
      </w:pPr>
      <w:r>
        <w:rPr>
          <w:rFonts w:ascii="Calibri" w:hAnsi="Calibri"/>
          <w:b w:val="0"/>
          <w:i w:val="0"/>
          <w:sz w:val="21"/>
        </w:rPr>
        <w:t>Year 1 is about stabilizing the risk surface and proving AI value with low-risk, high-return pilots.</w:t>
      </w:r>
    </w:p>
    <w:p>
      <w:pPr>
        <w:pStyle w:val="Heading3"/>
        <w:spacing w:before="200" w:after="80" w:line="276" w:lineRule="auto"/>
      </w:pPr>
      <w:r>
        <w:t>Priorities</w:t>
      </w:r>
    </w:p>
    <w:p>
      <w:pPr>
        <w:pStyle w:val="ListBullet"/>
        <w:spacing w:before="0" w:after="60" w:line="288" w:lineRule="auto"/>
      </w:pPr>
      <w:r>
        <w:rPr>
          <w:rFonts w:ascii="Calibri" w:hAnsi="Calibri"/>
          <w:color w:val="333333"/>
          <w:sz w:val="21"/>
        </w:rPr>
        <w:t>Cybersecurity hardening (Zero Trust architecture, EDR, 24×7 SOC) — $900K</w:t>
      </w:r>
    </w:p>
    <w:p>
      <w:pPr>
        <w:pStyle w:val="ListBullet"/>
        <w:spacing w:before="0" w:after="60" w:line="288" w:lineRule="auto"/>
      </w:pPr>
      <w:r>
        <w:rPr>
          <w:rFonts w:ascii="Calibri" w:hAnsi="Calibri"/>
          <w:color w:val="333333"/>
          <w:sz w:val="21"/>
        </w:rPr>
        <w:t>Cloud migration Phase 1 + Data Lakehouse v1 — $1.2M</w:t>
      </w:r>
    </w:p>
    <w:p>
      <w:pPr>
        <w:pStyle w:val="ListBullet"/>
        <w:spacing w:before="0" w:after="60" w:line="288" w:lineRule="auto"/>
      </w:pPr>
      <w:r>
        <w:rPr>
          <w:rFonts w:ascii="Calibri" w:hAnsi="Calibri"/>
          <w:color w:val="333333"/>
          <w:sz w:val="21"/>
        </w:rPr>
        <w:t>ML Credit Scoring v1 (pilot, shared budget with Report #1) — $350K</w:t>
      </w:r>
    </w:p>
    <w:p>
      <w:pPr>
        <w:pStyle w:val="ListBullet"/>
        <w:spacing w:before="0" w:after="60" w:line="288" w:lineRule="auto"/>
      </w:pPr>
      <w:r>
        <w:rPr>
          <w:rFonts w:ascii="Calibri" w:hAnsi="Calibri"/>
          <w:color w:val="333333"/>
          <w:sz w:val="21"/>
        </w:rPr>
        <w:t>GenAI back-office pilots (document processing, research) — $450K</w:t>
      </w:r>
    </w:p>
    <w:p>
      <w:pPr>
        <w:pStyle w:val="ListBullet"/>
        <w:spacing w:before="0" w:after="60" w:line="288" w:lineRule="auto"/>
      </w:pPr>
      <w:r>
        <w:rPr>
          <w:rFonts w:ascii="Calibri" w:hAnsi="Calibri"/>
          <w:color w:val="333333"/>
          <w:sz w:val="21"/>
        </w:rPr>
        <w:t>RPA — AR/AP Automation — $400K</w:t>
      </w:r>
    </w:p>
    <w:p>
      <w:pPr>
        <w:pStyle w:val="ListBullet"/>
        <w:spacing w:before="0" w:after="60" w:line="288" w:lineRule="auto"/>
      </w:pPr>
      <w:r>
        <w:rPr>
          <w:rFonts w:ascii="Calibri" w:hAnsi="Calibri"/>
          <w:color w:val="333333"/>
          <w:sz w:val="21"/>
        </w:rPr>
        <w:t>Digital Platform Enhancements (member portal, mobile) — $800K</w:t>
      </w:r>
    </w:p>
    <w:p>
      <w:pPr>
        <w:pStyle w:val="ListBullet"/>
        <w:spacing w:before="0" w:after="60" w:line="288" w:lineRule="auto"/>
      </w:pPr>
      <w:r>
        <w:rPr>
          <w:rFonts w:ascii="Calibri" w:hAnsi="Calibri"/>
          <w:color w:val="333333"/>
          <w:sz w:val="21"/>
        </w:rPr>
        <w:t>AI Governance Council, policies, and talent — $700K</w:t>
      </w:r>
    </w:p>
    <w:p>
      <w:pPr>
        <w:pStyle w:val="Heading3"/>
        <w:spacing w:before="200" w:after="80" w:line="276" w:lineRule="auto"/>
      </w:pPr>
      <w:r>
        <w:t>Year 1 Success Metrics</w:t>
      </w:r>
    </w:p>
    <w:p>
      <w:pPr>
        <w:pStyle w:val="ListBullet"/>
        <w:spacing w:before="0" w:after="80" w:line="288" w:lineRule="auto"/>
      </w:pPr>
      <w:r>
        <w:rPr>
          <w:rFonts w:ascii="Calibri" w:hAnsi="Calibri"/>
          <w:b/>
          <w:color w:val="003A70"/>
          <w:sz w:val="21"/>
        </w:rPr>
        <w:t xml:space="preserve">Cyber: </w:t>
      </w:r>
      <w:r>
        <w:rPr>
          <w:rFonts w:ascii="Calibri" w:hAnsi="Calibri"/>
          <w:color w:val="333333"/>
          <w:sz w:val="21"/>
        </w:rPr>
        <w:t>Zero critical vulnerabilities unmitigated &gt;30 days; 100% MFA coverage; incident response plan tested.</w:t>
      </w:r>
    </w:p>
    <w:p>
      <w:pPr>
        <w:pStyle w:val="ListBullet"/>
        <w:spacing w:before="0" w:after="80" w:line="288" w:lineRule="auto"/>
      </w:pPr>
      <w:r>
        <w:rPr>
          <w:rFonts w:ascii="Calibri" w:hAnsi="Calibri"/>
          <w:b/>
          <w:color w:val="003A70"/>
          <w:sz w:val="21"/>
        </w:rPr>
        <w:t xml:space="preserve">AI: </w:t>
      </w:r>
      <w:r>
        <w:rPr>
          <w:rFonts w:ascii="Calibri" w:hAnsi="Calibri"/>
          <w:color w:val="333333"/>
          <w:sz w:val="21"/>
        </w:rPr>
        <w:t>Credit scoring model live; GenAI pilot demonstrates ≥20% productivity gain in target workflows.</w:t>
      </w:r>
    </w:p>
    <w:p>
      <w:pPr>
        <w:pStyle w:val="ListBullet"/>
        <w:spacing w:before="0" w:after="80" w:line="288" w:lineRule="auto"/>
      </w:pPr>
      <w:r>
        <w:rPr>
          <w:rFonts w:ascii="Calibri" w:hAnsi="Calibri"/>
          <w:b/>
          <w:color w:val="003A70"/>
          <w:sz w:val="21"/>
        </w:rPr>
        <w:t xml:space="preserve">Cloud/Data: </w:t>
      </w:r>
      <w:r>
        <w:rPr>
          <w:rFonts w:ascii="Calibri" w:hAnsi="Calibri"/>
          <w:color w:val="333333"/>
          <w:sz w:val="21"/>
        </w:rPr>
        <w:t>Lakehouse v1 operational; 3 core data domains migrated.</w:t>
      </w:r>
    </w:p>
    <w:p>
      <w:pPr>
        <w:pStyle w:val="ListBullet"/>
        <w:spacing w:before="0" w:after="80" w:line="288" w:lineRule="auto"/>
      </w:pPr>
      <w:r>
        <w:rPr>
          <w:rFonts w:ascii="Calibri" w:hAnsi="Calibri"/>
          <w:b/>
          <w:color w:val="003A70"/>
          <w:sz w:val="21"/>
        </w:rPr>
        <w:t xml:space="preserve">Governance: </w:t>
      </w:r>
      <w:r>
        <w:rPr>
          <w:rFonts w:ascii="Calibri" w:hAnsi="Calibri"/>
          <w:color w:val="333333"/>
          <w:sz w:val="21"/>
        </w:rPr>
        <w:t>AI Council operational; AI Use Policy published; NIST AI RMF adoption documented.</w:t>
      </w:r>
    </w:p>
    <w:p>
      <w:pPr>
        <w:pStyle w:val="Heading2"/>
        <w:spacing w:before="280" w:after="120" w:line="276" w:lineRule="auto"/>
      </w:pPr>
      <w:r>
        <w:t>7.3 Horizon 2: Transformation (Years 2–5)</w:t>
      </w:r>
    </w:p>
    <w:p>
      <w:pPr>
        <w:spacing w:before="0" w:after="160" w:line="300" w:lineRule="auto"/>
      </w:pPr>
      <w:r>
        <w:rPr>
          <w:rFonts w:ascii="Calibri" w:hAnsi="Calibri"/>
          <w:b w:val="0"/>
          <w:i w:val="0"/>
          <w:sz w:val="21"/>
        </w:rPr>
        <w:t>Horizon 2 is about scaling what works, answering the disruption threat with a digital auction platform, and building the AI capability layer.</w:t>
      </w:r>
    </w:p>
    <w:p>
      <w:pPr>
        <w:pStyle w:val="Heading3"/>
        <w:spacing w:before="200" w:after="80" w:line="276" w:lineRule="auto"/>
      </w:pPr>
      <w:r>
        <w:t>Priorities</w:t>
      </w:r>
    </w:p>
    <w:p>
      <w:pPr>
        <w:pStyle w:val="ListBullet"/>
        <w:spacing w:before="0" w:after="60" w:line="288" w:lineRule="auto"/>
      </w:pPr>
      <w:r>
        <w:rPr>
          <w:rFonts w:ascii="Calibri" w:hAnsi="Calibri"/>
          <w:color w:val="333333"/>
          <w:sz w:val="21"/>
        </w:rPr>
        <w:t>ML Credit Scoring v2 (production-scale, ML-enhanced)</w:t>
      </w:r>
    </w:p>
    <w:p>
      <w:pPr>
        <w:pStyle w:val="ListBullet"/>
        <w:spacing w:before="0" w:after="60" w:line="288" w:lineRule="auto"/>
      </w:pPr>
      <w:r>
        <w:rPr>
          <w:rFonts w:ascii="Calibri" w:hAnsi="Calibri"/>
          <w:color w:val="333333"/>
          <w:sz w:val="21"/>
        </w:rPr>
        <w:t>Price Prediction &amp; Market Intelligence models</w:t>
      </w:r>
    </w:p>
    <w:p>
      <w:pPr>
        <w:pStyle w:val="ListBullet"/>
        <w:spacing w:before="0" w:after="60" w:line="288" w:lineRule="auto"/>
      </w:pPr>
      <w:r>
        <w:rPr>
          <w:rFonts w:ascii="Calibri" w:hAnsi="Calibri"/>
          <w:color w:val="333333"/>
          <w:sz w:val="21"/>
        </w:rPr>
        <w:t>Digital Auction Platform (hybrid physical/online)</w:t>
      </w:r>
    </w:p>
    <w:p>
      <w:pPr>
        <w:pStyle w:val="ListBullet"/>
        <w:spacing w:before="0" w:after="60" w:line="288" w:lineRule="auto"/>
      </w:pPr>
      <w:r>
        <w:rPr>
          <w:rFonts w:ascii="Calibri" w:hAnsi="Calibri"/>
          <w:color w:val="333333"/>
          <w:sz w:val="21"/>
        </w:rPr>
        <w:t>Computer Vision pilots (weight estimation, identification)</w:t>
      </w:r>
    </w:p>
    <w:p>
      <w:pPr>
        <w:pStyle w:val="ListBullet"/>
        <w:spacing w:before="0" w:after="60" w:line="288" w:lineRule="auto"/>
      </w:pPr>
      <w:r>
        <w:rPr>
          <w:rFonts w:ascii="Calibri" w:hAnsi="Calibri"/>
          <w:color w:val="333333"/>
          <w:sz w:val="21"/>
        </w:rPr>
        <w:t>IoT/EID integration pilots</w:t>
      </w:r>
    </w:p>
    <w:p>
      <w:pPr>
        <w:pStyle w:val="ListBullet"/>
        <w:spacing w:before="0" w:after="60" w:line="288" w:lineRule="auto"/>
      </w:pPr>
      <w:r>
        <w:rPr>
          <w:rFonts w:ascii="Calibri" w:hAnsi="Calibri"/>
          <w:color w:val="333333"/>
          <w:sz w:val="21"/>
        </w:rPr>
        <w:t>Full platform modernization (complete cloud migration)</w:t>
      </w:r>
    </w:p>
    <w:p>
      <w:pPr>
        <w:pStyle w:val="ListBullet"/>
        <w:spacing w:before="0" w:after="60" w:line="288" w:lineRule="auto"/>
      </w:pPr>
      <w:r>
        <w:rPr>
          <w:rFonts w:ascii="Calibri" w:hAnsi="Calibri"/>
          <w:color w:val="333333"/>
          <w:sz w:val="21"/>
        </w:rPr>
        <w:t>RPA expansion to compliance, settlement, reporting</w:t>
      </w:r>
    </w:p>
    <w:p>
      <w:pPr>
        <w:pStyle w:val="Heading3"/>
        <w:spacing w:before="200" w:after="80" w:line="276" w:lineRule="auto"/>
      </w:pPr>
      <w:r>
        <w:t>Year 5 Success Metrics</w:t>
      </w:r>
    </w:p>
    <w:p>
      <w:pPr>
        <w:pStyle w:val="ListBullet"/>
        <w:spacing w:before="0" w:after="80" w:line="288" w:lineRule="auto"/>
      </w:pPr>
      <w:r>
        <w:rPr>
          <w:rFonts w:ascii="Calibri" w:hAnsi="Calibri"/>
          <w:b/>
          <w:color w:val="003A70"/>
          <w:sz w:val="21"/>
        </w:rPr>
        <w:t xml:space="preserve">Competitive: </w:t>
      </w:r>
      <w:r>
        <w:rPr>
          <w:rFonts w:ascii="Calibri" w:hAnsi="Calibri"/>
          <w:color w:val="333333"/>
          <w:sz w:val="21"/>
        </w:rPr>
        <w:t>Digital auction capturing ≥25% of transaction volume; member NPS ≥45.</w:t>
      </w:r>
    </w:p>
    <w:p>
      <w:pPr>
        <w:pStyle w:val="ListBullet"/>
        <w:spacing w:before="0" w:after="80" w:line="288" w:lineRule="auto"/>
      </w:pPr>
      <w:r>
        <w:rPr>
          <w:rFonts w:ascii="Calibri" w:hAnsi="Calibri"/>
          <w:b/>
          <w:color w:val="003A70"/>
          <w:sz w:val="21"/>
        </w:rPr>
        <w:t xml:space="preserve">AI: </w:t>
      </w:r>
      <w:r>
        <w:rPr>
          <w:rFonts w:ascii="Calibri" w:hAnsi="Calibri"/>
          <w:color w:val="333333"/>
          <w:sz w:val="21"/>
        </w:rPr>
        <w:t>5+ AI models in production with measured business impact; model risk management operational.</w:t>
      </w:r>
    </w:p>
    <w:p>
      <w:pPr>
        <w:pStyle w:val="ListBullet"/>
        <w:spacing w:before="0" w:after="80" w:line="288" w:lineRule="auto"/>
      </w:pPr>
      <w:r>
        <w:rPr>
          <w:rFonts w:ascii="Calibri" w:hAnsi="Calibri"/>
          <w:b/>
          <w:color w:val="003A70"/>
          <w:sz w:val="21"/>
        </w:rPr>
        <w:t xml:space="preserve">Financial: </w:t>
      </w:r>
      <w:r>
        <w:rPr>
          <w:rFonts w:ascii="Calibri" w:hAnsi="Calibri"/>
          <w:color w:val="333333"/>
          <w:sz w:val="21"/>
        </w:rPr>
        <w:t>Cumulative program NPV ≥ $14M; tech debt drag reduced by 50%.</w:t>
      </w:r>
    </w:p>
    <w:p>
      <w:pPr>
        <w:pStyle w:val="ListBullet"/>
        <w:spacing w:before="0" w:after="80" w:line="288" w:lineRule="auto"/>
      </w:pPr>
      <w:r>
        <w:rPr>
          <w:rFonts w:ascii="Calibri" w:hAnsi="Calibri"/>
          <w:b/>
          <w:color w:val="003A70"/>
          <w:sz w:val="21"/>
        </w:rPr>
        <w:t xml:space="preserve">Digital Maturity: </w:t>
      </w:r>
      <w:r>
        <w:rPr>
          <w:rFonts w:ascii="Calibri" w:hAnsi="Calibri"/>
          <w:color w:val="333333"/>
          <w:sz w:val="21"/>
        </w:rPr>
        <w:t>PLMA maturity score ≥3.5/5 (from 2.25 baseline).</w:t>
      </w:r>
    </w:p>
    <w:p>
      <w:pPr>
        <w:pStyle w:val="Heading2"/>
        <w:spacing w:before="280" w:after="120" w:line="276" w:lineRule="auto"/>
      </w:pPr>
      <w:r>
        <w:t>7.4 Horizon 3: Reinvention (Years 6–10)</w:t>
      </w:r>
    </w:p>
    <w:p>
      <w:pPr>
        <w:spacing w:before="0" w:after="160" w:line="300" w:lineRule="auto"/>
      </w:pPr>
      <w:r>
        <w:rPr>
          <w:rFonts w:ascii="Calibri" w:hAnsi="Calibri"/>
          <w:b w:val="0"/>
          <w:i w:val="0"/>
          <w:sz w:val="21"/>
        </w:rPr>
        <w:t>Horizon 3 is about moving beyond being a livestock marketing cooperative to being an agricultural risk and market intelligence platform.</w:t>
      </w:r>
    </w:p>
    <w:p>
      <w:pPr>
        <w:pStyle w:val="Heading3"/>
        <w:spacing w:before="200" w:after="80" w:line="276" w:lineRule="auto"/>
      </w:pPr>
      <w:r>
        <w:t>Priorities</w:t>
      </w:r>
    </w:p>
    <w:p>
      <w:pPr>
        <w:pStyle w:val="ListBullet"/>
        <w:spacing w:before="0" w:after="60" w:line="288" w:lineRule="auto"/>
      </w:pPr>
      <w:r>
        <w:rPr>
          <w:rFonts w:ascii="Calibri" w:hAnsi="Calibri"/>
          <w:color w:val="333333"/>
          <w:sz w:val="21"/>
        </w:rPr>
        <w:t>AI-native operating model: AI agents embedded in core workflows</w:t>
      </w:r>
    </w:p>
    <w:p>
      <w:pPr>
        <w:pStyle w:val="ListBullet"/>
        <w:spacing w:before="0" w:after="60" w:line="288" w:lineRule="auto"/>
      </w:pPr>
      <w:r>
        <w:rPr>
          <w:rFonts w:ascii="Calibri" w:hAnsi="Calibri"/>
          <w:color w:val="333333"/>
          <w:sz w:val="21"/>
        </w:rPr>
        <w:t>Platform business plays: data monetization, fee-based advisory services</w:t>
      </w:r>
    </w:p>
    <w:p>
      <w:pPr>
        <w:pStyle w:val="ListBullet"/>
        <w:spacing w:before="0" w:after="60" w:line="288" w:lineRule="auto"/>
      </w:pPr>
      <w:r>
        <w:rPr>
          <w:rFonts w:ascii="Calibri" w:hAnsi="Calibri"/>
          <w:color w:val="333333"/>
          <w:sz w:val="21"/>
        </w:rPr>
        <w:t>Ecosystem orchestration: partnerships with banks, insurers, processors</w:t>
      </w:r>
    </w:p>
    <w:p>
      <w:pPr>
        <w:pStyle w:val="ListBullet"/>
        <w:spacing w:before="0" w:after="60" w:line="288" w:lineRule="auto"/>
      </w:pPr>
      <w:r>
        <w:rPr>
          <w:rFonts w:ascii="Calibri" w:hAnsi="Calibri"/>
          <w:color w:val="333333"/>
          <w:sz w:val="21"/>
        </w:rPr>
        <w:t>Cooperative capital restructuring aligned to platform economics</w:t>
      </w:r>
    </w:p>
    <w:p>
      <w:pPr>
        <w:pStyle w:val="Heading3"/>
        <w:spacing w:before="200" w:after="80" w:line="276" w:lineRule="auto"/>
      </w:pPr>
      <w:r>
        <w:t>Year 10 Success Metrics</w:t>
      </w:r>
    </w:p>
    <w:p>
      <w:pPr>
        <w:pStyle w:val="ListBullet"/>
        <w:spacing w:before="0" w:after="80" w:line="288" w:lineRule="auto"/>
      </w:pPr>
      <w:r>
        <w:rPr>
          <w:rFonts w:ascii="Calibri" w:hAnsi="Calibri"/>
          <w:b/>
          <w:color w:val="003A70"/>
          <w:sz w:val="21"/>
        </w:rPr>
        <w:t xml:space="preserve">Strategic: </w:t>
      </w:r>
      <w:r>
        <w:rPr>
          <w:rFonts w:ascii="Calibri" w:hAnsi="Calibri"/>
          <w:color w:val="333333"/>
          <w:sz w:val="21"/>
        </w:rPr>
        <w:t>15-20% of revenue from fee-based/platform services (non-commission).</w:t>
      </w:r>
    </w:p>
    <w:p>
      <w:pPr>
        <w:pStyle w:val="ListBullet"/>
        <w:spacing w:before="0" w:after="80" w:line="288" w:lineRule="auto"/>
      </w:pPr>
      <w:r>
        <w:rPr>
          <w:rFonts w:ascii="Calibri" w:hAnsi="Calibri"/>
          <w:b/>
          <w:color w:val="003A70"/>
          <w:sz w:val="21"/>
        </w:rPr>
        <w:t xml:space="preserve">Financial: </w:t>
      </w:r>
      <w:r>
        <w:rPr>
          <w:rFonts w:ascii="Calibri" w:hAnsi="Calibri"/>
          <w:color w:val="333333"/>
          <w:sz w:val="21"/>
        </w:rPr>
        <w:t>Cumulative program NPV ≥$34M; EBITDA margin expansion of 300-500 bps.</w:t>
      </w:r>
    </w:p>
    <w:p>
      <w:pPr>
        <w:pStyle w:val="ListBullet"/>
        <w:spacing w:before="0" w:after="80" w:line="288" w:lineRule="auto"/>
      </w:pPr>
      <w:r>
        <w:rPr>
          <w:rFonts w:ascii="Calibri" w:hAnsi="Calibri"/>
          <w:b/>
          <w:color w:val="003A70"/>
          <w:sz w:val="21"/>
        </w:rPr>
        <w:t xml:space="preserve">Competitive: </w:t>
      </w:r>
      <w:r>
        <w:rPr>
          <w:rFonts w:ascii="Calibri" w:hAnsi="Calibri"/>
          <w:color w:val="333333"/>
          <w:sz w:val="21"/>
        </w:rPr>
        <w:t>PLMA is the reference operator in ag-tech for livestock marketing coops.</w:t>
      </w:r>
    </w:p>
    <w:p>
      <w:r>
        <w:br w:type="page"/>
      </w:r>
    </w:p>
    <w:p>
      <w:pPr>
        <w:pStyle w:val="Heading1"/>
        <w:spacing w:before="0" w:after="240" w:line="276" w:lineRule="auto"/>
        <w:pBdr>
          <w:bottom w:val="single" w:sz="12" w:space="4" w:color="003A70"/>
        </w:pBdr>
      </w:pPr>
      <w:r>
        <w:t>8. Financial Model: Tech Investment Economics</w:t>
      </w:r>
    </w:p>
    <w:p>
      <w:pPr>
        <w:pStyle w:val="Heading2"/>
        <w:spacing w:before="280" w:after="120" w:line="276" w:lineRule="auto"/>
      </w:pPr>
      <w:r>
        <w:t>8.1 Methodology &amp; Assumptions</w:t>
      </w:r>
    </w:p>
    <w:p>
      <w:pPr>
        <w:spacing w:before="0" w:after="160" w:line="300" w:lineRule="auto"/>
      </w:pPr>
      <w:r>
        <w:rPr>
          <w:rFonts w:ascii="Calibri" w:hAnsi="Calibri"/>
          <w:b w:val="0"/>
          <w:i w:val="0"/>
          <w:sz w:val="21"/>
        </w:rPr>
        <w:t>This section quantifies the technology transformation program's economics. We use conventional DCF with an 8% discount rate (consistent with Report #1 and typical cooperative cost-of-capital). Benefits ramp over 2 years to steady state. Sensitivity analysis tests six variables across reasonable ranges.</w:t>
      </w:r>
    </w:p>
    <w:p>
      <w:pPr>
        <w:pStyle w:val="Heading2"/>
        <w:spacing w:before="280" w:after="120" w:line="276" w:lineRule="auto"/>
      </w:pPr>
      <w:r>
        <w:t>8.2 Program Costs</w:t>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pPr>
              <w:spacing w:before="0" w:after="40" w:line="276" w:lineRule="auto"/>
            </w:pPr>
            <w:r/>
            <w:r>
              <w:rPr>
                <w:rFonts w:ascii="Calibri" w:hAnsi="Calibri"/>
                <w:b/>
                <w:color w:val="FFFFFF"/>
                <w:sz w:val="19"/>
              </w:rPr>
              <w:t>Year 1 Investment Item</w:t>
            </w:r>
          </w:p>
        </w:tc>
        <w:tc>
          <w:tcPr>
            <w:tcW w:type="dxa" w:w="2160"/>
            <w:shd w:val="clear" w:color="auto" w:fill="003A70"/>
            <w:vAlign w:val="center"/>
          </w:tcPr>
          <w:p>
            <w:pPr>
              <w:spacing w:before="0" w:after="40" w:line="276" w:lineRule="auto"/>
            </w:pPr>
            <w:r/>
            <w:r>
              <w:rPr>
                <w:rFonts w:ascii="Calibri" w:hAnsi="Calibri"/>
                <w:b/>
                <w:color w:val="FFFFFF"/>
                <w:sz w:val="19"/>
              </w:rPr>
              <w:t>Amount</w:t>
            </w:r>
          </w:p>
        </w:tc>
      </w:tr>
      <w:tr>
        <w:tc>
          <w:tcPr>
            <w:tcW w:type="dxa" w:w="6480"/>
            <w:vAlign w:val="center"/>
          </w:tcPr>
          <w:p>
            <w:pPr>
              <w:spacing w:before="0" w:after="40" w:line="276" w:lineRule="auto"/>
            </w:pPr>
            <w:r/>
            <w:r>
              <w:rPr>
                <w:rFonts w:ascii="Calibri" w:hAnsi="Calibri"/>
                <w:color w:val="333333"/>
                <w:sz w:val="19"/>
              </w:rPr>
              <w:t>Cybersecurity hardening (Zero Trust, EDR, SOC)</w:t>
            </w:r>
          </w:p>
        </w:tc>
        <w:tc>
          <w:tcPr>
            <w:tcW w:type="dxa" w:w="2160"/>
            <w:vAlign w:val="center"/>
          </w:tcPr>
          <w:p>
            <w:pPr>
              <w:spacing w:before="0" w:after="40" w:line="276" w:lineRule="auto"/>
            </w:pPr>
            <w:r/>
            <w:r>
              <w:rPr>
                <w:rFonts w:ascii="Calibri" w:hAnsi="Calibri"/>
                <w:color w:val="333333"/>
                <w:sz w:val="19"/>
              </w:rPr>
              <w:t>$900K</w:t>
            </w:r>
          </w:p>
        </w:tc>
      </w:tr>
      <w:tr>
        <w:tc>
          <w:tcPr>
            <w:tcW w:type="dxa" w:w="6480"/>
            <w:shd w:val="clear" w:color="auto" w:fill="F2F2F2"/>
            <w:vAlign w:val="center"/>
          </w:tcPr>
          <w:p>
            <w:pPr>
              <w:spacing w:before="0" w:after="40" w:line="276" w:lineRule="auto"/>
            </w:pPr>
            <w:r/>
            <w:r>
              <w:rPr>
                <w:rFonts w:ascii="Calibri" w:hAnsi="Calibri"/>
                <w:color w:val="333333"/>
                <w:sz w:val="19"/>
              </w:rPr>
              <w:t>Cloud / Data Platform v1</w:t>
            </w:r>
          </w:p>
        </w:tc>
        <w:tc>
          <w:tcPr>
            <w:tcW w:type="dxa" w:w="2160"/>
            <w:shd w:val="clear" w:color="auto" w:fill="F2F2F2"/>
            <w:vAlign w:val="center"/>
          </w:tcPr>
          <w:p>
            <w:pPr>
              <w:spacing w:before="0" w:after="40" w:line="276" w:lineRule="auto"/>
            </w:pPr>
            <w:r/>
            <w:r>
              <w:rPr>
                <w:rFonts w:ascii="Calibri" w:hAnsi="Calibri"/>
                <w:color w:val="333333"/>
                <w:sz w:val="19"/>
              </w:rPr>
              <w:t>$1200K</w:t>
            </w:r>
          </w:p>
        </w:tc>
      </w:tr>
      <w:tr>
        <w:tc>
          <w:tcPr>
            <w:tcW w:type="dxa" w:w="6480"/>
            <w:vAlign w:val="center"/>
          </w:tcPr>
          <w:p>
            <w:pPr>
              <w:spacing w:before="0" w:after="40" w:line="276" w:lineRule="auto"/>
            </w:pPr>
            <w:r/>
            <w:r>
              <w:rPr>
                <w:rFonts w:ascii="Calibri" w:hAnsi="Calibri"/>
                <w:color w:val="333333"/>
                <w:sz w:val="19"/>
              </w:rPr>
              <w:t>AI Credit Scoring v1 (shared w/ Report #1)</w:t>
            </w:r>
          </w:p>
        </w:tc>
        <w:tc>
          <w:tcPr>
            <w:tcW w:type="dxa" w:w="2160"/>
            <w:vAlign w:val="center"/>
          </w:tcPr>
          <w:p>
            <w:pPr>
              <w:spacing w:before="0" w:after="40" w:line="276" w:lineRule="auto"/>
            </w:pPr>
            <w:r/>
            <w:r>
              <w:rPr>
                <w:rFonts w:ascii="Calibri" w:hAnsi="Calibri"/>
                <w:color w:val="333333"/>
                <w:sz w:val="19"/>
              </w:rPr>
              <w:t>$350K</w:t>
            </w:r>
          </w:p>
        </w:tc>
      </w:tr>
      <w:tr>
        <w:tc>
          <w:tcPr>
            <w:tcW w:type="dxa" w:w="6480"/>
            <w:shd w:val="clear" w:color="auto" w:fill="F2F2F2"/>
            <w:vAlign w:val="center"/>
          </w:tcPr>
          <w:p>
            <w:pPr>
              <w:spacing w:before="0" w:after="40" w:line="276" w:lineRule="auto"/>
            </w:pPr>
            <w:r/>
            <w:r>
              <w:rPr>
                <w:rFonts w:ascii="Calibri" w:hAnsi="Calibri"/>
                <w:color w:val="333333"/>
                <w:sz w:val="19"/>
              </w:rPr>
              <w:t>GenAI Pilots (back-office, research)</w:t>
            </w:r>
          </w:p>
        </w:tc>
        <w:tc>
          <w:tcPr>
            <w:tcW w:type="dxa" w:w="2160"/>
            <w:shd w:val="clear" w:color="auto" w:fill="F2F2F2"/>
            <w:vAlign w:val="center"/>
          </w:tcPr>
          <w:p>
            <w:pPr>
              <w:spacing w:before="0" w:after="40" w:line="276" w:lineRule="auto"/>
            </w:pPr>
            <w:r/>
            <w:r>
              <w:rPr>
                <w:rFonts w:ascii="Calibri" w:hAnsi="Calibri"/>
                <w:color w:val="333333"/>
                <w:sz w:val="19"/>
              </w:rPr>
              <w:t>$450K</w:t>
            </w:r>
          </w:p>
        </w:tc>
      </w:tr>
      <w:tr>
        <w:tc>
          <w:tcPr>
            <w:tcW w:type="dxa" w:w="6480"/>
            <w:vAlign w:val="center"/>
          </w:tcPr>
          <w:p>
            <w:pPr>
              <w:spacing w:before="0" w:after="40" w:line="276" w:lineRule="auto"/>
            </w:pPr>
            <w:r/>
            <w:r>
              <w:rPr>
                <w:rFonts w:ascii="Calibri" w:hAnsi="Calibri"/>
                <w:color w:val="333333"/>
                <w:sz w:val="19"/>
              </w:rPr>
              <w:t>RPA / Workflow Automation</w:t>
            </w:r>
          </w:p>
        </w:tc>
        <w:tc>
          <w:tcPr>
            <w:tcW w:type="dxa" w:w="2160"/>
            <w:vAlign w:val="center"/>
          </w:tcPr>
          <w:p>
            <w:pPr>
              <w:spacing w:before="0" w:after="40" w:line="276" w:lineRule="auto"/>
            </w:pPr>
            <w:r/>
            <w:r>
              <w:rPr>
                <w:rFonts w:ascii="Calibri" w:hAnsi="Calibri"/>
                <w:color w:val="333333"/>
                <w:sz w:val="19"/>
              </w:rPr>
              <w:t>$400K</w:t>
            </w:r>
          </w:p>
        </w:tc>
      </w:tr>
      <w:tr>
        <w:tc>
          <w:tcPr>
            <w:tcW w:type="dxa" w:w="6480"/>
            <w:shd w:val="clear" w:color="auto" w:fill="F2F2F2"/>
            <w:vAlign w:val="center"/>
          </w:tcPr>
          <w:p>
            <w:pPr>
              <w:spacing w:before="0" w:after="40" w:line="276" w:lineRule="auto"/>
            </w:pPr>
            <w:r/>
            <w:r>
              <w:rPr>
                <w:rFonts w:ascii="Calibri" w:hAnsi="Calibri"/>
                <w:color w:val="333333"/>
                <w:sz w:val="19"/>
              </w:rPr>
              <w:t>Digital Platform Enhancements</w:t>
            </w:r>
          </w:p>
        </w:tc>
        <w:tc>
          <w:tcPr>
            <w:tcW w:type="dxa" w:w="2160"/>
            <w:shd w:val="clear" w:color="auto" w:fill="F2F2F2"/>
            <w:vAlign w:val="center"/>
          </w:tcPr>
          <w:p>
            <w:pPr>
              <w:spacing w:before="0" w:after="40" w:line="276" w:lineRule="auto"/>
            </w:pPr>
            <w:r/>
            <w:r>
              <w:rPr>
                <w:rFonts w:ascii="Calibri" w:hAnsi="Calibri"/>
                <w:color w:val="333333"/>
                <w:sz w:val="19"/>
              </w:rPr>
              <w:t>$800K</w:t>
            </w:r>
          </w:p>
        </w:tc>
      </w:tr>
      <w:tr>
        <w:tc>
          <w:tcPr>
            <w:tcW w:type="dxa" w:w="6480"/>
            <w:vAlign w:val="center"/>
          </w:tcPr>
          <w:p>
            <w:pPr>
              <w:spacing w:before="0" w:after="40" w:line="276" w:lineRule="auto"/>
            </w:pPr>
            <w:r/>
            <w:r>
              <w:rPr>
                <w:rFonts w:ascii="Calibri" w:hAnsi="Calibri"/>
                <w:color w:val="333333"/>
                <w:sz w:val="19"/>
              </w:rPr>
              <w:t>AI Governance &amp; Talent</w:t>
            </w:r>
          </w:p>
        </w:tc>
        <w:tc>
          <w:tcPr>
            <w:tcW w:type="dxa" w:w="2160"/>
            <w:vAlign w:val="center"/>
          </w:tcPr>
          <w:p>
            <w:pPr>
              <w:spacing w:before="0" w:after="40" w:line="276" w:lineRule="auto"/>
            </w:pPr>
            <w:r/>
            <w:r>
              <w:rPr>
                <w:rFonts w:ascii="Calibri" w:hAnsi="Calibri"/>
                <w:color w:val="333333"/>
                <w:sz w:val="19"/>
              </w:rPr>
              <w:t>$700K</w:t>
            </w:r>
          </w:p>
        </w:tc>
      </w:tr>
      <w:tr>
        <w:tc>
          <w:tcPr>
            <w:tcW w:type="dxa" w:w="6480"/>
            <w:shd w:val="clear" w:color="auto" w:fill="F2F2F2"/>
            <w:vAlign w:val="center"/>
          </w:tcPr>
          <w:p>
            <w:pPr>
              <w:spacing w:before="0" w:after="40" w:line="276" w:lineRule="auto"/>
            </w:pPr>
            <w:r/>
            <w:r>
              <w:rPr>
                <w:rFonts w:ascii="Calibri" w:hAnsi="Calibri"/>
                <w:color w:val="333333"/>
                <w:sz w:val="19"/>
              </w:rPr>
              <w:t>**TOTAL Year 1**</w:t>
            </w:r>
          </w:p>
        </w:tc>
        <w:tc>
          <w:tcPr>
            <w:tcW w:type="dxa" w:w="2160"/>
            <w:shd w:val="clear" w:color="auto" w:fill="F2F2F2"/>
            <w:vAlign w:val="center"/>
          </w:tcPr>
          <w:p>
            <w:pPr>
              <w:spacing w:before="0" w:after="40" w:line="276" w:lineRule="auto"/>
            </w:pPr>
            <w:r/>
            <w:r>
              <w:rPr>
                <w:rFonts w:ascii="Calibri" w:hAnsi="Calibri"/>
                <w:color w:val="333333"/>
                <w:sz w:val="19"/>
              </w:rPr>
              <w:t>$4800K</w:t>
            </w:r>
          </w:p>
        </w:tc>
      </w:tr>
    </w:tbl>
    <w:p>
      <w:pPr>
        <w:spacing w:before="0" w:after="160" w:line="288" w:lineRule="auto"/>
      </w:pPr>
      <w:r>
        <w:rPr>
          <w:rFonts w:ascii="Calibri" w:hAnsi="Calibri"/>
          <w:b w:val="0"/>
          <w:i w:val="0"/>
        </w:rPr>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pPr>
              <w:spacing w:before="0" w:after="40" w:line="276" w:lineRule="auto"/>
            </w:pPr>
            <w:r/>
            <w:r>
              <w:rPr>
                <w:rFonts w:ascii="Calibri" w:hAnsi="Calibri"/>
                <w:b/>
                <w:color w:val="FFFFFF"/>
                <w:sz w:val="19"/>
              </w:rPr>
              <w:t>Ongoing Annual Cost (Year 2+)</w:t>
            </w:r>
          </w:p>
        </w:tc>
        <w:tc>
          <w:tcPr>
            <w:tcW w:type="dxa" w:w="2160"/>
            <w:shd w:val="clear" w:color="auto" w:fill="003A70"/>
            <w:vAlign w:val="center"/>
          </w:tcPr>
          <w:p>
            <w:pPr>
              <w:spacing w:before="0" w:after="40" w:line="276" w:lineRule="auto"/>
            </w:pPr>
            <w:r/>
            <w:r>
              <w:rPr>
                <w:rFonts w:ascii="Calibri" w:hAnsi="Calibri"/>
                <w:b/>
                <w:color w:val="FFFFFF"/>
                <w:sz w:val="19"/>
              </w:rPr>
              <w:t>Amount</w:t>
            </w:r>
          </w:p>
        </w:tc>
      </w:tr>
      <w:tr>
        <w:tc>
          <w:tcPr>
            <w:tcW w:type="dxa" w:w="6480"/>
            <w:vAlign w:val="center"/>
          </w:tcPr>
          <w:p>
            <w:pPr>
              <w:spacing w:before="0" w:after="40" w:line="276" w:lineRule="auto"/>
            </w:pPr>
            <w:r/>
            <w:r>
              <w:rPr>
                <w:rFonts w:ascii="Calibri" w:hAnsi="Calibri"/>
                <w:color w:val="333333"/>
                <w:sz w:val="19"/>
              </w:rPr>
              <w:t>Cybersecurity operations &amp; licenses</w:t>
            </w:r>
          </w:p>
        </w:tc>
        <w:tc>
          <w:tcPr>
            <w:tcW w:type="dxa" w:w="2160"/>
            <w:vAlign w:val="center"/>
          </w:tcPr>
          <w:p>
            <w:pPr>
              <w:spacing w:before="0" w:after="40" w:line="276" w:lineRule="auto"/>
            </w:pPr>
            <w:r/>
            <w:r>
              <w:rPr>
                <w:rFonts w:ascii="Calibri" w:hAnsi="Calibri"/>
                <w:color w:val="333333"/>
                <w:sz w:val="19"/>
              </w:rPr>
              <w:t>$650K</w:t>
            </w:r>
          </w:p>
        </w:tc>
      </w:tr>
      <w:tr>
        <w:tc>
          <w:tcPr>
            <w:tcW w:type="dxa" w:w="6480"/>
            <w:shd w:val="clear" w:color="auto" w:fill="F2F2F2"/>
            <w:vAlign w:val="center"/>
          </w:tcPr>
          <w:p>
            <w:pPr>
              <w:spacing w:before="0" w:after="40" w:line="276" w:lineRule="auto"/>
            </w:pPr>
            <w:r/>
            <w:r>
              <w:rPr>
                <w:rFonts w:ascii="Calibri" w:hAnsi="Calibri"/>
                <w:color w:val="333333"/>
                <w:sz w:val="19"/>
              </w:rPr>
              <w:t>Cloud/data platform run-rate</w:t>
            </w:r>
          </w:p>
        </w:tc>
        <w:tc>
          <w:tcPr>
            <w:tcW w:type="dxa" w:w="2160"/>
            <w:shd w:val="clear" w:color="auto" w:fill="F2F2F2"/>
            <w:vAlign w:val="center"/>
          </w:tcPr>
          <w:p>
            <w:pPr>
              <w:spacing w:before="0" w:after="40" w:line="276" w:lineRule="auto"/>
            </w:pPr>
            <w:r/>
            <w:r>
              <w:rPr>
                <w:rFonts w:ascii="Calibri" w:hAnsi="Calibri"/>
                <w:color w:val="333333"/>
                <w:sz w:val="19"/>
              </w:rPr>
              <w:t>$550K</w:t>
            </w:r>
          </w:p>
        </w:tc>
      </w:tr>
      <w:tr>
        <w:tc>
          <w:tcPr>
            <w:tcW w:type="dxa" w:w="6480"/>
            <w:vAlign w:val="center"/>
          </w:tcPr>
          <w:p>
            <w:pPr>
              <w:spacing w:before="0" w:after="40" w:line="276" w:lineRule="auto"/>
            </w:pPr>
            <w:r/>
            <w:r>
              <w:rPr>
                <w:rFonts w:ascii="Calibri" w:hAnsi="Calibri"/>
                <w:color w:val="333333"/>
                <w:sz w:val="19"/>
              </w:rPr>
              <w:t>AI/ML platform &amp; tooling</w:t>
            </w:r>
          </w:p>
        </w:tc>
        <w:tc>
          <w:tcPr>
            <w:tcW w:type="dxa" w:w="2160"/>
            <w:vAlign w:val="center"/>
          </w:tcPr>
          <w:p>
            <w:pPr>
              <w:spacing w:before="0" w:after="40" w:line="276" w:lineRule="auto"/>
            </w:pPr>
            <w:r/>
            <w:r>
              <w:rPr>
                <w:rFonts w:ascii="Calibri" w:hAnsi="Calibri"/>
                <w:color w:val="333333"/>
                <w:sz w:val="19"/>
              </w:rPr>
              <w:t>$300K</w:t>
            </w:r>
          </w:p>
        </w:tc>
      </w:tr>
      <w:tr>
        <w:tc>
          <w:tcPr>
            <w:tcW w:type="dxa" w:w="6480"/>
            <w:shd w:val="clear" w:color="auto" w:fill="F2F2F2"/>
            <w:vAlign w:val="center"/>
          </w:tcPr>
          <w:p>
            <w:pPr>
              <w:spacing w:before="0" w:after="40" w:line="276" w:lineRule="auto"/>
            </w:pPr>
            <w:r/>
            <w:r>
              <w:rPr>
                <w:rFonts w:ascii="Calibri" w:hAnsi="Calibri"/>
                <w:color w:val="333333"/>
                <w:sz w:val="19"/>
              </w:rPr>
              <w:t>GenAI licenses &amp; API costs</w:t>
            </w:r>
          </w:p>
        </w:tc>
        <w:tc>
          <w:tcPr>
            <w:tcW w:type="dxa" w:w="2160"/>
            <w:shd w:val="clear" w:color="auto" w:fill="F2F2F2"/>
            <w:vAlign w:val="center"/>
          </w:tcPr>
          <w:p>
            <w:pPr>
              <w:spacing w:before="0" w:after="40" w:line="276" w:lineRule="auto"/>
            </w:pPr>
            <w:r/>
            <w:r>
              <w:rPr>
                <w:rFonts w:ascii="Calibri" w:hAnsi="Calibri"/>
                <w:color w:val="333333"/>
                <w:sz w:val="19"/>
              </w:rPr>
              <w:t>$220K</w:t>
            </w:r>
          </w:p>
        </w:tc>
      </w:tr>
      <w:tr>
        <w:tc>
          <w:tcPr>
            <w:tcW w:type="dxa" w:w="6480"/>
            <w:vAlign w:val="center"/>
          </w:tcPr>
          <w:p>
            <w:pPr>
              <w:spacing w:before="0" w:after="40" w:line="276" w:lineRule="auto"/>
            </w:pPr>
            <w:r/>
            <w:r>
              <w:rPr>
                <w:rFonts w:ascii="Calibri" w:hAnsi="Calibri"/>
                <w:color w:val="333333"/>
                <w:sz w:val="19"/>
              </w:rPr>
              <w:t>RPA maintenance</w:t>
            </w:r>
          </w:p>
        </w:tc>
        <w:tc>
          <w:tcPr>
            <w:tcW w:type="dxa" w:w="2160"/>
            <w:vAlign w:val="center"/>
          </w:tcPr>
          <w:p>
            <w:pPr>
              <w:spacing w:before="0" w:after="40" w:line="276" w:lineRule="auto"/>
            </w:pPr>
            <w:r/>
            <w:r>
              <w:rPr>
                <w:rFonts w:ascii="Calibri" w:hAnsi="Calibri"/>
                <w:color w:val="333333"/>
                <w:sz w:val="19"/>
              </w:rPr>
              <w:t>$140K</w:t>
            </w:r>
          </w:p>
        </w:tc>
      </w:tr>
      <w:tr>
        <w:tc>
          <w:tcPr>
            <w:tcW w:type="dxa" w:w="6480"/>
            <w:shd w:val="clear" w:color="auto" w:fill="F2F2F2"/>
            <w:vAlign w:val="center"/>
          </w:tcPr>
          <w:p>
            <w:pPr>
              <w:spacing w:before="0" w:after="40" w:line="276" w:lineRule="auto"/>
            </w:pPr>
            <w:r/>
            <w:r>
              <w:rPr>
                <w:rFonts w:ascii="Calibri" w:hAnsi="Calibri"/>
                <w:color w:val="333333"/>
                <w:sz w:val="19"/>
              </w:rPr>
              <w:t>Digital platform operations</w:t>
            </w:r>
          </w:p>
        </w:tc>
        <w:tc>
          <w:tcPr>
            <w:tcW w:type="dxa" w:w="2160"/>
            <w:shd w:val="clear" w:color="auto" w:fill="F2F2F2"/>
            <w:vAlign w:val="center"/>
          </w:tcPr>
          <w:p>
            <w:pPr>
              <w:spacing w:before="0" w:after="40" w:line="276" w:lineRule="auto"/>
            </w:pPr>
            <w:r/>
            <w:r>
              <w:rPr>
                <w:rFonts w:ascii="Calibri" w:hAnsi="Calibri"/>
                <w:color w:val="333333"/>
                <w:sz w:val="19"/>
              </w:rPr>
              <w:t>$380K</w:t>
            </w:r>
          </w:p>
        </w:tc>
      </w:tr>
      <w:tr>
        <w:tc>
          <w:tcPr>
            <w:tcW w:type="dxa" w:w="6480"/>
            <w:vAlign w:val="center"/>
          </w:tcPr>
          <w:p>
            <w:pPr>
              <w:spacing w:before="0" w:after="40" w:line="276" w:lineRule="auto"/>
            </w:pPr>
            <w:r/>
            <w:r>
              <w:rPr>
                <w:rFonts w:ascii="Calibri" w:hAnsi="Calibri"/>
                <w:color w:val="333333"/>
                <w:sz w:val="19"/>
              </w:rPr>
              <w:t>AI governance &amp; FTEs</w:t>
            </w:r>
          </w:p>
        </w:tc>
        <w:tc>
          <w:tcPr>
            <w:tcW w:type="dxa" w:w="2160"/>
            <w:vAlign w:val="center"/>
          </w:tcPr>
          <w:p>
            <w:pPr>
              <w:spacing w:before="0" w:after="40" w:line="276" w:lineRule="auto"/>
            </w:pPr>
            <w:r/>
            <w:r>
              <w:rPr>
                <w:rFonts w:ascii="Calibri" w:hAnsi="Calibri"/>
                <w:color w:val="333333"/>
                <w:sz w:val="19"/>
              </w:rPr>
              <w:t>$360K</w:t>
            </w:r>
          </w:p>
        </w:tc>
      </w:tr>
      <w:tr>
        <w:tc>
          <w:tcPr>
            <w:tcW w:type="dxa" w:w="6480"/>
            <w:shd w:val="clear" w:color="auto" w:fill="F2F2F2"/>
            <w:vAlign w:val="center"/>
          </w:tcPr>
          <w:p>
            <w:pPr>
              <w:spacing w:before="0" w:after="40" w:line="276" w:lineRule="auto"/>
            </w:pPr>
            <w:r/>
            <w:r>
              <w:rPr>
                <w:rFonts w:ascii="Calibri" w:hAnsi="Calibri"/>
                <w:color w:val="333333"/>
                <w:sz w:val="19"/>
              </w:rPr>
              <w:t>**TOTAL Ongoing Annual**</w:t>
            </w:r>
          </w:p>
        </w:tc>
        <w:tc>
          <w:tcPr>
            <w:tcW w:type="dxa" w:w="2160"/>
            <w:shd w:val="clear" w:color="auto" w:fill="F2F2F2"/>
            <w:vAlign w:val="center"/>
          </w:tcPr>
          <w:p>
            <w:pPr>
              <w:spacing w:before="0" w:after="40" w:line="276" w:lineRule="auto"/>
            </w:pPr>
            <w:r/>
            <w:r>
              <w:rPr>
                <w:rFonts w:ascii="Calibri" w:hAnsi="Calibri"/>
                <w:color w:val="333333"/>
                <w:sz w:val="19"/>
              </w:rPr>
              <w:t>$2600K</w:t>
            </w:r>
          </w:p>
        </w:tc>
      </w:tr>
    </w:tbl>
    <w:p>
      <w:pPr>
        <w:spacing w:before="0" w:after="160" w:line="288" w:lineRule="auto"/>
      </w:pPr>
      <w:r>
        <w:rPr>
          <w:rFonts w:ascii="Calibri" w:hAnsi="Calibri"/>
          <w:b w:val="0"/>
          <w:i w:val="0"/>
        </w:rPr>
      </w:r>
    </w:p>
    <w:p>
      <w:pPr>
        <w:pStyle w:val="Heading2"/>
        <w:spacing w:before="280" w:after="120" w:line="276" w:lineRule="auto"/>
      </w:pPr>
      <w:r>
        <w:t>8.3 Annual Benefits</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DE-DUPLICATION WITH REPORT #1</w:t>
            </w:r>
          </w:p>
          <w:p>
            <w:pPr>
              <w:spacing w:before="0" w:after="80" w:line="288" w:lineRule="auto"/>
            </w:pPr>
            <w:r>
              <w:rPr>
                <w:rFonts w:ascii="Calibri" w:hAnsi="Calibri"/>
                <w:color w:val="333333"/>
                <w:sz w:val="20"/>
              </w:rPr>
              <w:t>Credit loss avoidance in this model is INCREMENTAL to Report #1's credit risk mitigation program. Report #1 claims $1.8M/year from statistical credit scoring; this report claims an additional $900K/year from ML enhancement (the delta between ML and statistical models). Total combined credit loss avoidance: $2.7M/year. This is not double-counted.</w:t>
            </w:r>
          </w:p>
        </w:tc>
      </w:tr>
    </w:tbl>
    <w:p>
      <w:pPr>
        <w:spacing w:before="0" w:after="160" w:line="288" w:lineRule="auto"/>
      </w:pPr>
      <w:r>
        <w:rPr>
          <w:rFonts w:ascii="Calibri" w:hAnsi="Calibri"/>
          <w:b w:val="0"/>
          <w:i w:val="0"/>
        </w:rPr>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pPr>
              <w:spacing w:before="0" w:after="40" w:line="276" w:lineRule="auto"/>
            </w:pPr>
            <w:r/>
            <w:r>
              <w:rPr>
                <w:rFonts w:ascii="Calibri" w:hAnsi="Calibri"/>
                <w:b/>
                <w:color w:val="FFFFFF"/>
                <w:sz w:val="19"/>
              </w:rPr>
              <w:t>Benefit Category</w:t>
            </w:r>
          </w:p>
        </w:tc>
        <w:tc>
          <w:tcPr>
            <w:tcW w:type="dxa" w:w="2160"/>
            <w:shd w:val="clear" w:color="auto" w:fill="003A70"/>
            <w:vAlign w:val="center"/>
          </w:tcPr>
          <w:p>
            <w:pPr>
              <w:spacing w:before="0" w:after="40" w:line="276" w:lineRule="auto"/>
            </w:pPr>
            <w:r/>
            <w:r>
              <w:rPr>
                <w:rFonts w:ascii="Calibri" w:hAnsi="Calibri"/>
                <w:b/>
                <w:color w:val="FFFFFF"/>
                <w:sz w:val="19"/>
              </w:rPr>
              <w:t>Annual Value</w:t>
            </w:r>
          </w:p>
        </w:tc>
      </w:tr>
      <w:tr>
        <w:tc>
          <w:tcPr>
            <w:tcW w:type="dxa" w:w="6480"/>
            <w:vAlign w:val="center"/>
          </w:tcPr>
          <w:p>
            <w:pPr>
              <w:spacing w:before="0" w:after="40" w:line="276" w:lineRule="auto"/>
            </w:pPr>
            <w:r/>
            <w:r>
              <w:rPr>
                <w:rFonts w:ascii="Calibri" w:hAnsi="Calibri"/>
                <w:color w:val="333333"/>
                <w:sz w:val="19"/>
              </w:rPr>
              <w:t>Credit loss avoidance (incremental vs Report #1)</w:t>
            </w:r>
          </w:p>
        </w:tc>
        <w:tc>
          <w:tcPr>
            <w:tcW w:type="dxa" w:w="2160"/>
            <w:vAlign w:val="center"/>
          </w:tcPr>
          <w:p>
            <w:pPr>
              <w:spacing w:before="0" w:after="40" w:line="276" w:lineRule="auto"/>
            </w:pPr>
            <w:r/>
            <w:r>
              <w:rPr>
                <w:rFonts w:ascii="Calibri" w:hAnsi="Calibri"/>
                <w:color w:val="333333"/>
                <w:sz w:val="19"/>
              </w:rPr>
              <w:t>$900K</w:t>
            </w:r>
          </w:p>
        </w:tc>
      </w:tr>
      <w:tr>
        <w:tc>
          <w:tcPr>
            <w:tcW w:type="dxa" w:w="6480"/>
            <w:shd w:val="clear" w:color="auto" w:fill="F2F2F2"/>
            <w:vAlign w:val="center"/>
          </w:tcPr>
          <w:p>
            <w:pPr>
              <w:spacing w:before="0" w:after="40" w:line="276" w:lineRule="auto"/>
            </w:pPr>
            <w:r/>
            <w:r>
              <w:rPr>
                <w:rFonts w:ascii="Calibri" w:hAnsi="Calibri"/>
                <w:color w:val="333333"/>
                <w:sz w:val="19"/>
              </w:rPr>
              <w:t>Labor productivity (RPA + GenAI)</w:t>
            </w:r>
          </w:p>
        </w:tc>
        <w:tc>
          <w:tcPr>
            <w:tcW w:type="dxa" w:w="2160"/>
            <w:shd w:val="clear" w:color="auto" w:fill="F2F2F2"/>
            <w:vAlign w:val="center"/>
          </w:tcPr>
          <w:p>
            <w:pPr>
              <w:spacing w:before="0" w:after="40" w:line="276" w:lineRule="auto"/>
            </w:pPr>
            <w:r/>
            <w:r>
              <w:rPr>
                <w:rFonts w:ascii="Calibri" w:hAnsi="Calibri"/>
                <w:color w:val="333333"/>
                <w:sz w:val="19"/>
              </w:rPr>
              <w:t>$2400K</w:t>
            </w:r>
          </w:p>
        </w:tc>
      </w:tr>
      <w:tr>
        <w:tc>
          <w:tcPr>
            <w:tcW w:type="dxa" w:w="6480"/>
            <w:vAlign w:val="center"/>
          </w:tcPr>
          <w:p>
            <w:pPr>
              <w:spacing w:before="0" w:after="40" w:line="276" w:lineRule="auto"/>
            </w:pPr>
            <w:r/>
            <w:r>
              <w:rPr>
                <w:rFonts w:ascii="Calibri" w:hAnsi="Calibri"/>
                <w:color w:val="333333"/>
                <w:sz w:val="19"/>
              </w:rPr>
              <w:t>Cyber incident cost avoidance (expected value)</w:t>
            </w:r>
          </w:p>
        </w:tc>
        <w:tc>
          <w:tcPr>
            <w:tcW w:type="dxa" w:w="2160"/>
            <w:vAlign w:val="center"/>
          </w:tcPr>
          <w:p>
            <w:pPr>
              <w:spacing w:before="0" w:after="40" w:line="276" w:lineRule="auto"/>
            </w:pPr>
            <w:r/>
            <w:r>
              <w:rPr>
                <w:rFonts w:ascii="Calibri" w:hAnsi="Calibri"/>
                <w:color w:val="333333"/>
                <w:sz w:val="19"/>
              </w:rPr>
              <w:t>$1100K</w:t>
            </w:r>
          </w:p>
        </w:tc>
      </w:tr>
      <w:tr>
        <w:tc>
          <w:tcPr>
            <w:tcW w:type="dxa" w:w="6480"/>
            <w:shd w:val="clear" w:color="auto" w:fill="F2F2F2"/>
            <w:vAlign w:val="center"/>
          </w:tcPr>
          <w:p>
            <w:pPr>
              <w:spacing w:before="0" w:after="40" w:line="276" w:lineRule="auto"/>
            </w:pPr>
            <w:r/>
            <w:r>
              <w:rPr>
                <w:rFonts w:ascii="Calibri" w:hAnsi="Calibri"/>
                <w:color w:val="333333"/>
                <w:sz w:val="19"/>
              </w:rPr>
              <w:t>New digital revenue (platform services)</w:t>
            </w:r>
          </w:p>
        </w:tc>
        <w:tc>
          <w:tcPr>
            <w:tcW w:type="dxa" w:w="2160"/>
            <w:shd w:val="clear" w:color="auto" w:fill="F2F2F2"/>
            <w:vAlign w:val="center"/>
          </w:tcPr>
          <w:p>
            <w:pPr>
              <w:spacing w:before="0" w:after="40" w:line="276" w:lineRule="auto"/>
            </w:pPr>
            <w:r/>
            <w:r>
              <w:rPr>
                <w:rFonts w:ascii="Calibri" w:hAnsi="Calibri"/>
                <w:color w:val="333333"/>
                <w:sz w:val="19"/>
              </w:rPr>
              <w:t>$2200K</w:t>
            </w:r>
          </w:p>
        </w:tc>
      </w:tr>
      <w:tr>
        <w:tc>
          <w:tcPr>
            <w:tcW w:type="dxa" w:w="6480"/>
            <w:vAlign w:val="center"/>
          </w:tcPr>
          <w:p>
            <w:pPr>
              <w:spacing w:before="0" w:after="40" w:line="276" w:lineRule="auto"/>
            </w:pPr>
            <w:r/>
            <w:r>
              <w:rPr>
                <w:rFonts w:ascii="Calibri" w:hAnsi="Calibri"/>
                <w:color w:val="333333"/>
                <w:sz w:val="19"/>
              </w:rPr>
              <w:t>Market intelligence &amp; hedging improvement</w:t>
            </w:r>
          </w:p>
        </w:tc>
        <w:tc>
          <w:tcPr>
            <w:tcW w:type="dxa" w:w="2160"/>
            <w:vAlign w:val="center"/>
          </w:tcPr>
          <w:p>
            <w:pPr>
              <w:spacing w:before="0" w:after="40" w:line="276" w:lineRule="auto"/>
            </w:pPr>
            <w:r/>
            <w:r>
              <w:rPr>
                <w:rFonts w:ascii="Calibri" w:hAnsi="Calibri"/>
                <w:color w:val="333333"/>
                <w:sz w:val="19"/>
              </w:rPr>
              <w:t>$1100K</w:t>
            </w:r>
          </w:p>
        </w:tc>
      </w:tr>
      <w:tr>
        <w:tc>
          <w:tcPr>
            <w:tcW w:type="dxa" w:w="6480"/>
            <w:shd w:val="clear" w:color="auto" w:fill="F2F2F2"/>
            <w:vAlign w:val="center"/>
          </w:tcPr>
          <w:p>
            <w:pPr>
              <w:spacing w:before="0" w:after="40" w:line="276" w:lineRule="auto"/>
            </w:pPr>
            <w:r/>
            <w:r>
              <w:rPr>
                <w:rFonts w:ascii="Calibri" w:hAnsi="Calibri"/>
                <w:color w:val="333333"/>
                <w:sz w:val="19"/>
              </w:rPr>
              <w:t>Working capital optimization (forecasting)</w:t>
            </w:r>
          </w:p>
        </w:tc>
        <w:tc>
          <w:tcPr>
            <w:tcW w:type="dxa" w:w="2160"/>
            <w:shd w:val="clear" w:color="auto" w:fill="F2F2F2"/>
            <w:vAlign w:val="center"/>
          </w:tcPr>
          <w:p>
            <w:pPr>
              <w:spacing w:before="0" w:after="40" w:line="276" w:lineRule="auto"/>
            </w:pPr>
            <w:r/>
            <w:r>
              <w:rPr>
                <w:rFonts w:ascii="Calibri" w:hAnsi="Calibri"/>
                <w:color w:val="333333"/>
                <w:sz w:val="19"/>
              </w:rPr>
              <w:t>$1300K</w:t>
            </w:r>
          </w:p>
        </w:tc>
      </w:tr>
      <w:tr>
        <w:tc>
          <w:tcPr>
            <w:tcW w:type="dxa" w:w="6480"/>
            <w:vAlign w:val="center"/>
          </w:tcPr>
          <w:p>
            <w:pPr>
              <w:spacing w:before="0" w:after="40" w:line="276" w:lineRule="auto"/>
            </w:pPr>
            <w:r/>
            <w:r>
              <w:rPr>
                <w:rFonts w:ascii="Calibri" w:hAnsi="Calibri"/>
                <w:color w:val="333333"/>
                <w:sz w:val="19"/>
              </w:rPr>
              <w:t>**TOTAL Annual Benefit**</w:t>
            </w:r>
          </w:p>
        </w:tc>
        <w:tc>
          <w:tcPr>
            <w:tcW w:type="dxa" w:w="2160"/>
            <w:vAlign w:val="center"/>
          </w:tcPr>
          <w:p>
            <w:pPr>
              <w:spacing w:before="0" w:after="40" w:line="276" w:lineRule="auto"/>
            </w:pPr>
            <w:r/>
            <w:r>
              <w:rPr>
                <w:rFonts w:ascii="Calibri" w:hAnsi="Calibri"/>
                <w:color w:val="333333"/>
                <w:sz w:val="19"/>
              </w:rPr>
              <w:t>$9000K</w:t>
            </w:r>
          </w:p>
        </w:tc>
      </w:tr>
    </w:tbl>
    <w:p>
      <w:pPr>
        <w:spacing w:before="0" w:after="160" w:line="288" w:lineRule="auto"/>
      </w:pPr>
      <w:r>
        <w:rPr>
          <w:rFonts w:ascii="Calibri" w:hAnsi="Calibri"/>
          <w:b w:val="0"/>
          <w:i w:val="0"/>
        </w:rPr>
      </w:r>
    </w:p>
    <w:p>
      <w:pPr>
        <w:jc w:val="center"/>
      </w:pPr>
      <w:r>
        <w:drawing>
          <wp:inline xmlns:a="http://schemas.openxmlformats.org/drawingml/2006/main" xmlns:pic="http://schemas.openxmlformats.org/drawingml/2006/picture">
            <wp:extent cx="5943600" cy="3279535"/>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3279535"/>
                    </a:xfrm>
                    <a:prstGeom prst="rect"/>
                  </pic:spPr>
                </pic:pic>
              </a:graphicData>
            </a:graphic>
          </wp:inline>
        </w:drawing>
      </w:r>
    </w:p>
    <w:p>
      <w:pPr>
        <w:spacing w:before="0" w:after="240" w:line="276" w:lineRule="auto"/>
        <w:jc w:val="center"/>
      </w:pPr>
      <w:r>
        <w:rPr>
          <w:rFonts w:ascii="Calibri" w:hAnsi="Calibri"/>
          <w:i/>
          <w:color w:val="666666"/>
          <w:sz w:val="18"/>
        </w:rPr>
        <w:t>Exhibit: Steady-state economics: $9.0M annual benefit against $2.6M ongoing cost = $6.4M net.</w:t>
      </w:r>
    </w:p>
    <w:p>
      <w:pPr>
        <w:pStyle w:val="Heading2"/>
        <w:spacing w:before="280" w:after="120" w:line="276" w:lineRule="auto"/>
      </w:pPr>
      <w:r>
        <w:t>8.4 10-Year NPV &amp; Cash Flows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003A70"/>
            <w:vAlign w:val="center"/>
          </w:tcPr>
          <w:p>
            <w:pPr>
              <w:spacing w:before="0" w:after="40" w:line="276" w:lineRule="auto"/>
            </w:pPr>
            <w:r/>
            <w:r>
              <w:rPr>
                <w:rFonts w:ascii="Calibri" w:hAnsi="Calibri"/>
                <w:b/>
                <w:color w:val="FFFFFF"/>
                <w:sz w:val="19"/>
              </w:rPr>
              <w:t>Year</w:t>
            </w:r>
          </w:p>
        </w:tc>
        <w:tc>
          <w:tcPr>
            <w:tcW w:type="dxa" w:w="1584"/>
            <w:shd w:val="clear" w:color="auto" w:fill="003A70"/>
            <w:vAlign w:val="center"/>
          </w:tcPr>
          <w:p>
            <w:pPr>
              <w:spacing w:before="0" w:after="40" w:line="276" w:lineRule="auto"/>
            </w:pPr>
            <w:r/>
            <w:r>
              <w:rPr>
                <w:rFonts w:ascii="Calibri" w:hAnsi="Calibri"/>
                <w:b/>
                <w:color w:val="FFFFFF"/>
                <w:sz w:val="19"/>
              </w:rPr>
              <w:t>Cost</w:t>
            </w:r>
          </w:p>
        </w:tc>
        <w:tc>
          <w:tcPr>
            <w:tcW w:type="dxa" w:w="1584"/>
            <w:shd w:val="clear" w:color="auto" w:fill="003A70"/>
            <w:vAlign w:val="center"/>
          </w:tcPr>
          <w:p>
            <w:pPr>
              <w:spacing w:before="0" w:after="40" w:line="276" w:lineRule="auto"/>
            </w:pPr>
            <w:r/>
            <w:r>
              <w:rPr>
                <w:rFonts w:ascii="Calibri" w:hAnsi="Calibri"/>
                <w:b/>
                <w:color w:val="FFFFFF"/>
                <w:sz w:val="19"/>
              </w:rPr>
              <w:t>Benefit</w:t>
            </w:r>
          </w:p>
        </w:tc>
        <w:tc>
          <w:tcPr>
            <w:tcW w:type="dxa" w:w="1584"/>
            <w:shd w:val="clear" w:color="auto" w:fill="003A70"/>
            <w:vAlign w:val="center"/>
          </w:tcPr>
          <w:p>
            <w:pPr>
              <w:spacing w:before="0" w:after="40" w:line="276" w:lineRule="auto"/>
            </w:pPr>
            <w:r/>
            <w:r>
              <w:rPr>
                <w:rFonts w:ascii="Calibri" w:hAnsi="Calibri"/>
                <w:b/>
                <w:color w:val="FFFFFF"/>
                <w:sz w:val="19"/>
              </w:rPr>
              <w:t>Net CF</w:t>
            </w:r>
          </w:p>
        </w:tc>
        <w:tc>
          <w:tcPr>
            <w:tcW w:type="dxa" w:w="1872"/>
            <w:shd w:val="clear" w:color="auto" w:fill="003A70"/>
            <w:vAlign w:val="center"/>
          </w:tcPr>
          <w:p>
            <w:pPr>
              <w:spacing w:before="0" w:after="40" w:line="276" w:lineRule="auto"/>
            </w:pPr>
            <w:r/>
            <w:r>
              <w:rPr>
                <w:rFonts w:ascii="Calibri" w:hAnsi="Calibri"/>
                <w:b/>
                <w:color w:val="FFFFFF"/>
                <w:sz w:val="19"/>
              </w:rPr>
              <w:t>Cumulative</w:t>
            </w:r>
          </w:p>
        </w:tc>
      </w:tr>
      <w:tr>
        <w:tc>
          <w:tcPr>
            <w:tcW w:type="dxa" w:w="1296"/>
            <w:vAlign w:val="center"/>
          </w:tcPr>
          <w:p>
            <w:pPr>
              <w:spacing w:before="0" w:after="40" w:line="276" w:lineRule="auto"/>
            </w:pPr>
            <w:r/>
            <w:r>
              <w:rPr>
                <w:rFonts w:ascii="Calibri" w:hAnsi="Calibri"/>
                <w:color w:val="333333"/>
                <w:sz w:val="19"/>
              </w:rPr>
              <w:t>Year 1</w:t>
            </w:r>
          </w:p>
        </w:tc>
        <w:tc>
          <w:tcPr>
            <w:tcW w:type="dxa" w:w="1584"/>
            <w:vAlign w:val="center"/>
          </w:tcPr>
          <w:p>
            <w:pPr>
              <w:spacing w:before="0" w:after="40" w:line="276" w:lineRule="auto"/>
            </w:pPr>
            <w:r/>
            <w:r>
              <w:rPr>
                <w:rFonts w:ascii="Calibri" w:hAnsi="Calibri"/>
                <w:color w:val="333333"/>
                <w:sz w:val="19"/>
              </w:rPr>
              <w:t>$4800K</w:t>
            </w:r>
          </w:p>
        </w:tc>
        <w:tc>
          <w:tcPr>
            <w:tcW w:type="dxa" w:w="1584"/>
            <w:vAlign w:val="center"/>
          </w:tcPr>
          <w:p>
            <w:pPr>
              <w:spacing w:before="0" w:after="40" w:line="276" w:lineRule="auto"/>
            </w:pPr>
            <w:r/>
            <w:r>
              <w:rPr>
                <w:rFonts w:ascii="Calibri" w:hAnsi="Calibri"/>
                <w:color w:val="333333"/>
                <w:sz w:val="19"/>
              </w:rPr>
              <w:t>$3150K</w:t>
            </w:r>
          </w:p>
        </w:tc>
        <w:tc>
          <w:tcPr>
            <w:tcW w:type="dxa" w:w="1584"/>
            <w:vAlign w:val="center"/>
          </w:tcPr>
          <w:p>
            <w:pPr>
              <w:spacing w:before="0" w:after="40" w:line="276" w:lineRule="auto"/>
            </w:pPr>
            <w:r/>
            <w:r>
              <w:rPr>
                <w:rFonts w:ascii="Calibri" w:hAnsi="Calibri"/>
                <w:color w:val="333333"/>
                <w:sz w:val="19"/>
              </w:rPr>
              <w:t>$-1650K</w:t>
            </w:r>
          </w:p>
        </w:tc>
        <w:tc>
          <w:tcPr>
            <w:tcW w:type="dxa" w:w="1872"/>
            <w:vAlign w:val="center"/>
          </w:tcPr>
          <w:p>
            <w:pPr>
              <w:spacing w:before="0" w:after="40" w:line="276" w:lineRule="auto"/>
            </w:pPr>
            <w:r/>
            <w:r>
              <w:rPr>
                <w:rFonts w:ascii="Calibri" w:hAnsi="Calibri"/>
                <w:color w:val="333333"/>
                <w:sz w:val="19"/>
              </w:rPr>
              <w:t>$-1650K</w:t>
            </w:r>
          </w:p>
        </w:tc>
      </w:tr>
      <w:tr>
        <w:tc>
          <w:tcPr>
            <w:tcW w:type="dxa" w:w="1296"/>
            <w:shd w:val="clear" w:color="auto" w:fill="F2F2F2"/>
            <w:vAlign w:val="center"/>
          </w:tcPr>
          <w:p>
            <w:pPr>
              <w:spacing w:before="0" w:after="40" w:line="276" w:lineRule="auto"/>
            </w:pPr>
            <w:r/>
            <w:r>
              <w:rPr>
                <w:rFonts w:ascii="Calibri" w:hAnsi="Calibri"/>
                <w:color w:val="333333"/>
                <w:sz w:val="19"/>
              </w:rPr>
              <w:t>Year 2</w:t>
            </w:r>
          </w:p>
        </w:tc>
        <w:tc>
          <w:tcPr>
            <w:tcW w:type="dxa" w:w="1584"/>
            <w:shd w:val="clear" w:color="auto" w:fill="F2F2F2"/>
            <w:vAlign w:val="center"/>
          </w:tcPr>
          <w:p>
            <w:pPr>
              <w:spacing w:before="0" w:after="40" w:line="276" w:lineRule="auto"/>
            </w:pPr>
            <w:r/>
            <w:r>
              <w:rPr>
                <w:rFonts w:ascii="Calibri" w:hAnsi="Calibri"/>
                <w:color w:val="333333"/>
                <w:sz w:val="19"/>
              </w:rPr>
              <w:t>$2600K</w:t>
            </w:r>
          </w:p>
        </w:tc>
        <w:tc>
          <w:tcPr>
            <w:tcW w:type="dxa" w:w="1584"/>
            <w:shd w:val="clear" w:color="auto" w:fill="F2F2F2"/>
            <w:vAlign w:val="center"/>
          </w:tcPr>
          <w:p>
            <w:pPr>
              <w:spacing w:before="0" w:after="40" w:line="276" w:lineRule="auto"/>
            </w:pPr>
            <w:r/>
            <w:r>
              <w:rPr>
                <w:rFonts w:ascii="Calibri" w:hAnsi="Calibri"/>
                <w:color w:val="333333"/>
                <w:sz w:val="19"/>
              </w:rPr>
              <w:t>$7200K</w:t>
            </w:r>
          </w:p>
        </w:tc>
        <w:tc>
          <w:tcPr>
            <w:tcW w:type="dxa" w:w="1584"/>
            <w:shd w:val="clear" w:color="auto" w:fill="F2F2F2"/>
            <w:vAlign w:val="center"/>
          </w:tcPr>
          <w:p>
            <w:pPr>
              <w:spacing w:before="0" w:after="40" w:line="276" w:lineRule="auto"/>
            </w:pPr>
            <w:r/>
            <w:r>
              <w:rPr>
                <w:rFonts w:ascii="Calibri" w:hAnsi="Calibri"/>
                <w:color w:val="333333"/>
                <w:sz w:val="19"/>
              </w:rPr>
              <w:t>$4600K</w:t>
            </w:r>
          </w:p>
        </w:tc>
        <w:tc>
          <w:tcPr>
            <w:tcW w:type="dxa" w:w="1872"/>
            <w:shd w:val="clear" w:color="auto" w:fill="F2F2F2"/>
            <w:vAlign w:val="center"/>
          </w:tcPr>
          <w:p>
            <w:pPr>
              <w:spacing w:before="0" w:after="40" w:line="276" w:lineRule="auto"/>
            </w:pPr>
            <w:r/>
            <w:r>
              <w:rPr>
                <w:rFonts w:ascii="Calibri" w:hAnsi="Calibri"/>
                <w:color w:val="333333"/>
                <w:sz w:val="19"/>
              </w:rPr>
              <w:t>$2950K</w:t>
            </w:r>
          </w:p>
        </w:tc>
      </w:tr>
      <w:tr>
        <w:tc>
          <w:tcPr>
            <w:tcW w:type="dxa" w:w="1296"/>
            <w:vAlign w:val="center"/>
          </w:tcPr>
          <w:p>
            <w:pPr>
              <w:spacing w:before="0" w:after="40" w:line="276" w:lineRule="auto"/>
            </w:pPr>
            <w:r/>
            <w:r>
              <w:rPr>
                <w:rFonts w:ascii="Calibri" w:hAnsi="Calibri"/>
                <w:color w:val="333333"/>
                <w:sz w:val="19"/>
              </w:rPr>
              <w:t>Year 3</w:t>
            </w:r>
          </w:p>
        </w:tc>
        <w:tc>
          <w:tcPr>
            <w:tcW w:type="dxa" w:w="1584"/>
            <w:vAlign w:val="center"/>
          </w:tcPr>
          <w:p>
            <w:pPr>
              <w:spacing w:before="0" w:after="40" w:line="276" w:lineRule="auto"/>
            </w:pPr>
            <w:r/>
            <w:r>
              <w:rPr>
                <w:rFonts w:ascii="Calibri" w:hAnsi="Calibri"/>
                <w:color w:val="333333"/>
                <w:sz w:val="19"/>
              </w:rPr>
              <w:t>$2600K</w:t>
            </w:r>
          </w:p>
        </w:tc>
        <w:tc>
          <w:tcPr>
            <w:tcW w:type="dxa" w:w="1584"/>
            <w:vAlign w:val="center"/>
          </w:tcPr>
          <w:p>
            <w:pPr>
              <w:spacing w:before="0" w:after="40" w:line="276" w:lineRule="auto"/>
            </w:pPr>
            <w:r/>
            <w:r>
              <w:rPr>
                <w:rFonts w:ascii="Calibri" w:hAnsi="Calibri"/>
                <w:color w:val="333333"/>
                <w:sz w:val="19"/>
              </w:rPr>
              <w:t>$9000K</w:t>
            </w:r>
          </w:p>
        </w:tc>
        <w:tc>
          <w:tcPr>
            <w:tcW w:type="dxa" w:w="1584"/>
            <w:vAlign w:val="center"/>
          </w:tcPr>
          <w:p>
            <w:pPr>
              <w:spacing w:before="0" w:after="40" w:line="276" w:lineRule="auto"/>
            </w:pPr>
            <w:r/>
            <w:r>
              <w:rPr>
                <w:rFonts w:ascii="Calibri" w:hAnsi="Calibri"/>
                <w:color w:val="333333"/>
                <w:sz w:val="19"/>
              </w:rPr>
              <w:t>$6400K</w:t>
            </w:r>
          </w:p>
        </w:tc>
        <w:tc>
          <w:tcPr>
            <w:tcW w:type="dxa" w:w="1872"/>
            <w:vAlign w:val="center"/>
          </w:tcPr>
          <w:p>
            <w:pPr>
              <w:spacing w:before="0" w:after="40" w:line="276" w:lineRule="auto"/>
            </w:pPr>
            <w:r/>
            <w:r>
              <w:rPr>
                <w:rFonts w:ascii="Calibri" w:hAnsi="Calibri"/>
                <w:color w:val="333333"/>
                <w:sz w:val="19"/>
              </w:rPr>
              <w:t>$9350K</w:t>
            </w:r>
          </w:p>
        </w:tc>
      </w:tr>
      <w:tr>
        <w:tc>
          <w:tcPr>
            <w:tcW w:type="dxa" w:w="1296"/>
            <w:shd w:val="clear" w:color="auto" w:fill="F2F2F2"/>
            <w:vAlign w:val="center"/>
          </w:tcPr>
          <w:p>
            <w:pPr>
              <w:spacing w:before="0" w:after="40" w:line="276" w:lineRule="auto"/>
            </w:pPr>
            <w:r/>
            <w:r>
              <w:rPr>
                <w:rFonts w:ascii="Calibri" w:hAnsi="Calibri"/>
                <w:color w:val="333333"/>
                <w:sz w:val="19"/>
              </w:rPr>
              <w:t>Year 4</w:t>
            </w:r>
          </w:p>
        </w:tc>
        <w:tc>
          <w:tcPr>
            <w:tcW w:type="dxa" w:w="1584"/>
            <w:shd w:val="clear" w:color="auto" w:fill="F2F2F2"/>
            <w:vAlign w:val="center"/>
          </w:tcPr>
          <w:p>
            <w:pPr>
              <w:spacing w:before="0" w:after="40" w:line="276" w:lineRule="auto"/>
            </w:pPr>
            <w:r/>
            <w:r>
              <w:rPr>
                <w:rFonts w:ascii="Calibri" w:hAnsi="Calibri"/>
                <w:color w:val="333333"/>
                <w:sz w:val="19"/>
              </w:rPr>
              <w:t>$2600K</w:t>
            </w:r>
          </w:p>
        </w:tc>
        <w:tc>
          <w:tcPr>
            <w:tcW w:type="dxa" w:w="1584"/>
            <w:shd w:val="clear" w:color="auto" w:fill="F2F2F2"/>
            <w:vAlign w:val="center"/>
          </w:tcPr>
          <w:p>
            <w:pPr>
              <w:spacing w:before="0" w:after="40" w:line="276" w:lineRule="auto"/>
            </w:pPr>
            <w:r/>
            <w:r>
              <w:rPr>
                <w:rFonts w:ascii="Calibri" w:hAnsi="Calibri"/>
                <w:color w:val="333333"/>
                <w:sz w:val="19"/>
              </w:rPr>
              <w:t>$9000K</w:t>
            </w:r>
          </w:p>
        </w:tc>
        <w:tc>
          <w:tcPr>
            <w:tcW w:type="dxa" w:w="1584"/>
            <w:shd w:val="clear" w:color="auto" w:fill="F2F2F2"/>
            <w:vAlign w:val="center"/>
          </w:tcPr>
          <w:p>
            <w:pPr>
              <w:spacing w:before="0" w:after="40" w:line="276" w:lineRule="auto"/>
            </w:pPr>
            <w:r/>
            <w:r>
              <w:rPr>
                <w:rFonts w:ascii="Calibri" w:hAnsi="Calibri"/>
                <w:color w:val="333333"/>
                <w:sz w:val="19"/>
              </w:rPr>
              <w:t>$6400K</w:t>
            </w:r>
          </w:p>
        </w:tc>
        <w:tc>
          <w:tcPr>
            <w:tcW w:type="dxa" w:w="1872"/>
            <w:shd w:val="clear" w:color="auto" w:fill="F2F2F2"/>
            <w:vAlign w:val="center"/>
          </w:tcPr>
          <w:p>
            <w:pPr>
              <w:spacing w:before="0" w:after="40" w:line="276" w:lineRule="auto"/>
            </w:pPr>
            <w:r/>
            <w:r>
              <w:rPr>
                <w:rFonts w:ascii="Calibri" w:hAnsi="Calibri"/>
                <w:color w:val="333333"/>
                <w:sz w:val="19"/>
              </w:rPr>
              <w:t>$15750K</w:t>
            </w:r>
          </w:p>
        </w:tc>
      </w:tr>
      <w:tr>
        <w:tc>
          <w:tcPr>
            <w:tcW w:type="dxa" w:w="1296"/>
            <w:vAlign w:val="center"/>
          </w:tcPr>
          <w:p>
            <w:pPr>
              <w:spacing w:before="0" w:after="40" w:line="276" w:lineRule="auto"/>
            </w:pPr>
            <w:r/>
            <w:r>
              <w:rPr>
                <w:rFonts w:ascii="Calibri" w:hAnsi="Calibri"/>
                <w:color w:val="333333"/>
                <w:sz w:val="19"/>
              </w:rPr>
              <w:t>Year 5</w:t>
            </w:r>
          </w:p>
        </w:tc>
        <w:tc>
          <w:tcPr>
            <w:tcW w:type="dxa" w:w="1584"/>
            <w:vAlign w:val="center"/>
          </w:tcPr>
          <w:p>
            <w:pPr>
              <w:spacing w:before="0" w:after="40" w:line="276" w:lineRule="auto"/>
            </w:pPr>
            <w:r/>
            <w:r>
              <w:rPr>
                <w:rFonts w:ascii="Calibri" w:hAnsi="Calibri"/>
                <w:color w:val="333333"/>
                <w:sz w:val="19"/>
              </w:rPr>
              <w:t>$2600K</w:t>
            </w:r>
          </w:p>
        </w:tc>
        <w:tc>
          <w:tcPr>
            <w:tcW w:type="dxa" w:w="1584"/>
            <w:vAlign w:val="center"/>
          </w:tcPr>
          <w:p>
            <w:pPr>
              <w:spacing w:before="0" w:after="40" w:line="276" w:lineRule="auto"/>
            </w:pPr>
            <w:r/>
            <w:r>
              <w:rPr>
                <w:rFonts w:ascii="Calibri" w:hAnsi="Calibri"/>
                <w:color w:val="333333"/>
                <w:sz w:val="19"/>
              </w:rPr>
              <w:t>$9000K</w:t>
            </w:r>
          </w:p>
        </w:tc>
        <w:tc>
          <w:tcPr>
            <w:tcW w:type="dxa" w:w="1584"/>
            <w:vAlign w:val="center"/>
          </w:tcPr>
          <w:p>
            <w:pPr>
              <w:spacing w:before="0" w:after="40" w:line="276" w:lineRule="auto"/>
            </w:pPr>
            <w:r/>
            <w:r>
              <w:rPr>
                <w:rFonts w:ascii="Calibri" w:hAnsi="Calibri"/>
                <w:color w:val="333333"/>
                <w:sz w:val="19"/>
              </w:rPr>
              <w:t>$6400K</w:t>
            </w:r>
          </w:p>
        </w:tc>
        <w:tc>
          <w:tcPr>
            <w:tcW w:type="dxa" w:w="1872"/>
            <w:vAlign w:val="center"/>
          </w:tcPr>
          <w:p>
            <w:pPr>
              <w:spacing w:before="0" w:after="40" w:line="276" w:lineRule="auto"/>
            </w:pPr>
            <w:r/>
            <w:r>
              <w:rPr>
                <w:rFonts w:ascii="Calibri" w:hAnsi="Calibri"/>
                <w:color w:val="333333"/>
                <w:sz w:val="19"/>
              </w:rPr>
              <w:t>$22150K</w:t>
            </w:r>
          </w:p>
        </w:tc>
      </w:tr>
      <w:tr>
        <w:tc>
          <w:tcPr>
            <w:tcW w:type="dxa" w:w="1296"/>
            <w:shd w:val="clear" w:color="auto" w:fill="F2F2F2"/>
            <w:vAlign w:val="center"/>
          </w:tcPr>
          <w:p>
            <w:pPr>
              <w:spacing w:before="0" w:after="40" w:line="276" w:lineRule="auto"/>
            </w:pPr>
            <w:r/>
            <w:r>
              <w:rPr>
                <w:rFonts w:ascii="Calibri" w:hAnsi="Calibri"/>
                <w:color w:val="333333"/>
                <w:sz w:val="19"/>
              </w:rPr>
              <w:t>Year 6</w:t>
            </w:r>
          </w:p>
        </w:tc>
        <w:tc>
          <w:tcPr>
            <w:tcW w:type="dxa" w:w="1584"/>
            <w:shd w:val="clear" w:color="auto" w:fill="F2F2F2"/>
            <w:vAlign w:val="center"/>
          </w:tcPr>
          <w:p>
            <w:pPr>
              <w:spacing w:before="0" w:after="40" w:line="276" w:lineRule="auto"/>
            </w:pPr>
            <w:r/>
            <w:r>
              <w:rPr>
                <w:rFonts w:ascii="Calibri" w:hAnsi="Calibri"/>
                <w:color w:val="333333"/>
                <w:sz w:val="19"/>
              </w:rPr>
              <w:t>$2600K</w:t>
            </w:r>
          </w:p>
        </w:tc>
        <w:tc>
          <w:tcPr>
            <w:tcW w:type="dxa" w:w="1584"/>
            <w:shd w:val="clear" w:color="auto" w:fill="F2F2F2"/>
            <w:vAlign w:val="center"/>
          </w:tcPr>
          <w:p>
            <w:pPr>
              <w:spacing w:before="0" w:after="40" w:line="276" w:lineRule="auto"/>
            </w:pPr>
            <w:r/>
            <w:r>
              <w:rPr>
                <w:rFonts w:ascii="Calibri" w:hAnsi="Calibri"/>
                <w:color w:val="333333"/>
                <w:sz w:val="19"/>
              </w:rPr>
              <w:t>$9000K</w:t>
            </w:r>
          </w:p>
        </w:tc>
        <w:tc>
          <w:tcPr>
            <w:tcW w:type="dxa" w:w="1584"/>
            <w:shd w:val="clear" w:color="auto" w:fill="F2F2F2"/>
            <w:vAlign w:val="center"/>
          </w:tcPr>
          <w:p>
            <w:pPr>
              <w:spacing w:before="0" w:after="40" w:line="276" w:lineRule="auto"/>
            </w:pPr>
            <w:r/>
            <w:r>
              <w:rPr>
                <w:rFonts w:ascii="Calibri" w:hAnsi="Calibri"/>
                <w:color w:val="333333"/>
                <w:sz w:val="19"/>
              </w:rPr>
              <w:t>$6400K</w:t>
            </w:r>
          </w:p>
        </w:tc>
        <w:tc>
          <w:tcPr>
            <w:tcW w:type="dxa" w:w="1872"/>
            <w:shd w:val="clear" w:color="auto" w:fill="F2F2F2"/>
            <w:vAlign w:val="center"/>
          </w:tcPr>
          <w:p>
            <w:pPr>
              <w:spacing w:before="0" w:after="40" w:line="276" w:lineRule="auto"/>
            </w:pPr>
            <w:r/>
            <w:r>
              <w:rPr>
                <w:rFonts w:ascii="Calibri" w:hAnsi="Calibri"/>
                <w:color w:val="333333"/>
                <w:sz w:val="19"/>
              </w:rPr>
              <w:t>$28550K</w:t>
            </w:r>
          </w:p>
        </w:tc>
      </w:tr>
      <w:tr>
        <w:tc>
          <w:tcPr>
            <w:tcW w:type="dxa" w:w="1296"/>
            <w:vAlign w:val="center"/>
          </w:tcPr>
          <w:p>
            <w:pPr>
              <w:spacing w:before="0" w:after="40" w:line="276" w:lineRule="auto"/>
            </w:pPr>
            <w:r/>
            <w:r>
              <w:rPr>
                <w:rFonts w:ascii="Calibri" w:hAnsi="Calibri"/>
                <w:color w:val="333333"/>
                <w:sz w:val="19"/>
              </w:rPr>
              <w:t>Year 7</w:t>
            </w:r>
          </w:p>
        </w:tc>
        <w:tc>
          <w:tcPr>
            <w:tcW w:type="dxa" w:w="1584"/>
            <w:vAlign w:val="center"/>
          </w:tcPr>
          <w:p>
            <w:pPr>
              <w:spacing w:before="0" w:after="40" w:line="276" w:lineRule="auto"/>
            </w:pPr>
            <w:r/>
            <w:r>
              <w:rPr>
                <w:rFonts w:ascii="Calibri" w:hAnsi="Calibri"/>
                <w:color w:val="333333"/>
                <w:sz w:val="19"/>
              </w:rPr>
              <w:t>$2600K</w:t>
            </w:r>
          </w:p>
        </w:tc>
        <w:tc>
          <w:tcPr>
            <w:tcW w:type="dxa" w:w="1584"/>
            <w:vAlign w:val="center"/>
          </w:tcPr>
          <w:p>
            <w:pPr>
              <w:spacing w:before="0" w:after="40" w:line="276" w:lineRule="auto"/>
            </w:pPr>
            <w:r/>
            <w:r>
              <w:rPr>
                <w:rFonts w:ascii="Calibri" w:hAnsi="Calibri"/>
                <w:color w:val="333333"/>
                <w:sz w:val="19"/>
              </w:rPr>
              <w:t>$9000K</w:t>
            </w:r>
          </w:p>
        </w:tc>
        <w:tc>
          <w:tcPr>
            <w:tcW w:type="dxa" w:w="1584"/>
            <w:vAlign w:val="center"/>
          </w:tcPr>
          <w:p>
            <w:pPr>
              <w:spacing w:before="0" w:after="40" w:line="276" w:lineRule="auto"/>
            </w:pPr>
            <w:r/>
            <w:r>
              <w:rPr>
                <w:rFonts w:ascii="Calibri" w:hAnsi="Calibri"/>
                <w:color w:val="333333"/>
                <w:sz w:val="19"/>
              </w:rPr>
              <w:t>$6400K</w:t>
            </w:r>
          </w:p>
        </w:tc>
        <w:tc>
          <w:tcPr>
            <w:tcW w:type="dxa" w:w="1872"/>
            <w:vAlign w:val="center"/>
          </w:tcPr>
          <w:p>
            <w:pPr>
              <w:spacing w:before="0" w:after="40" w:line="276" w:lineRule="auto"/>
            </w:pPr>
            <w:r/>
            <w:r>
              <w:rPr>
                <w:rFonts w:ascii="Calibri" w:hAnsi="Calibri"/>
                <w:color w:val="333333"/>
                <w:sz w:val="19"/>
              </w:rPr>
              <w:t>$34950K</w:t>
            </w:r>
          </w:p>
        </w:tc>
      </w:tr>
      <w:tr>
        <w:tc>
          <w:tcPr>
            <w:tcW w:type="dxa" w:w="1296"/>
            <w:shd w:val="clear" w:color="auto" w:fill="F2F2F2"/>
            <w:vAlign w:val="center"/>
          </w:tcPr>
          <w:p>
            <w:pPr>
              <w:spacing w:before="0" w:after="40" w:line="276" w:lineRule="auto"/>
            </w:pPr>
            <w:r/>
            <w:r>
              <w:rPr>
                <w:rFonts w:ascii="Calibri" w:hAnsi="Calibri"/>
                <w:color w:val="333333"/>
                <w:sz w:val="19"/>
              </w:rPr>
              <w:t>Year 8</w:t>
            </w:r>
          </w:p>
        </w:tc>
        <w:tc>
          <w:tcPr>
            <w:tcW w:type="dxa" w:w="1584"/>
            <w:shd w:val="clear" w:color="auto" w:fill="F2F2F2"/>
            <w:vAlign w:val="center"/>
          </w:tcPr>
          <w:p>
            <w:pPr>
              <w:spacing w:before="0" w:after="40" w:line="276" w:lineRule="auto"/>
            </w:pPr>
            <w:r/>
            <w:r>
              <w:rPr>
                <w:rFonts w:ascii="Calibri" w:hAnsi="Calibri"/>
                <w:color w:val="333333"/>
                <w:sz w:val="19"/>
              </w:rPr>
              <w:t>$2600K</w:t>
            </w:r>
          </w:p>
        </w:tc>
        <w:tc>
          <w:tcPr>
            <w:tcW w:type="dxa" w:w="1584"/>
            <w:shd w:val="clear" w:color="auto" w:fill="F2F2F2"/>
            <w:vAlign w:val="center"/>
          </w:tcPr>
          <w:p>
            <w:pPr>
              <w:spacing w:before="0" w:after="40" w:line="276" w:lineRule="auto"/>
            </w:pPr>
            <w:r/>
            <w:r>
              <w:rPr>
                <w:rFonts w:ascii="Calibri" w:hAnsi="Calibri"/>
                <w:color w:val="333333"/>
                <w:sz w:val="19"/>
              </w:rPr>
              <w:t>$9000K</w:t>
            </w:r>
          </w:p>
        </w:tc>
        <w:tc>
          <w:tcPr>
            <w:tcW w:type="dxa" w:w="1584"/>
            <w:shd w:val="clear" w:color="auto" w:fill="F2F2F2"/>
            <w:vAlign w:val="center"/>
          </w:tcPr>
          <w:p>
            <w:pPr>
              <w:spacing w:before="0" w:after="40" w:line="276" w:lineRule="auto"/>
            </w:pPr>
            <w:r/>
            <w:r>
              <w:rPr>
                <w:rFonts w:ascii="Calibri" w:hAnsi="Calibri"/>
                <w:color w:val="333333"/>
                <w:sz w:val="19"/>
              </w:rPr>
              <w:t>$6400K</w:t>
            </w:r>
          </w:p>
        </w:tc>
        <w:tc>
          <w:tcPr>
            <w:tcW w:type="dxa" w:w="1872"/>
            <w:shd w:val="clear" w:color="auto" w:fill="F2F2F2"/>
            <w:vAlign w:val="center"/>
          </w:tcPr>
          <w:p>
            <w:pPr>
              <w:spacing w:before="0" w:after="40" w:line="276" w:lineRule="auto"/>
            </w:pPr>
            <w:r/>
            <w:r>
              <w:rPr>
                <w:rFonts w:ascii="Calibri" w:hAnsi="Calibri"/>
                <w:color w:val="333333"/>
                <w:sz w:val="19"/>
              </w:rPr>
              <w:t>$41350K</w:t>
            </w:r>
          </w:p>
        </w:tc>
      </w:tr>
      <w:tr>
        <w:tc>
          <w:tcPr>
            <w:tcW w:type="dxa" w:w="1296"/>
            <w:vAlign w:val="center"/>
          </w:tcPr>
          <w:p>
            <w:pPr>
              <w:spacing w:before="0" w:after="40" w:line="276" w:lineRule="auto"/>
            </w:pPr>
            <w:r/>
            <w:r>
              <w:rPr>
                <w:rFonts w:ascii="Calibri" w:hAnsi="Calibri"/>
                <w:color w:val="333333"/>
                <w:sz w:val="19"/>
              </w:rPr>
              <w:t>Year 9</w:t>
            </w:r>
          </w:p>
        </w:tc>
        <w:tc>
          <w:tcPr>
            <w:tcW w:type="dxa" w:w="1584"/>
            <w:vAlign w:val="center"/>
          </w:tcPr>
          <w:p>
            <w:pPr>
              <w:spacing w:before="0" w:after="40" w:line="276" w:lineRule="auto"/>
            </w:pPr>
            <w:r/>
            <w:r>
              <w:rPr>
                <w:rFonts w:ascii="Calibri" w:hAnsi="Calibri"/>
                <w:color w:val="333333"/>
                <w:sz w:val="19"/>
              </w:rPr>
              <w:t>$2600K</w:t>
            </w:r>
          </w:p>
        </w:tc>
        <w:tc>
          <w:tcPr>
            <w:tcW w:type="dxa" w:w="1584"/>
            <w:vAlign w:val="center"/>
          </w:tcPr>
          <w:p>
            <w:pPr>
              <w:spacing w:before="0" w:after="40" w:line="276" w:lineRule="auto"/>
            </w:pPr>
            <w:r/>
            <w:r>
              <w:rPr>
                <w:rFonts w:ascii="Calibri" w:hAnsi="Calibri"/>
                <w:color w:val="333333"/>
                <w:sz w:val="19"/>
              </w:rPr>
              <w:t>$9000K</w:t>
            </w:r>
          </w:p>
        </w:tc>
        <w:tc>
          <w:tcPr>
            <w:tcW w:type="dxa" w:w="1584"/>
            <w:vAlign w:val="center"/>
          </w:tcPr>
          <w:p>
            <w:pPr>
              <w:spacing w:before="0" w:after="40" w:line="276" w:lineRule="auto"/>
            </w:pPr>
            <w:r/>
            <w:r>
              <w:rPr>
                <w:rFonts w:ascii="Calibri" w:hAnsi="Calibri"/>
                <w:color w:val="333333"/>
                <w:sz w:val="19"/>
              </w:rPr>
              <w:t>$6400K</w:t>
            </w:r>
          </w:p>
        </w:tc>
        <w:tc>
          <w:tcPr>
            <w:tcW w:type="dxa" w:w="1872"/>
            <w:vAlign w:val="center"/>
          </w:tcPr>
          <w:p>
            <w:pPr>
              <w:spacing w:before="0" w:after="40" w:line="276" w:lineRule="auto"/>
            </w:pPr>
            <w:r/>
            <w:r>
              <w:rPr>
                <w:rFonts w:ascii="Calibri" w:hAnsi="Calibri"/>
                <w:color w:val="333333"/>
                <w:sz w:val="19"/>
              </w:rPr>
              <w:t>$47750K</w:t>
            </w:r>
          </w:p>
        </w:tc>
      </w:tr>
      <w:tr>
        <w:tc>
          <w:tcPr>
            <w:tcW w:type="dxa" w:w="1296"/>
            <w:shd w:val="clear" w:color="auto" w:fill="F2F2F2"/>
            <w:vAlign w:val="center"/>
          </w:tcPr>
          <w:p>
            <w:pPr>
              <w:spacing w:before="0" w:after="40" w:line="276" w:lineRule="auto"/>
            </w:pPr>
            <w:r/>
            <w:r>
              <w:rPr>
                <w:rFonts w:ascii="Calibri" w:hAnsi="Calibri"/>
                <w:color w:val="333333"/>
                <w:sz w:val="19"/>
              </w:rPr>
              <w:t>Year 10</w:t>
            </w:r>
          </w:p>
        </w:tc>
        <w:tc>
          <w:tcPr>
            <w:tcW w:type="dxa" w:w="1584"/>
            <w:shd w:val="clear" w:color="auto" w:fill="F2F2F2"/>
            <w:vAlign w:val="center"/>
          </w:tcPr>
          <w:p>
            <w:pPr>
              <w:spacing w:before="0" w:after="40" w:line="276" w:lineRule="auto"/>
            </w:pPr>
            <w:r/>
            <w:r>
              <w:rPr>
                <w:rFonts w:ascii="Calibri" w:hAnsi="Calibri"/>
                <w:color w:val="333333"/>
                <w:sz w:val="19"/>
              </w:rPr>
              <w:t>$2600K</w:t>
            </w:r>
          </w:p>
        </w:tc>
        <w:tc>
          <w:tcPr>
            <w:tcW w:type="dxa" w:w="1584"/>
            <w:shd w:val="clear" w:color="auto" w:fill="F2F2F2"/>
            <w:vAlign w:val="center"/>
          </w:tcPr>
          <w:p>
            <w:pPr>
              <w:spacing w:before="0" w:after="40" w:line="276" w:lineRule="auto"/>
            </w:pPr>
            <w:r/>
            <w:r>
              <w:rPr>
                <w:rFonts w:ascii="Calibri" w:hAnsi="Calibri"/>
                <w:color w:val="333333"/>
                <w:sz w:val="19"/>
              </w:rPr>
              <w:t>$9000K</w:t>
            </w:r>
          </w:p>
        </w:tc>
        <w:tc>
          <w:tcPr>
            <w:tcW w:type="dxa" w:w="1584"/>
            <w:shd w:val="clear" w:color="auto" w:fill="F2F2F2"/>
            <w:vAlign w:val="center"/>
          </w:tcPr>
          <w:p>
            <w:pPr>
              <w:spacing w:before="0" w:after="40" w:line="276" w:lineRule="auto"/>
            </w:pPr>
            <w:r/>
            <w:r>
              <w:rPr>
                <w:rFonts w:ascii="Calibri" w:hAnsi="Calibri"/>
                <w:color w:val="333333"/>
                <w:sz w:val="19"/>
              </w:rPr>
              <w:t>$6400K</w:t>
            </w:r>
          </w:p>
        </w:tc>
        <w:tc>
          <w:tcPr>
            <w:tcW w:type="dxa" w:w="1872"/>
            <w:shd w:val="clear" w:color="auto" w:fill="F2F2F2"/>
            <w:vAlign w:val="center"/>
          </w:tcPr>
          <w:p>
            <w:pPr>
              <w:spacing w:before="0" w:after="40" w:line="276" w:lineRule="auto"/>
            </w:pPr>
            <w:r/>
            <w:r>
              <w:rPr>
                <w:rFonts w:ascii="Calibri" w:hAnsi="Calibri"/>
                <w:color w:val="333333"/>
                <w:sz w:val="19"/>
              </w:rPr>
              <w:t>$54150K</w:t>
            </w:r>
          </w:p>
        </w:tc>
      </w:tr>
    </w:tbl>
    <w:p>
      <w:pPr>
        <w:spacing w:before="0" w:after="160" w:line="288" w:lineRule="auto"/>
      </w:pPr>
      <w:r>
        <w:rPr>
          <w:rFonts w:ascii="Calibri" w:hAnsi="Calibri"/>
          <w:b w:val="0"/>
          <w:i w:val="0"/>
        </w:rPr>
      </w:r>
    </w:p>
    <w:p>
      <w:pPr>
        <w:jc w:val="center"/>
      </w:pPr>
      <w:r>
        <w:drawing>
          <wp:inline xmlns:a="http://schemas.openxmlformats.org/drawingml/2006/main" xmlns:pic="http://schemas.openxmlformats.org/drawingml/2006/picture">
            <wp:extent cx="5943600" cy="3679035"/>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679035"/>
                    </a:xfrm>
                    <a:prstGeom prst="rect"/>
                  </pic:spPr>
                </pic:pic>
              </a:graphicData>
            </a:graphic>
          </wp:inline>
        </w:drawing>
      </w:r>
    </w:p>
    <w:p>
      <w:pPr>
        <w:spacing w:before="0" w:after="240" w:line="276" w:lineRule="auto"/>
        <w:jc w:val="center"/>
      </w:pPr>
      <w:r>
        <w:rPr>
          <w:rFonts w:ascii="Calibri" w:hAnsi="Calibri"/>
          <w:i/>
          <w:color w:val="666666"/>
          <w:sz w:val="18"/>
        </w:rPr>
        <w:t>Exhibit: Program breaks even during Year 2; cumulative 10-year nominal net cash flow exceeds $55M.</w:t>
      </w:r>
    </w:p>
    <w:p>
      <w:pPr>
        <w:pStyle w:val="Heading2"/>
        <w:spacing w:before="280" w:after="120" w:line="276" w:lineRule="auto"/>
      </w:pPr>
      <w:r>
        <w:t>8.5 Sensitivity Analysis</w:t>
      </w:r>
    </w:p>
    <w:p>
      <w:pPr>
        <w:jc w:val="center"/>
      </w:pPr>
      <w:r>
        <w:drawing>
          <wp:inline xmlns:a="http://schemas.openxmlformats.org/drawingml/2006/main" xmlns:pic="http://schemas.openxmlformats.org/drawingml/2006/picture">
            <wp:extent cx="5943600" cy="280744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2807448"/>
                    </a:xfrm>
                    <a:prstGeom prst="rect"/>
                  </pic:spPr>
                </pic:pic>
              </a:graphicData>
            </a:graphic>
          </wp:inline>
        </w:drawing>
      </w:r>
    </w:p>
    <w:p>
      <w:pPr>
        <w:spacing w:before="0" w:after="240" w:line="276" w:lineRule="auto"/>
        <w:jc w:val="center"/>
      </w:pPr>
      <w:r>
        <w:rPr>
          <w:rFonts w:ascii="Calibri" w:hAnsi="Calibri"/>
          <w:i/>
          <w:color w:val="666666"/>
          <w:sz w:val="18"/>
        </w:rPr>
        <w:t>Exhibit: Benefit realization and labor productivity are the top NPV drivers; program remains positive across all tested scenarios.</w:t>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ROBUSTNESS</w:t>
            </w:r>
          </w:p>
          <w:p>
            <w:pPr>
              <w:spacing w:before="0" w:after="80" w:line="288" w:lineRule="auto"/>
            </w:pPr>
            <w:r>
              <w:rPr>
                <w:rFonts w:ascii="Calibri" w:hAnsi="Calibri"/>
                <w:color w:val="333333"/>
                <w:sz w:val="20"/>
              </w:rPr>
              <w:t>Even under the most adverse sensitivity case tested (benefit realization at -30%, implementation cost at +40%, ongoing costs at +25%), the program remains NPV-positive. This indicates the investment case is robust — not contingent on aggressive assumptions.</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9. Governance &amp; Execution</w:t>
      </w:r>
    </w:p>
    <w:p>
      <w:pPr>
        <w:pStyle w:val="Heading2"/>
        <w:spacing w:before="280" w:after="120" w:line="276" w:lineRule="auto"/>
      </w:pPr>
      <w:r>
        <w:t>9.1 Technology Investment Committee</w:t>
      </w:r>
    </w:p>
    <w:p>
      <w:pPr>
        <w:spacing w:before="0" w:after="160" w:line="300" w:lineRule="auto"/>
      </w:pPr>
      <w:r>
        <w:rPr>
          <w:rFonts w:ascii="Calibri" w:hAnsi="Calibri"/>
          <w:b w:val="0"/>
          <w:i w:val="0"/>
          <w:sz w:val="21"/>
        </w:rPr>
        <w:t>We recommend establishing a Technology Investment Committee (TIC) as a formal governance body with CFO Johansen as chair. The TIC approves all tech spend above a threshold, monitors portfolio health, and reports to the Board Risk Committee.</w:t>
      </w:r>
    </w:p>
    <w:tbl>
      <w:tblPr>
        <w:tblW w:type="auto" w:w="0"/>
        <w:jc w:val="center"/>
        <w:tblLook w:firstColumn="1" w:firstRow="1" w:lastColumn="0" w:lastRow="0" w:noHBand="0" w:noVBand="1" w:val="04A0"/>
      </w:tblPr>
      <w:tblGrid>
        <w:gridCol w:w="2340"/>
        <w:gridCol w:w="2340"/>
        <w:gridCol w:w="2340"/>
        <w:gridCol w:w="2340"/>
      </w:tblGrid>
      <w:tr>
        <w:tc>
          <w:tcPr>
            <w:tcW w:type="dxa" w:w="2448"/>
            <w:shd w:val="clear" w:color="auto" w:fill="003A70"/>
            <w:vAlign w:val="center"/>
          </w:tcPr>
          <w:p>
            <w:pPr>
              <w:spacing w:before="0" w:after="40" w:line="276" w:lineRule="auto"/>
            </w:pPr>
            <w:r/>
            <w:r>
              <w:rPr>
                <w:rFonts w:ascii="Calibri" w:hAnsi="Calibri"/>
                <w:b/>
                <w:color w:val="FFFFFF"/>
                <w:sz w:val="19"/>
              </w:rPr>
              <w:t>Body</w:t>
            </w:r>
          </w:p>
        </w:tc>
        <w:tc>
          <w:tcPr>
            <w:tcW w:type="dxa" w:w="2592"/>
            <w:shd w:val="clear" w:color="auto" w:fill="003A70"/>
            <w:vAlign w:val="center"/>
          </w:tcPr>
          <w:p>
            <w:pPr>
              <w:spacing w:before="0" w:after="40" w:line="276" w:lineRule="auto"/>
            </w:pPr>
            <w:r/>
            <w:r>
              <w:rPr>
                <w:rFonts w:ascii="Calibri" w:hAnsi="Calibri"/>
                <w:b/>
                <w:color w:val="FFFFFF"/>
                <w:sz w:val="19"/>
              </w:rPr>
              <w:t>Composition</w:t>
            </w:r>
          </w:p>
        </w:tc>
        <w:tc>
          <w:tcPr>
            <w:tcW w:type="dxa" w:w="1296"/>
            <w:shd w:val="clear" w:color="auto" w:fill="003A70"/>
            <w:vAlign w:val="center"/>
          </w:tcPr>
          <w:p>
            <w:pPr>
              <w:spacing w:before="0" w:after="40" w:line="276" w:lineRule="auto"/>
            </w:pPr>
            <w:r/>
            <w:r>
              <w:rPr>
                <w:rFonts w:ascii="Calibri" w:hAnsi="Calibri"/>
                <w:b/>
                <w:color w:val="FFFFFF"/>
                <w:sz w:val="19"/>
              </w:rPr>
              <w:t>Cadence</w:t>
            </w:r>
          </w:p>
        </w:tc>
        <w:tc>
          <w:tcPr>
            <w:tcW w:type="dxa" w:w="3168"/>
            <w:shd w:val="clear" w:color="auto" w:fill="003A70"/>
            <w:vAlign w:val="center"/>
          </w:tcPr>
          <w:p>
            <w:pPr>
              <w:spacing w:before="0" w:after="40" w:line="276" w:lineRule="auto"/>
            </w:pPr>
            <w:r/>
            <w:r>
              <w:rPr>
                <w:rFonts w:ascii="Calibri" w:hAnsi="Calibri"/>
                <w:b/>
                <w:color w:val="FFFFFF"/>
                <w:sz w:val="19"/>
              </w:rPr>
              <w:t>Mandate</w:t>
            </w:r>
          </w:p>
        </w:tc>
      </w:tr>
      <w:tr>
        <w:tc>
          <w:tcPr>
            <w:tcW w:type="dxa" w:w="2448"/>
            <w:vAlign w:val="center"/>
          </w:tcPr>
          <w:p>
            <w:pPr>
              <w:spacing w:before="0" w:after="40" w:line="276" w:lineRule="auto"/>
            </w:pPr>
            <w:r/>
            <w:r>
              <w:rPr>
                <w:rFonts w:ascii="Calibri" w:hAnsi="Calibri"/>
                <w:color w:val="333333"/>
                <w:sz w:val="19"/>
              </w:rPr>
              <w:t>Board Risk &amp; Technology Cmte</w:t>
            </w:r>
          </w:p>
        </w:tc>
        <w:tc>
          <w:tcPr>
            <w:tcW w:type="dxa" w:w="2592"/>
            <w:vAlign w:val="center"/>
          </w:tcPr>
          <w:p>
            <w:pPr>
              <w:spacing w:before="0" w:after="40" w:line="276" w:lineRule="auto"/>
            </w:pPr>
            <w:r/>
            <w:r>
              <w:rPr>
                <w:rFonts w:ascii="Calibri" w:hAnsi="Calibri"/>
                <w:color w:val="333333"/>
                <w:sz w:val="19"/>
              </w:rPr>
              <w:t>3-4 Directors + CEO + CFO</w:t>
            </w:r>
          </w:p>
        </w:tc>
        <w:tc>
          <w:tcPr>
            <w:tcW w:type="dxa" w:w="1296"/>
            <w:vAlign w:val="center"/>
          </w:tcPr>
          <w:p>
            <w:pPr>
              <w:spacing w:before="0" w:after="40" w:line="276" w:lineRule="auto"/>
            </w:pPr>
            <w:r/>
            <w:r>
              <w:rPr>
                <w:rFonts w:ascii="Calibri" w:hAnsi="Calibri"/>
                <w:color w:val="333333"/>
                <w:sz w:val="19"/>
              </w:rPr>
              <w:t>Quarterly</w:t>
            </w:r>
          </w:p>
        </w:tc>
        <w:tc>
          <w:tcPr>
            <w:tcW w:type="dxa" w:w="3168"/>
            <w:vAlign w:val="center"/>
          </w:tcPr>
          <w:p>
            <w:pPr>
              <w:spacing w:before="0" w:after="40" w:line="276" w:lineRule="auto"/>
            </w:pPr>
            <w:r/>
            <w:r>
              <w:rPr>
                <w:rFonts w:ascii="Calibri" w:hAnsi="Calibri"/>
                <w:color w:val="333333"/>
                <w:sz w:val="19"/>
              </w:rPr>
              <w:t>Approve tech strategy; oversee risk; review major investments</w:t>
            </w:r>
          </w:p>
        </w:tc>
      </w:tr>
      <w:tr>
        <w:tc>
          <w:tcPr>
            <w:tcW w:type="dxa" w:w="2448"/>
            <w:shd w:val="clear" w:color="auto" w:fill="F2F2F2"/>
            <w:vAlign w:val="center"/>
          </w:tcPr>
          <w:p>
            <w:pPr>
              <w:spacing w:before="0" w:after="40" w:line="276" w:lineRule="auto"/>
            </w:pPr>
            <w:r/>
            <w:r>
              <w:rPr>
                <w:rFonts w:ascii="Calibri" w:hAnsi="Calibri"/>
                <w:color w:val="333333"/>
                <w:sz w:val="19"/>
              </w:rPr>
              <w:t>Tech Investment Committee</w:t>
            </w:r>
          </w:p>
        </w:tc>
        <w:tc>
          <w:tcPr>
            <w:tcW w:type="dxa" w:w="2592"/>
            <w:shd w:val="clear" w:color="auto" w:fill="F2F2F2"/>
            <w:vAlign w:val="center"/>
          </w:tcPr>
          <w:p>
            <w:pPr>
              <w:spacing w:before="0" w:after="40" w:line="276" w:lineRule="auto"/>
            </w:pPr>
            <w:r/>
            <w:r>
              <w:rPr>
                <w:rFonts w:ascii="Calibri" w:hAnsi="Calibri"/>
                <w:color w:val="333333"/>
                <w:sz w:val="19"/>
              </w:rPr>
              <w:t>CFO (Chair), CTO/IT Lead, COO, Security Lead</w:t>
            </w:r>
          </w:p>
        </w:tc>
        <w:tc>
          <w:tcPr>
            <w:tcW w:type="dxa" w:w="1296"/>
            <w:shd w:val="clear" w:color="auto" w:fill="F2F2F2"/>
            <w:vAlign w:val="center"/>
          </w:tcPr>
          <w:p>
            <w:pPr>
              <w:spacing w:before="0" w:after="40" w:line="276" w:lineRule="auto"/>
            </w:pPr>
            <w:r/>
            <w:r>
              <w:rPr>
                <w:rFonts w:ascii="Calibri" w:hAnsi="Calibri"/>
                <w:color w:val="333333"/>
                <w:sz w:val="19"/>
              </w:rPr>
              <w:t>Monthly</w:t>
            </w:r>
          </w:p>
        </w:tc>
        <w:tc>
          <w:tcPr>
            <w:tcW w:type="dxa" w:w="3168"/>
            <w:shd w:val="clear" w:color="auto" w:fill="F2F2F2"/>
            <w:vAlign w:val="center"/>
          </w:tcPr>
          <w:p>
            <w:pPr>
              <w:spacing w:before="0" w:after="40" w:line="276" w:lineRule="auto"/>
            </w:pPr>
            <w:r/>
            <w:r>
              <w:rPr>
                <w:rFonts w:ascii="Calibri" w:hAnsi="Calibri"/>
                <w:color w:val="333333"/>
                <w:sz w:val="19"/>
              </w:rPr>
              <w:t>Approve program spend; monitor delivery; course-correct</w:t>
            </w:r>
          </w:p>
        </w:tc>
      </w:tr>
      <w:tr>
        <w:tc>
          <w:tcPr>
            <w:tcW w:type="dxa" w:w="2448"/>
            <w:vAlign w:val="center"/>
          </w:tcPr>
          <w:p>
            <w:pPr>
              <w:spacing w:before="0" w:after="40" w:line="276" w:lineRule="auto"/>
            </w:pPr>
            <w:r/>
            <w:r>
              <w:rPr>
                <w:rFonts w:ascii="Calibri" w:hAnsi="Calibri"/>
                <w:color w:val="333333"/>
                <w:sz w:val="19"/>
              </w:rPr>
              <w:t>AI Governance Council</w:t>
            </w:r>
          </w:p>
        </w:tc>
        <w:tc>
          <w:tcPr>
            <w:tcW w:type="dxa" w:w="2592"/>
            <w:vAlign w:val="center"/>
          </w:tcPr>
          <w:p>
            <w:pPr>
              <w:spacing w:before="0" w:after="40" w:line="276" w:lineRule="auto"/>
            </w:pPr>
            <w:r/>
            <w:r>
              <w:rPr>
                <w:rFonts w:ascii="Calibri" w:hAnsi="Calibri"/>
                <w:color w:val="333333"/>
                <w:sz w:val="19"/>
              </w:rPr>
              <w:t>CFO, Chief Risk, Legal, Data Lead, External Ethicist</w:t>
            </w:r>
          </w:p>
        </w:tc>
        <w:tc>
          <w:tcPr>
            <w:tcW w:type="dxa" w:w="1296"/>
            <w:vAlign w:val="center"/>
          </w:tcPr>
          <w:p>
            <w:pPr>
              <w:spacing w:before="0" w:after="40" w:line="276" w:lineRule="auto"/>
            </w:pPr>
            <w:r/>
            <w:r>
              <w:rPr>
                <w:rFonts w:ascii="Calibri" w:hAnsi="Calibri"/>
                <w:color w:val="333333"/>
                <w:sz w:val="19"/>
              </w:rPr>
              <w:t>Monthly</w:t>
            </w:r>
          </w:p>
        </w:tc>
        <w:tc>
          <w:tcPr>
            <w:tcW w:type="dxa" w:w="3168"/>
            <w:vAlign w:val="center"/>
          </w:tcPr>
          <w:p>
            <w:pPr>
              <w:spacing w:before="0" w:after="40" w:line="276" w:lineRule="auto"/>
            </w:pPr>
            <w:r/>
            <w:r>
              <w:rPr>
                <w:rFonts w:ascii="Calibri" w:hAnsi="Calibri"/>
                <w:color w:val="333333"/>
                <w:sz w:val="19"/>
              </w:rPr>
              <w:t>NIST AI RMF compliance; bias/fairness review; model approval</w:t>
            </w:r>
          </w:p>
        </w:tc>
      </w:tr>
      <w:tr>
        <w:tc>
          <w:tcPr>
            <w:tcW w:type="dxa" w:w="2448"/>
            <w:shd w:val="clear" w:color="auto" w:fill="F2F2F2"/>
            <w:vAlign w:val="center"/>
          </w:tcPr>
          <w:p>
            <w:pPr>
              <w:spacing w:before="0" w:after="40" w:line="276" w:lineRule="auto"/>
            </w:pPr>
            <w:r/>
            <w:r>
              <w:rPr>
                <w:rFonts w:ascii="Calibri" w:hAnsi="Calibri"/>
                <w:color w:val="333333"/>
                <w:sz w:val="19"/>
              </w:rPr>
              <w:t>Cyber Steering Group</w:t>
            </w:r>
          </w:p>
        </w:tc>
        <w:tc>
          <w:tcPr>
            <w:tcW w:type="dxa" w:w="2592"/>
            <w:shd w:val="clear" w:color="auto" w:fill="F2F2F2"/>
            <w:vAlign w:val="center"/>
          </w:tcPr>
          <w:p>
            <w:pPr>
              <w:spacing w:before="0" w:after="40" w:line="276" w:lineRule="auto"/>
            </w:pPr>
            <w:r/>
            <w:r>
              <w:rPr>
                <w:rFonts w:ascii="Calibri" w:hAnsi="Calibri"/>
                <w:color w:val="333333"/>
                <w:sz w:val="19"/>
              </w:rPr>
              <w:t>Security Lead (chair), IT, Legal, Ops</w:t>
            </w:r>
          </w:p>
        </w:tc>
        <w:tc>
          <w:tcPr>
            <w:tcW w:type="dxa" w:w="1296"/>
            <w:shd w:val="clear" w:color="auto" w:fill="F2F2F2"/>
            <w:vAlign w:val="center"/>
          </w:tcPr>
          <w:p>
            <w:pPr>
              <w:spacing w:before="0" w:after="40" w:line="276" w:lineRule="auto"/>
            </w:pPr>
            <w:r/>
            <w:r>
              <w:rPr>
                <w:rFonts w:ascii="Calibri" w:hAnsi="Calibri"/>
                <w:color w:val="333333"/>
                <w:sz w:val="19"/>
              </w:rPr>
              <w:t>Bi-weekly</w:t>
            </w:r>
          </w:p>
        </w:tc>
        <w:tc>
          <w:tcPr>
            <w:tcW w:type="dxa" w:w="3168"/>
            <w:shd w:val="clear" w:color="auto" w:fill="F2F2F2"/>
            <w:vAlign w:val="center"/>
          </w:tcPr>
          <w:p>
            <w:pPr>
              <w:spacing w:before="0" w:after="40" w:line="276" w:lineRule="auto"/>
            </w:pPr>
            <w:r/>
            <w:r>
              <w:rPr>
                <w:rFonts w:ascii="Calibri" w:hAnsi="Calibri"/>
                <w:color w:val="333333"/>
                <w:sz w:val="19"/>
              </w:rPr>
              <w:t>Threat monitoring; incident readiness; control effectiveness</w:t>
            </w:r>
          </w:p>
        </w:tc>
      </w:tr>
    </w:tbl>
    <w:p>
      <w:pPr>
        <w:spacing w:before="0" w:after="160" w:line="288" w:lineRule="auto"/>
      </w:pPr>
      <w:r>
        <w:rPr>
          <w:rFonts w:ascii="Calibri" w:hAnsi="Calibri"/>
          <w:b w:val="0"/>
          <w:i w:val="0"/>
        </w:rPr>
      </w:r>
    </w:p>
    <w:p>
      <w:pPr>
        <w:pStyle w:val="Heading2"/>
        <w:spacing w:before="280" w:after="120" w:line="276" w:lineRule="auto"/>
      </w:pPr>
      <w:r>
        <w:t>9.2 KPI Dashboard</w:t>
      </w:r>
    </w:p>
    <w:tbl>
      <w:tblPr>
        <w:tblW w:type="auto" w:w="0"/>
        <w:jc w:val="center"/>
        <w:tblLook w:firstColumn="1" w:firstRow="1" w:lastColumn="0" w:lastRow="0" w:noHBand="0" w:noVBand="1" w:val="04A0"/>
      </w:tblPr>
      <w:tblGrid>
        <w:gridCol w:w="3120"/>
        <w:gridCol w:w="3120"/>
        <w:gridCol w:w="3120"/>
      </w:tblGrid>
      <w:tr>
        <w:tc>
          <w:tcPr>
            <w:tcW w:type="dxa" w:w="4032"/>
            <w:shd w:val="clear" w:color="auto" w:fill="003A70"/>
            <w:vAlign w:val="center"/>
          </w:tcPr>
          <w:p>
            <w:pPr>
              <w:spacing w:before="0" w:after="40" w:line="276" w:lineRule="auto"/>
            </w:pPr>
            <w:r/>
            <w:r>
              <w:rPr>
                <w:rFonts w:ascii="Calibri" w:hAnsi="Calibri"/>
                <w:b/>
                <w:color w:val="FFFFFF"/>
                <w:sz w:val="19"/>
              </w:rPr>
              <w:t>KPI</w:t>
            </w:r>
          </w:p>
        </w:tc>
        <w:tc>
          <w:tcPr>
            <w:tcW w:type="dxa" w:w="2160"/>
            <w:shd w:val="clear" w:color="auto" w:fill="003A70"/>
            <w:vAlign w:val="center"/>
          </w:tcPr>
          <w:p>
            <w:pPr>
              <w:spacing w:before="0" w:after="40" w:line="276" w:lineRule="auto"/>
            </w:pPr>
            <w:r/>
            <w:r>
              <w:rPr>
                <w:rFonts w:ascii="Calibri" w:hAnsi="Calibri"/>
                <w:b/>
                <w:color w:val="FFFFFF"/>
                <w:sz w:val="19"/>
              </w:rPr>
              <w:t>Target</w:t>
            </w:r>
          </w:p>
        </w:tc>
        <w:tc>
          <w:tcPr>
            <w:tcW w:type="dxa" w:w="2160"/>
            <w:shd w:val="clear" w:color="auto" w:fill="003A70"/>
            <w:vAlign w:val="center"/>
          </w:tcPr>
          <w:p>
            <w:pPr>
              <w:spacing w:before="0" w:after="40" w:line="276" w:lineRule="auto"/>
            </w:pPr>
            <w:r/>
            <w:r>
              <w:rPr>
                <w:rFonts w:ascii="Calibri" w:hAnsi="Calibri"/>
                <w:b/>
                <w:color w:val="FFFFFF"/>
                <w:sz w:val="19"/>
              </w:rPr>
              <w:t>Red Flag</w:t>
            </w:r>
          </w:p>
        </w:tc>
      </w:tr>
      <w:tr>
        <w:tc>
          <w:tcPr>
            <w:tcW w:type="dxa" w:w="4032"/>
            <w:vAlign w:val="center"/>
          </w:tcPr>
          <w:p>
            <w:pPr>
              <w:spacing w:before="0" w:after="40" w:line="276" w:lineRule="auto"/>
            </w:pPr>
            <w:r/>
            <w:r>
              <w:rPr>
                <w:rFonts w:ascii="Calibri" w:hAnsi="Calibri"/>
                <w:color w:val="333333"/>
                <w:sz w:val="19"/>
              </w:rPr>
              <w:t>Digital Maturity Score (avg)</w:t>
            </w:r>
          </w:p>
        </w:tc>
        <w:tc>
          <w:tcPr>
            <w:tcW w:type="dxa" w:w="2160"/>
            <w:vAlign w:val="center"/>
          </w:tcPr>
          <w:p>
            <w:pPr>
              <w:spacing w:before="0" w:after="40" w:line="276" w:lineRule="auto"/>
            </w:pPr>
            <w:r/>
            <w:r>
              <w:rPr>
                <w:rFonts w:ascii="Calibri" w:hAnsi="Calibri"/>
                <w:color w:val="333333"/>
                <w:sz w:val="19"/>
              </w:rPr>
              <w:t>&gt;3.5 by Year 5</w:t>
            </w:r>
          </w:p>
        </w:tc>
        <w:tc>
          <w:tcPr>
            <w:tcW w:type="dxa" w:w="2160"/>
            <w:vAlign w:val="center"/>
          </w:tcPr>
          <w:p>
            <w:pPr>
              <w:spacing w:before="0" w:after="40" w:line="276" w:lineRule="auto"/>
            </w:pPr>
            <w:r/>
            <w:r>
              <w:rPr>
                <w:rFonts w:ascii="Calibri" w:hAnsi="Calibri"/>
                <w:color w:val="333333"/>
                <w:sz w:val="19"/>
              </w:rPr>
              <w:t>&lt;3.0 by Year 3</w:t>
            </w:r>
          </w:p>
        </w:tc>
      </w:tr>
      <w:tr>
        <w:tc>
          <w:tcPr>
            <w:tcW w:type="dxa" w:w="4032"/>
            <w:shd w:val="clear" w:color="auto" w:fill="F2F2F2"/>
            <w:vAlign w:val="center"/>
          </w:tcPr>
          <w:p>
            <w:pPr>
              <w:spacing w:before="0" w:after="40" w:line="276" w:lineRule="auto"/>
            </w:pPr>
            <w:r/>
            <w:r>
              <w:rPr>
                <w:rFonts w:ascii="Calibri" w:hAnsi="Calibri"/>
                <w:color w:val="333333"/>
                <w:sz w:val="19"/>
              </w:rPr>
              <w:t>Cyber Mean Time to Detect</w:t>
            </w:r>
          </w:p>
        </w:tc>
        <w:tc>
          <w:tcPr>
            <w:tcW w:type="dxa" w:w="2160"/>
            <w:shd w:val="clear" w:color="auto" w:fill="F2F2F2"/>
            <w:vAlign w:val="center"/>
          </w:tcPr>
          <w:p>
            <w:pPr>
              <w:spacing w:before="0" w:after="40" w:line="276" w:lineRule="auto"/>
            </w:pPr>
            <w:r/>
            <w:r>
              <w:rPr>
                <w:rFonts w:ascii="Calibri" w:hAnsi="Calibri"/>
                <w:color w:val="333333"/>
                <w:sz w:val="19"/>
              </w:rPr>
              <w:t>&lt;24 hours</w:t>
            </w:r>
          </w:p>
        </w:tc>
        <w:tc>
          <w:tcPr>
            <w:tcW w:type="dxa" w:w="2160"/>
            <w:shd w:val="clear" w:color="auto" w:fill="F2F2F2"/>
            <w:vAlign w:val="center"/>
          </w:tcPr>
          <w:p>
            <w:pPr>
              <w:spacing w:before="0" w:after="40" w:line="276" w:lineRule="auto"/>
            </w:pPr>
            <w:r/>
            <w:r>
              <w:rPr>
                <w:rFonts w:ascii="Calibri" w:hAnsi="Calibri"/>
                <w:color w:val="333333"/>
                <w:sz w:val="19"/>
              </w:rPr>
              <w:t>&gt;72 hours</w:t>
            </w:r>
          </w:p>
        </w:tc>
      </w:tr>
      <w:tr>
        <w:tc>
          <w:tcPr>
            <w:tcW w:type="dxa" w:w="4032"/>
            <w:vAlign w:val="center"/>
          </w:tcPr>
          <w:p>
            <w:pPr>
              <w:spacing w:before="0" w:after="40" w:line="276" w:lineRule="auto"/>
            </w:pPr>
            <w:r/>
            <w:r>
              <w:rPr>
                <w:rFonts w:ascii="Calibri" w:hAnsi="Calibri"/>
                <w:color w:val="333333"/>
                <w:sz w:val="19"/>
              </w:rPr>
              <w:t>Tech program NPV realization</w:t>
            </w:r>
          </w:p>
        </w:tc>
        <w:tc>
          <w:tcPr>
            <w:tcW w:type="dxa" w:w="2160"/>
            <w:vAlign w:val="center"/>
          </w:tcPr>
          <w:p>
            <w:pPr>
              <w:spacing w:before="0" w:after="40" w:line="276" w:lineRule="auto"/>
            </w:pPr>
            <w:r/>
            <w:r>
              <w:rPr>
                <w:rFonts w:ascii="Calibri" w:hAnsi="Calibri"/>
                <w:color w:val="333333"/>
                <w:sz w:val="19"/>
              </w:rPr>
              <w:t>&gt;80% of plan</w:t>
            </w:r>
          </w:p>
        </w:tc>
        <w:tc>
          <w:tcPr>
            <w:tcW w:type="dxa" w:w="2160"/>
            <w:vAlign w:val="center"/>
          </w:tcPr>
          <w:p>
            <w:pPr>
              <w:spacing w:before="0" w:after="40" w:line="276" w:lineRule="auto"/>
            </w:pPr>
            <w:r/>
            <w:r>
              <w:rPr>
                <w:rFonts w:ascii="Calibri" w:hAnsi="Calibri"/>
                <w:color w:val="333333"/>
                <w:sz w:val="19"/>
              </w:rPr>
              <w:t>&lt;60% of plan</w:t>
            </w:r>
          </w:p>
        </w:tc>
      </w:tr>
      <w:tr>
        <w:tc>
          <w:tcPr>
            <w:tcW w:type="dxa" w:w="4032"/>
            <w:shd w:val="clear" w:color="auto" w:fill="F2F2F2"/>
            <w:vAlign w:val="center"/>
          </w:tcPr>
          <w:p>
            <w:pPr>
              <w:spacing w:before="0" w:after="40" w:line="276" w:lineRule="auto"/>
            </w:pPr>
            <w:r/>
            <w:r>
              <w:rPr>
                <w:rFonts w:ascii="Calibri" w:hAnsi="Calibri"/>
                <w:color w:val="333333"/>
                <w:sz w:val="19"/>
              </w:rPr>
              <w:t>AI models in production (Y5)</w:t>
            </w:r>
          </w:p>
        </w:tc>
        <w:tc>
          <w:tcPr>
            <w:tcW w:type="dxa" w:w="2160"/>
            <w:shd w:val="clear" w:color="auto" w:fill="F2F2F2"/>
            <w:vAlign w:val="center"/>
          </w:tcPr>
          <w:p>
            <w:pPr>
              <w:spacing w:before="0" w:after="40" w:line="276" w:lineRule="auto"/>
            </w:pPr>
            <w:r/>
            <w:r>
              <w:rPr>
                <w:rFonts w:ascii="Calibri" w:hAnsi="Calibri"/>
                <w:color w:val="333333"/>
                <w:sz w:val="19"/>
              </w:rPr>
              <w:t>≥5</w:t>
            </w:r>
          </w:p>
        </w:tc>
        <w:tc>
          <w:tcPr>
            <w:tcW w:type="dxa" w:w="2160"/>
            <w:shd w:val="clear" w:color="auto" w:fill="F2F2F2"/>
            <w:vAlign w:val="center"/>
          </w:tcPr>
          <w:p>
            <w:pPr>
              <w:spacing w:before="0" w:after="40" w:line="276" w:lineRule="auto"/>
            </w:pPr>
            <w:r/>
            <w:r>
              <w:rPr>
                <w:rFonts w:ascii="Calibri" w:hAnsi="Calibri"/>
                <w:color w:val="333333"/>
                <w:sz w:val="19"/>
              </w:rPr>
              <w:t>&lt;3</w:t>
            </w:r>
          </w:p>
        </w:tc>
      </w:tr>
      <w:tr>
        <w:tc>
          <w:tcPr>
            <w:tcW w:type="dxa" w:w="4032"/>
            <w:vAlign w:val="center"/>
          </w:tcPr>
          <w:p>
            <w:pPr>
              <w:spacing w:before="0" w:after="40" w:line="276" w:lineRule="auto"/>
            </w:pPr>
            <w:r/>
            <w:r>
              <w:rPr>
                <w:rFonts w:ascii="Calibri" w:hAnsi="Calibri"/>
                <w:color w:val="333333"/>
                <w:sz w:val="19"/>
              </w:rPr>
              <w:t>Incident response tabletop frequency</w:t>
            </w:r>
          </w:p>
        </w:tc>
        <w:tc>
          <w:tcPr>
            <w:tcW w:type="dxa" w:w="2160"/>
            <w:vAlign w:val="center"/>
          </w:tcPr>
          <w:p>
            <w:pPr>
              <w:spacing w:before="0" w:after="40" w:line="276" w:lineRule="auto"/>
            </w:pPr>
            <w:r/>
            <w:r>
              <w:rPr>
                <w:rFonts w:ascii="Calibri" w:hAnsi="Calibri"/>
                <w:color w:val="333333"/>
                <w:sz w:val="19"/>
              </w:rPr>
              <w:t>Quarterly</w:t>
            </w:r>
          </w:p>
        </w:tc>
        <w:tc>
          <w:tcPr>
            <w:tcW w:type="dxa" w:w="2160"/>
            <w:vAlign w:val="center"/>
          </w:tcPr>
          <w:p>
            <w:pPr>
              <w:spacing w:before="0" w:after="40" w:line="276" w:lineRule="auto"/>
            </w:pPr>
            <w:r/>
            <w:r>
              <w:rPr>
                <w:rFonts w:ascii="Calibri" w:hAnsi="Calibri"/>
                <w:color w:val="333333"/>
                <w:sz w:val="19"/>
              </w:rPr>
              <w:t>Missed any quarter</w:t>
            </w:r>
          </w:p>
        </w:tc>
      </w:tr>
      <w:tr>
        <w:tc>
          <w:tcPr>
            <w:tcW w:type="dxa" w:w="4032"/>
            <w:shd w:val="clear" w:color="auto" w:fill="F2F2F2"/>
            <w:vAlign w:val="center"/>
          </w:tcPr>
          <w:p>
            <w:pPr>
              <w:spacing w:before="0" w:after="40" w:line="276" w:lineRule="auto"/>
            </w:pPr>
            <w:r/>
            <w:r>
              <w:rPr>
                <w:rFonts w:ascii="Calibri" w:hAnsi="Calibri"/>
                <w:color w:val="333333"/>
                <w:sz w:val="19"/>
              </w:rPr>
              <w:t>% revenue from digital services (Y10)</w:t>
            </w:r>
          </w:p>
        </w:tc>
        <w:tc>
          <w:tcPr>
            <w:tcW w:type="dxa" w:w="2160"/>
            <w:shd w:val="clear" w:color="auto" w:fill="F2F2F2"/>
            <w:vAlign w:val="center"/>
          </w:tcPr>
          <w:p>
            <w:pPr>
              <w:spacing w:before="0" w:after="40" w:line="276" w:lineRule="auto"/>
            </w:pPr>
            <w:r/>
            <w:r>
              <w:rPr>
                <w:rFonts w:ascii="Calibri" w:hAnsi="Calibri"/>
                <w:color w:val="333333"/>
                <w:sz w:val="19"/>
              </w:rPr>
              <w:t>≥15%</w:t>
            </w:r>
          </w:p>
        </w:tc>
        <w:tc>
          <w:tcPr>
            <w:tcW w:type="dxa" w:w="2160"/>
            <w:shd w:val="clear" w:color="auto" w:fill="F2F2F2"/>
            <w:vAlign w:val="center"/>
          </w:tcPr>
          <w:p>
            <w:pPr>
              <w:spacing w:before="0" w:after="40" w:line="276" w:lineRule="auto"/>
            </w:pPr>
            <w:r/>
            <w:r>
              <w:rPr>
                <w:rFonts w:ascii="Calibri" w:hAnsi="Calibri"/>
                <w:color w:val="333333"/>
                <w:sz w:val="19"/>
              </w:rPr>
              <w:t>&lt;8%</w:t>
            </w:r>
          </w:p>
        </w:tc>
      </w:tr>
      <w:tr>
        <w:tc>
          <w:tcPr>
            <w:tcW w:type="dxa" w:w="4032"/>
            <w:vAlign w:val="center"/>
          </w:tcPr>
          <w:p>
            <w:pPr>
              <w:spacing w:before="0" w:after="40" w:line="276" w:lineRule="auto"/>
            </w:pPr>
            <w:r/>
            <w:r>
              <w:rPr>
                <w:rFonts w:ascii="Calibri" w:hAnsi="Calibri"/>
                <w:color w:val="333333"/>
                <w:sz w:val="19"/>
              </w:rPr>
              <w:t>Program delivery velocity</w:t>
            </w:r>
          </w:p>
        </w:tc>
        <w:tc>
          <w:tcPr>
            <w:tcW w:type="dxa" w:w="2160"/>
            <w:vAlign w:val="center"/>
          </w:tcPr>
          <w:p>
            <w:pPr>
              <w:spacing w:before="0" w:after="40" w:line="276" w:lineRule="auto"/>
            </w:pPr>
            <w:r/>
            <w:r>
              <w:rPr>
                <w:rFonts w:ascii="Calibri" w:hAnsi="Calibri"/>
                <w:color w:val="333333"/>
                <w:sz w:val="19"/>
              </w:rPr>
              <w:t>≥85% milestones on time</w:t>
            </w:r>
          </w:p>
        </w:tc>
        <w:tc>
          <w:tcPr>
            <w:tcW w:type="dxa" w:w="2160"/>
            <w:vAlign w:val="center"/>
          </w:tcPr>
          <w:p>
            <w:pPr>
              <w:spacing w:before="0" w:after="40" w:line="276" w:lineRule="auto"/>
            </w:pPr>
            <w:r/>
            <w:r>
              <w:rPr>
                <w:rFonts w:ascii="Calibri" w:hAnsi="Calibri"/>
                <w:color w:val="333333"/>
                <w:sz w:val="19"/>
              </w:rPr>
              <w:t>&lt;70%</w:t>
            </w:r>
          </w:p>
        </w:tc>
      </w:tr>
      <w:tr>
        <w:tc>
          <w:tcPr>
            <w:tcW w:type="dxa" w:w="4032"/>
            <w:shd w:val="clear" w:color="auto" w:fill="F2F2F2"/>
            <w:vAlign w:val="center"/>
          </w:tcPr>
          <w:p>
            <w:pPr>
              <w:spacing w:before="0" w:after="40" w:line="276" w:lineRule="auto"/>
            </w:pPr>
            <w:r/>
            <w:r>
              <w:rPr>
                <w:rFonts w:ascii="Calibri" w:hAnsi="Calibri"/>
                <w:color w:val="333333"/>
                <w:sz w:val="19"/>
              </w:rPr>
              <w:t>Tech debt drag reduction</w:t>
            </w:r>
          </w:p>
        </w:tc>
        <w:tc>
          <w:tcPr>
            <w:tcW w:type="dxa" w:w="2160"/>
            <w:shd w:val="clear" w:color="auto" w:fill="F2F2F2"/>
            <w:vAlign w:val="center"/>
          </w:tcPr>
          <w:p>
            <w:pPr>
              <w:spacing w:before="0" w:after="40" w:line="276" w:lineRule="auto"/>
            </w:pPr>
            <w:r/>
            <w:r>
              <w:rPr>
                <w:rFonts w:ascii="Calibri" w:hAnsi="Calibri"/>
                <w:color w:val="333333"/>
                <w:sz w:val="19"/>
              </w:rPr>
              <w:t>-50% by Year 5</w:t>
            </w:r>
          </w:p>
        </w:tc>
        <w:tc>
          <w:tcPr>
            <w:tcW w:type="dxa" w:w="2160"/>
            <w:shd w:val="clear" w:color="auto" w:fill="F2F2F2"/>
            <w:vAlign w:val="center"/>
          </w:tcPr>
          <w:p>
            <w:pPr>
              <w:spacing w:before="0" w:after="40" w:line="276" w:lineRule="auto"/>
            </w:pPr>
            <w:r/>
            <w:r>
              <w:rPr>
                <w:rFonts w:ascii="Calibri" w:hAnsi="Calibri"/>
                <w:color w:val="333333"/>
                <w:sz w:val="19"/>
              </w:rPr>
              <w:t>&lt;-25% by Year 5</w:t>
            </w:r>
          </w:p>
        </w:tc>
      </w:tr>
    </w:tbl>
    <w:p>
      <w:pPr>
        <w:spacing w:before="0" w:after="160" w:line="288" w:lineRule="auto"/>
      </w:pPr>
      <w:r>
        <w:rPr>
          <w:rFonts w:ascii="Calibri" w:hAnsi="Calibri"/>
          <w:b w:val="0"/>
          <w:i w:val="0"/>
        </w:rPr>
      </w:r>
    </w:p>
    <w:p>
      <w:pPr>
        <w:pStyle w:val="Heading2"/>
        <w:spacing w:before="280" w:after="120" w:line="276" w:lineRule="auto"/>
      </w:pPr>
      <w:r>
        <w:t>9.3 Change Management &amp; Talent Strategy</w:t>
      </w:r>
    </w:p>
    <w:p>
      <w:pPr>
        <w:spacing w:before="0" w:after="160" w:line="300" w:lineRule="auto"/>
      </w:pPr>
      <w:r>
        <w:rPr>
          <w:rFonts w:ascii="Calibri" w:hAnsi="Calibri"/>
          <w:b w:val="0"/>
          <w:i w:val="0"/>
          <w:sz w:val="21"/>
        </w:rPr>
        <w:t>Technology transformation fails when change management is neglected. We recommend a dedicated change management stream with ~5% of program budget, focused on: (i) executive sponsorship and visible commitment, (ii) middle-manager enablement, (iii) producer/member communication about digital channels, (iv) training and upskilling for affected roles, and (v) celebration of early wins.</w:t>
      </w:r>
    </w:p>
    <w:p>
      <w:pPr>
        <w:spacing w:before="0" w:after="160" w:line="300" w:lineRule="auto"/>
      </w:pPr>
      <w:r>
        <w:rPr>
          <w:rFonts w:ascii="Calibri" w:hAnsi="Calibri"/>
          <w:b w:val="0"/>
          <w:i w:val="0"/>
          <w:sz w:val="21"/>
        </w:rPr>
        <w:t>Talent strategy: (i) hire 2-3 senior data/AI roles in Year 1, (ii) partner with 2-3 land-grant universities for internship and co-op pipelines, (iii) invest in existing staff upskilling (certifications, conferences, rotational assignments), (iv) compete on mission and autonomy where PLMA cannot compete on total comp.</w:t>
      </w:r>
    </w:p>
    <w:p>
      <w:r>
        <w:br w:type="page"/>
      </w:r>
    </w:p>
    <w:p>
      <w:pPr>
        <w:pStyle w:val="Heading1"/>
        <w:spacing w:before="0" w:after="240" w:line="276" w:lineRule="auto"/>
        <w:pBdr>
          <w:bottom w:val="single" w:sz="12" w:space="4" w:color="003A70"/>
        </w:pBdr>
      </w:pPr>
      <w:r>
        <w:t>10. Conclusion &amp; Next Steps</w:t>
      </w:r>
    </w:p>
    <w:p>
      <w:pPr>
        <w:spacing w:before="0" w:after="160" w:line="300" w:lineRule="auto"/>
      </w:pPr>
      <w:r>
        <w:rPr>
          <w:rFonts w:ascii="Calibri" w:hAnsi="Calibri"/>
          <w:b w:val="0"/>
          <w:i w:val="0"/>
          <w:sz w:val="21"/>
        </w:rPr>
        <w:t>PLMA faces a decade-defining decision. The cooperative can continue its current technology trajectory — incremental upgrades, reactive cyber posture, manual decisioning — and watch digital-native entrants capture share, talent, and strategic initiative. Or PLMA can make a disciplined, phased $4.8M Year-1 investment that stabilizes the risk surface, proves AI value, and begins a 10-year transformation to an AI-native, platform-oriented cooperative.</w:t>
      </w:r>
    </w:p>
    <w:tbl>
      <w:tblPr>
        <w:tblW w:type="auto" w:w="0"/>
        <w:tblLook w:firstColumn="1" w:firstRow="1" w:lastColumn="0" w:lastRow="0" w:noHBand="0" w:noVBand="1" w:val="04A0"/>
      </w:tblPr>
      <w:tblGrid>
        <w:gridCol w:w="9360"/>
      </w:tblGrid>
      <w:tr>
        <w:tc>
          <w:tcPr>
            <w:tcW w:type="dxa" w:w="9360"/>
            <w:shd w:val="clear" w:color="auto" w:fill="DEEBF7"/>
            <w:tcBorders>
              <w:top w:val="single" w:sz="4" w:color="003A70" w:space="0"/>
              <w:left w:val="single" w:sz="36" w:color="003A70" w:space="0"/>
              <w:bottom w:val="single" w:sz="4" w:color="003A70" w:space="0"/>
              <w:right w:val="single" w:sz="4" w:color="003A70" w:space="0"/>
            </w:tcBorders>
          </w:tcPr>
          <w:p>
            <w:pPr>
              <w:spacing w:before="0" w:after="60" w:line="276" w:lineRule="auto"/>
            </w:pPr>
            <w:r/>
            <w:r>
              <w:rPr>
                <w:rFonts w:ascii="Calibri" w:hAnsi="Calibri"/>
                <w:b/>
                <w:color w:val="003A70"/>
                <w:sz w:val="18"/>
              </w:rPr>
              <w:t>THE CORE THESIS</w:t>
            </w:r>
          </w:p>
          <w:p>
            <w:pPr>
              <w:spacing w:before="0" w:after="80" w:line="288" w:lineRule="auto"/>
            </w:pPr>
            <w:r>
              <w:rPr>
                <w:rFonts w:ascii="Calibri" w:hAnsi="Calibri"/>
                <w:color w:val="333333"/>
                <w:sz w:val="20"/>
              </w:rPr>
              <w:t>Technology inaction is not neutral. Every month of delay costs approximately $730K in foregone value ($8.8M tech debt drag + missed benefit capture), grows the disruption gap vs. peers, and compounds cyber tail risk. The recommended program pays for itself within 18 months and delivers ~$34M in 10-year NPV. This is the rare transformation where the financial case, risk case, and strategic case all align.</w:t>
            </w:r>
          </w:p>
        </w:tc>
      </w:tr>
    </w:tbl>
    <w:p>
      <w:pPr>
        <w:spacing w:before="0" w:after="160" w:line="288" w:lineRule="auto"/>
      </w:pPr>
      <w:r>
        <w:rPr>
          <w:rFonts w:ascii="Calibri" w:hAnsi="Calibri"/>
          <w:b w:val="0"/>
          <w:i w:val="0"/>
        </w:rPr>
      </w:r>
    </w:p>
    <w:p>
      <w:pPr>
        <w:pStyle w:val="Heading2"/>
        <w:spacing w:before="280" w:after="120" w:line="276" w:lineRule="auto"/>
      </w:pPr>
      <w:r>
        <w:t>10.1 Immediate Actions (First 90 Days)</w:t>
      </w:r>
    </w:p>
    <w:p>
      <w:pPr>
        <w:pStyle w:val="ListBullet"/>
        <w:spacing w:before="0" w:after="60" w:line="288" w:lineRule="auto"/>
      </w:pPr>
      <w:r>
        <w:rPr>
          <w:rFonts w:ascii="Calibri" w:hAnsi="Calibri"/>
          <w:color w:val="333333"/>
          <w:sz w:val="21"/>
        </w:rPr>
        <w:t>Week 1-2: CFO-led alignment on findings; Tech Investment Committee founded</w:t>
      </w:r>
    </w:p>
    <w:p>
      <w:pPr>
        <w:pStyle w:val="ListBullet"/>
        <w:spacing w:before="0" w:after="60" w:line="288" w:lineRule="auto"/>
      </w:pPr>
      <w:r>
        <w:rPr>
          <w:rFonts w:ascii="Calibri" w:hAnsi="Calibri"/>
          <w:color w:val="333333"/>
          <w:sz w:val="21"/>
        </w:rPr>
        <w:t>Week 2-4: Board Risk &amp; Technology Committee briefing; approval of Year-1 budget ($4.8M)</w:t>
      </w:r>
    </w:p>
    <w:p>
      <w:pPr>
        <w:pStyle w:val="ListBullet"/>
        <w:spacing w:before="0" w:after="60" w:line="288" w:lineRule="auto"/>
      </w:pPr>
      <w:r>
        <w:rPr>
          <w:rFonts w:ascii="Calibri" w:hAnsi="Calibri"/>
          <w:color w:val="333333"/>
          <w:sz w:val="21"/>
        </w:rPr>
        <w:t>Week 4-8: Cybersecurity gap assessment; RFP for MSSP/SOC services</w:t>
      </w:r>
    </w:p>
    <w:p>
      <w:pPr>
        <w:pStyle w:val="ListBullet"/>
        <w:spacing w:before="0" w:after="60" w:line="288" w:lineRule="auto"/>
      </w:pPr>
      <w:r>
        <w:rPr>
          <w:rFonts w:ascii="Calibri" w:hAnsi="Calibri"/>
          <w:color w:val="333333"/>
          <w:sz w:val="21"/>
        </w:rPr>
        <w:t>Week 4-8: Cloud strategy finalization; hyperscaler selection</w:t>
      </w:r>
    </w:p>
    <w:p>
      <w:pPr>
        <w:pStyle w:val="ListBullet"/>
        <w:spacing w:before="0" w:after="60" w:line="288" w:lineRule="auto"/>
      </w:pPr>
      <w:r>
        <w:rPr>
          <w:rFonts w:ascii="Calibri" w:hAnsi="Calibri"/>
          <w:color w:val="333333"/>
          <w:sz w:val="21"/>
        </w:rPr>
        <w:t>Week 6-10: Senior data/AI leader recruitment launch (2-3 hires)</w:t>
      </w:r>
    </w:p>
    <w:p>
      <w:pPr>
        <w:pStyle w:val="ListBullet"/>
        <w:spacing w:before="0" w:after="60" w:line="288" w:lineRule="auto"/>
      </w:pPr>
      <w:r>
        <w:rPr>
          <w:rFonts w:ascii="Calibri" w:hAnsi="Calibri"/>
          <w:color w:val="333333"/>
          <w:sz w:val="21"/>
        </w:rPr>
        <w:t>Week 8-12: AI Governance Council chartered; NIST AI RMF adoption documented</w:t>
      </w:r>
    </w:p>
    <w:p>
      <w:pPr>
        <w:pStyle w:val="ListBullet"/>
        <w:spacing w:before="0" w:after="60" w:line="288" w:lineRule="auto"/>
      </w:pPr>
      <w:r>
        <w:rPr>
          <w:rFonts w:ascii="Calibri" w:hAnsi="Calibri"/>
          <w:color w:val="333333"/>
          <w:sz w:val="21"/>
        </w:rPr>
        <w:t>Week 8-12: RPA use case selection &amp; vendor selection (AR/AP workflow first)</w:t>
      </w:r>
    </w:p>
    <w:p>
      <w:pPr>
        <w:pStyle w:val="ListBullet"/>
        <w:spacing w:before="0" w:after="60" w:line="288" w:lineRule="auto"/>
      </w:pPr>
      <w:r>
        <w:rPr>
          <w:rFonts w:ascii="Calibri" w:hAnsi="Calibri"/>
          <w:color w:val="333333"/>
          <w:sz w:val="21"/>
        </w:rPr>
        <w:t>Week 10-13: Integrated PMO established linking Report #1 and Report #2 workstreams</w:t>
      </w:r>
    </w:p>
    <w:p>
      <w:pPr>
        <w:pStyle w:val="Heading2"/>
        <w:spacing w:before="280" w:after="120" w:line="276" w:lineRule="auto"/>
      </w:pPr>
      <w:r>
        <w:t>10.2 Integration with Report #1 (Counterparty Credit Risk)</w:t>
      </w:r>
    </w:p>
    <w:p>
      <w:pPr>
        <w:spacing w:before="0" w:after="160" w:line="300" w:lineRule="auto"/>
      </w:pPr>
      <w:r>
        <w:rPr>
          <w:rFonts w:ascii="Calibri" w:hAnsi="Calibri"/>
          <w:b w:val="0"/>
          <w:i w:val="0"/>
          <w:sz w:val="21"/>
        </w:rPr>
        <w:t>Both reports identify a common root cause — inadequate analytical infrastructure — and converge on an integrated solution. We recommend PLMA establish ONE integrated transformation program with unified governance, shared PMO, and consolidated KPI reporting. The credit risk mitigation and technology strategy are two lenses on the same modernization imperative.</w:t>
      </w:r>
    </w:p>
    <w:p>
      <w:pPr>
        <w:pStyle w:val="Heading2"/>
        <w:spacing w:before="280" w:after="120" w:line="276" w:lineRule="auto"/>
      </w:pPr>
      <w:r>
        <w:t>10.3 Phase 2 Engagement Model</w:t>
      </w:r>
    </w:p>
    <w:p>
      <w:pPr>
        <w:spacing w:before="0" w:after="160" w:line="300" w:lineRule="auto"/>
      </w:pPr>
      <w:r>
        <w:rPr>
          <w:rFonts w:ascii="Calibri" w:hAnsi="Calibri"/>
          <w:b w:val="0"/>
          <w:i w:val="0"/>
          <w:sz w:val="21"/>
        </w:rPr>
        <w:t>For Horizon 2 and Horizon 3 workstreams, we recommend: (i) quarterly progress reviews against Three Horizons roadmap, (ii) annual strategy refresh against emerging tech developments (particularly in AI), (iii) on-call advisory for vendor selection and major architecture decisions, (iv) independent model risk review for AI credit scoring on 18-month cycle.</w:t>
      </w:r>
    </w:p>
    <w:p>
      <w:pPr>
        <w:spacing w:before="0" w:after="160" w:line="300" w:lineRule="auto"/>
      </w:pPr>
      <w:r>
        <w:rPr>
          <w:rFonts w:ascii="Calibri" w:hAnsi="Calibri"/>
          <w:b w:val="0"/>
          <w:i w:val="0"/>
          <w:sz w:val="21"/>
        </w:rPr>
        <w:t>PLMA has the institutional trust, market access, and producer relationships that no digital-native entrant can replicate. The question is whether PLMA will also have the technology capability to defend and extend that position. The financial case is unambiguous. The strategic case is unambiguous. The risk case is unambiguous. The decision rests with leadership.</w:t>
      </w:r>
    </w:p>
    <w:p>
      <w:r>
        <w:br w:type="page"/>
      </w:r>
    </w:p>
    <w:p>
      <w:pPr>
        <w:pStyle w:val="Heading1"/>
        <w:spacing w:before="0" w:after="240" w:line="276" w:lineRule="auto"/>
        <w:pBdr>
          <w:bottom w:val="single" w:sz="12" w:space="4" w:color="003A70"/>
        </w:pBdr>
      </w:pPr>
      <w:r>
        <w:t>Appendix A: Use Case Scorecards</w:t>
      </w:r>
    </w:p>
    <w:p>
      <w:pPr>
        <w:spacing w:before="0" w:after="160" w:line="300" w:lineRule="auto"/>
      </w:pPr>
      <w:r>
        <w:rPr>
          <w:rFonts w:ascii="Calibri" w:hAnsi="Calibri"/>
          <w:b w:val="0"/>
          <w:i w:val="0"/>
          <w:sz w:val="21"/>
        </w:rPr>
        <w:t>The 12 AI/tech use cases are detailed below with scoring rationale. Value scores reflect strategic importance and financial impact potential. Feasibility scores reflect technical readiness, organizational readiness, and data availability.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304"/>
            <w:shd w:val="clear" w:color="auto" w:fill="003A70"/>
            <w:vAlign w:val="center"/>
          </w:tcPr>
          <w:p>
            <w:pPr>
              <w:spacing w:before="0" w:after="40" w:line="276" w:lineRule="auto"/>
            </w:pPr>
            <w:r/>
            <w:r>
              <w:rPr>
                <w:rFonts w:ascii="Calibri" w:hAnsi="Calibri"/>
                <w:b/>
                <w:color w:val="FFFFFF"/>
                <w:sz w:val="19"/>
              </w:rPr>
              <w:t>Use Case</w:t>
            </w:r>
          </w:p>
        </w:tc>
        <w:tc>
          <w:tcPr>
            <w:tcW w:type="dxa" w:w="1152"/>
            <w:shd w:val="clear" w:color="auto" w:fill="003A70"/>
            <w:vAlign w:val="center"/>
          </w:tcPr>
          <w:p>
            <w:pPr>
              <w:spacing w:before="0" w:after="40" w:line="276" w:lineRule="auto"/>
            </w:pPr>
            <w:r/>
            <w:r>
              <w:rPr>
                <w:rFonts w:ascii="Calibri" w:hAnsi="Calibri"/>
                <w:b/>
                <w:color w:val="FFFFFF"/>
                <w:sz w:val="19"/>
              </w:rPr>
              <w:t>Cat.</w:t>
            </w:r>
          </w:p>
        </w:tc>
        <w:tc>
          <w:tcPr>
            <w:tcW w:type="dxa" w:w="864"/>
            <w:shd w:val="clear" w:color="auto" w:fill="003A70"/>
            <w:vAlign w:val="center"/>
          </w:tcPr>
          <w:p>
            <w:pPr>
              <w:spacing w:before="0" w:after="40" w:line="276" w:lineRule="auto"/>
            </w:pPr>
            <w:r/>
            <w:r>
              <w:rPr>
                <w:rFonts w:ascii="Calibri" w:hAnsi="Calibri"/>
                <w:b/>
                <w:color w:val="FFFFFF"/>
                <w:sz w:val="19"/>
              </w:rPr>
              <w:t>Value</w:t>
            </w:r>
          </w:p>
        </w:tc>
        <w:tc>
          <w:tcPr>
            <w:tcW w:type="dxa" w:w="864"/>
            <w:shd w:val="clear" w:color="auto" w:fill="003A70"/>
            <w:vAlign w:val="center"/>
          </w:tcPr>
          <w:p>
            <w:pPr>
              <w:spacing w:before="0" w:after="40" w:line="276" w:lineRule="auto"/>
            </w:pPr>
            <w:r/>
            <w:r>
              <w:rPr>
                <w:rFonts w:ascii="Calibri" w:hAnsi="Calibri"/>
                <w:b/>
                <w:color w:val="FFFFFF"/>
                <w:sz w:val="19"/>
              </w:rPr>
              <w:t>Feas.</w:t>
            </w:r>
          </w:p>
        </w:tc>
        <w:tc>
          <w:tcPr>
            <w:tcW w:type="dxa" w:w="1152"/>
            <w:shd w:val="clear" w:color="auto" w:fill="003A70"/>
            <w:vAlign w:val="center"/>
          </w:tcPr>
          <w:p>
            <w:pPr>
              <w:spacing w:before="0" w:after="40" w:line="276" w:lineRule="auto"/>
            </w:pPr>
            <w:r/>
            <w:r>
              <w:rPr>
                <w:rFonts w:ascii="Calibri" w:hAnsi="Calibri"/>
                <w:b/>
                <w:color w:val="FFFFFF"/>
                <w:sz w:val="19"/>
              </w:rPr>
              <w:t>10yr NPV</w:t>
            </w:r>
          </w:p>
        </w:tc>
        <w:tc>
          <w:tcPr>
            <w:tcW w:type="dxa" w:w="3024"/>
            <w:shd w:val="clear" w:color="auto" w:fill="003A70"/>
            <w:vAlign w:val="center"/>
          </w:tcPr>
          <w:p>
            <w:pPr>
              <w:spacing w:before="0" w:after="40" w:line="276" w:lineRule="auto"/>
            </w:pPr>
            <w:r/>
            <w:r>
              <w:rPr>
                <w:rFonts w:ascii="Calibri" w:hAnsi="Calibri"/>
                <w:b/>
                <w:color w:val="FFFFFF"/>
                <w:sz w:val="19"/>
              </w:rPr>
              <w:t>Rationale</w:t>
            </w:r>
          </w:p>
        </w:tc>
      </w:tr>
      <w:tr>
        <w:tc>
          <w:tcPr>
            <w:tcW w:type="dxa" w:w="2304"/>
            <w:vAlign w:val="center"/>
          </w:tcPr>
          <w:p>
            <w:pPr>
              <w:spacing w:before="0" w:after="40" w:line="276" w:lineRule="auto"/>
            </w:pPr>
            <w:r/>
            <w:r>
              <w:rPr>
                <w:rFonts w:ascii="Calibri" w:hAnsi="Calibri"/>
                <w:color w:val="333333"/>
                <w:sz w:val="19"/>
              </w:rPr>
              <w:t>ML Credit Scoring</w:t>
            </w:r>
          </w:p>
        </w:tc>
        <w:tc>
          <w:tcPr>
            <w:tcW w:type="dxa" w:w="1152"/>
            <w:vAlign w:val="center"/>
          </w:tcPr>
          <w:p>
            <w:pPr>
              <w:spacing w:before="0" w:after="40" w:line="276" w:lineRule="auto"/>
            </w:pPr>
            <w:r/>
            <w:r>
              <w:rPr>
                <w:rFonts w:ascii="Calibri" w:hAnsi="Calibri"/>
                <w:color w:val="333333"/>
                <w:sz w:val="19"/>
              </w:rPr>
              <w:t>AI/ML</w:t>
            </w:r>
          </w:p>
        </w:tc>
        <w:tc>
          <w:tcPr>
            <w:tcW w:type="dxa" w:w="864"/>
            <w:vAlign w:val="center"/>
          </w:tcPr>
          <w:p>
            <w:pPr>
              <w:spacing w:before="0" w:after="40" w:line="276" w:lineRule="auto"/>
            </w:pPr>
            <w:r/>
            <w:r>
              <w:rPr>
                <w:rFonts w:ascii="Calibri" w:hAnsi="Calibri"/>
                <w:color w:val="333333"/>
                <w:sz w:val="19"/>
              </w:rPr>
              <w:t>9/10</w:t>
            </w:r>
          </w:p>
        </w:tc>
        <w:tc>
          <w:tcPr>
            <w:tcW w:type="dxa" w:w="864"/>
            <w:vAlign w:val="center"/>
          </w:tcPr>
          <w:p>
            <w:pPr>
              <w:spacing w:before="0" w:after="40" w:line="276" w:lineRule="auto"/>
            </w:pPr>
            <w:r/>
            <w:r>
              <w:rPr>
                <w:rFonts w:ascii="Calibri" w:hAnsi="Calibri"/>
                <w:color w:val="333333"/>
                <w:sz w:val="19"/>
              </w:rPr>
              <w:t>8/10</w:t>
            </w:r>
          </w:p>
        </w:tc>
        <w:tc>
          <w:tcPr>
            <w:tcW w:type="dxa" w:w="1152"/>
            <w:vAlign w:val="center"/>
          </w:tcPr>
          <w:p>
            <w:pPr>
              <w:spacing w:before="0" w:after="40" w:line="276" w:lineRule="auto"/>
            </w:pPr>
            <w:r/>
            <w:r>
              <w:rPr>
                <w:rFonts w:ascii="Calibri" w:hAnsi="Calibri"/>
                <w:color w:val="333333"/>
                <w:sz w:val="19"/>
              </w:rPr>
              <w:t>$7.5M</w:t>
            </w:r>
          </w:p>
        </w:tc>
        <w:tc>
          <w:tcPr>
            <w:tcW w:type="dxa" w:w="3024"/>
            <w:vAlign w:val="center"/>
          </w:tcPr>
          <w:p>
            <w:pPr>
              <w:spacing w:before="0" w:after="40" w:line="276" w:lineRule="auto"/>
            </w:pPr>
            <w:r/>
            <w:r>
              <w:rPr>
                <w:rFonts w:ascii="Calibri" w:hAnsi="Calibri"/>
                <w:color w:val="333333"/>
                <w:sz w:val="19"/>
              </w:rPr>
              <w:t>Direct link to Report #1 credit losses. Rich internal data. Vendor solutions mature.</w:t>
            </w:r>
          </w:p>
        </w:tc>
      </w:tr>
      <w:tr>
        <w:tc>
          <w:tcPr>
            <w:tcW w:type="dxa" w:w="2304"/>
            <w:shd w:val="clear" w:color="auto" w:fill="F2F2F2"/>
            <w:vAlign w:val="center"/>
          </w:tcPr>
          <w:p>
            <w:pPr>
              <w:spacing w:before="0" w:after="40" w:line="276" w:lineRule="auto"/>
            </w:pPr>
            <w:r/>
            <w:r>
              <w:rPr>
                <w:rFonts w:ascii="Calibri" w:hAnsi="Calibri"/>
                <w:color w:val="333333"/>
                <w:sz w:val="19"/>
              </w:rPr>
              <w:t>GenAI Doc Processing</w:t>
            </w:r>
          </w:p>
        </w:tc>
        <w:tc>
          <w:tcPr>
            <w:tcW w:type="dxa" w:w="1152"/>
            <w:shd w:val="clear" w:color="auto" w:fill="F2F2F2"/>
            <w:vAlign w:val="center"/>
          </w:tcPr>
          <w:p>
            <w:pPr>
              <w:spacing w:before="0" w:after="40" w:line="276" w:lineRule="auto"/>
            </w:pPr>
            <w:r/>
            <w:r>
              <w:rPr>
                <w:rFonts w:ascii="Calibri" w:hAnsi="Calibri"/>
                <w:color w:val="333333"/>
                <w:sz w:val="19"/>
              </w:rPr>
              <w:t>GenAI</w:t>
            </w:r>
          </w:p>
        </w:tc>
        <w:tc>
          <w:tcPr>
            <w:tcW w:type="dxa" w:w="864"/>
            <w:shd w:val="clear" w:color="auto" w:fill="F2F2F2"/>
            <w:vAlign w:val="center"/>
          </w:tcPr>
          <w:p>
            <w:pPr>
              <w:spacing w:before="0" w:after="40" w:line="276" w:lineRule="auto"/>
            </w:pPr>
            <w:r/>
            <w:r>
              <w:rPr>
                <w:rFonts w:ascii="Calibri" w:hAnsi="Calibri"/>
                <w:color w:val="333333"/>
                <w:sz w:val="19"/>
              </w:rPr>
              <w:t>8/10</w:t>
            </w:r>
          </w:p>
        </w:tc>
        <w:tc>
          <w:tcPr>
            <w:tcW w:type="dxa" w:w="864"/>
            <w:shd w:val="clear" w:color="auto" w:fill="F2F2F2"/>
            <w:vAlign w:val="center"/>
          </w:tcPr>
          <w:p>
            <w:pPr>
              <w:spacing w:before="0" w:after="40" w:line="276" w:lineRule="auto"/>
            </w:pPr>
            <w:r/>
            <w:r>
              <w:rPr>
                <w:rFonts w:ascii="Calibri" w:hAnsi="Calibri"/>
                <w:color w:val="333333"/>
                <w:sz w:val="19"/>
              </w:rPr>
              <w:t>9/10</w:t>
            </w:r>
          </w:p>
        </w:tc>
        <w:tc>
          <w:tcPr>
            <w:tcW w:type="dxa" w:w="1152"/>
            <w:shd w:val="clear" w:color="auto" w:fill="F2F2F2"/>
            <w:vAlign w:val="center"/>
          </w:tcPr>
          <w:p>
            <w:pPr>
              <w:spacing w:before="0" w:after="40" w:line="276" w:lineRule="auto"/>
            </w:pPr>
            <w:r/>
            <w:r>
              <w:rPr>
                <w:rFonts w:ascii="Calibri" w:hAnsi="Calibri"/>
                <w:color w:val="333333"/>
                <w:sz w:val="19"/>
              </w:rPr>
              <w:t>$6.8M</w:t>
            </w:r>
          </w:p>
        </w:tc>
        <w:tc>
          <w:tcPr>
            <w:tcW w:type="dxa" w:w="3024"/>
            <w:shd w:val="clear" w:color="auto" w:fill="F2F2F2"/>
            <w:vAlign w:val="center"/>
          </w:tcPr>
          <w:p>
            <w:pPr>
              <w:spacing w:before="0" w:after="40" w:line="276" w:lineRule="auto"/>
            </w:pPr>
            <w:r/>
            <w:r>
              <w:rPr>
                <w:rFonts w:ascii="Calibri" w:hAnsi="Calibri"/>
                <w:color w:val="333333"/>
                <w:sz w:val="19"/>
              </w:rPr>
              <w:t>High-volume, clear ROI. Mature vendor offerings. Low risk.</w:t>
            </w:r>
          </w:p>
        </w:tc>
      </w:tr>
      <w:tr>
        <w:tc>
          <w:tcPr>
            <w:tcW w:type="dxa" w:w="2304"/>
            <w:vAlign w:val="center"/>
          </w:tcPr>
          <w:p>
            <w:pPr>
              <w:spacing w:before="0" w:after="40" w:line="276" w:lineRule="auto"/>
            </w:pPr>
            <w:r/>
            <w:r>
              <w:rPr>
                <w:rFonts w:ascii="Calibri" w:hAnsi="Calibri"/>
                <w:color w:val="333333"/>
                <w:sz w:val="19"/>
              </w:rPr>
              <w:t>Price Prediction Models</w:t>
            </w:r>
          </w:p>
        </w:tc>
        <w:tc>
          <w:tcPr>
            <w:tcW w:type="dxa" w:w="1152"/>
            <w:vAlign w:val="center"/>
          </w:tcPr>
          <w:p>
            <w:pPr>
              <w:spacing w:before="0" w:after="40" w:line="276" w:lineRule="auto"/>
            </w:pPr>
            <w:r/>
            <w:r>
              <w:rPr>
                <w:rFonts w:ascii="Calibri" w:hAnsi="Calibri"/>
                <w:color w:val="333333"/>
                <w:sz w:val="19"/>
              </w:rPr>
              <w:t>AI/ML</w:t>
            </w:r>
          </w:p>
        </w:tc>
        <w:tc>
          <w:tcPr>
            <w:tcW w:type="dxa" w:w="864"/>
            <w:vAlign w:val="center"/>
          </w:tcPr>
          <w:p>
            <w:pPr>
              <w:spacing w:before="0" w:after="40" w:line="276" w:lineRule="auto"/>
            </w:pPr>
            <w:r/>
            <w:r>
              <w:rPr>
                <w:rFonts w:ascii="Calibri" w:hAnsi="Calibri"/>
                <w:color w:val="333333"/>
                <w:sz w:val="19"/>
              </w:rPr>
              <w:t>9/10</w:t>
            </w:r>
          </w:p>
        </w:tc>
        <w:tc>
          <w:tcPr>
            <w:tcW w:type="dxa" w:w="864"/>
            <w:vAlign w:val="center"/>
          </w:tcPr>
          <w:p>
            <w:pPr>
              <w:spacing w:before="0" w:after="40" w:line="276" w:lineRule="auto"/>
            </w:pPr>
            <w:r/>
            <w:r>
              <w:rPr>
                <w:rFonts w:ascii="Calibri" w:hAnsi="Calibri"/>
                <w:color w:val="333333"/>
                <w:sz w:val="19"/>
              </w:rPr>
              <w:t>7/10</w:t>
            </w:r>
          </w:p>
        </w:tc>
        <w:tc>
          <w:tcPr>
            <w:tcW w:type="dxa" w:w="1152"/>
            <w:vAlign w:val="center"/>
          </w:tcPr>
          <w:p>
            <w:pPr>
              <w:spacing w:before="0" w:after="40" w:line="276" w:lineRule="auto"/>
            </w:pPr>
            <w:r/>
            <w:r>
              <w:rPr>
                <w:rFonts w:ascii="Calibri" w:hAnsi="Calibri"/>
                <w:color w:val="333333"/>
                <w:sz w:val="19"/>
              </w:rPr>
              <w:t>$8.2M</w:t>
            </w:r>
          </w:p>
        </w:tc>
        <w:tc>
          <w:tcPr>
            <w:tcW w:type="dxa" w:w="3024"/>
            <w:vAlign w:val="center"/>
          </w:tcPr>
          <w:p>
            <w:pPr>
              <w:spacing w:before="0" w:after="40" w:line="276" w:lineRule="auto"/>
            </w:pPr>
            <w:r/>
            <w:r>
              <w:rPr>
                <w:rFonts w:ascii="Calibri" w:hAnsi="Calibri"/>
                <w:color w:val="333333"/>
                <w:sz w:val="19"/>
              </w:rPr>
              <w:t>Proprietary data advantage. Differentiation potential. Moderate build complexity.</w:t>
            </w:r>
          </w:p>
        </w:tc>
      </w:tr>
      <w:tr>
        <w:tc>
          <w:tcPr>
            <w:tcW w:type="dxa" w:w="2304"/>
            <w:shd w:val="clear" w:color="auto" w:fill="F2F2F2"/>
            <w:vAlign w:val="center"/>
          </w:tcPr>
          <w:p>
            <w:pPr>
              <w:spacing w:before="0" w:after="40" w:line="276" w:lineRule="auto"/>
            </w:pPr>
            <w:r/>
            <w:r>
              <w:rPr>
                <w:rFonts w:ascii="Calibri" w:hAnsi="Calibri"/>
                <w:color w:val="333333"/>
                <w:sz w:val="19"/>
              </w:rPr>
              <w:t>Computer Vision Grading</w:t>
            </w:r>
          </w:p>
        </w:tc>
        <w:tc>
          <w:tcPr>
            <w:tcW w:type="dxa" w:w="1152"/>
            <w:shd w:val="clear" w:color="auto" w:fill="F2F2F2"/>
            <w:vAlign w:val="center"/>
          </w:tcPr>
          <w:p>
            <w:pPr>
              <w:spacing w:before="0" w:after="40" w:line="276" w:lineRule="auto"/>
            </w:pPr>
            <w:r/>
            <w:r>
              <w:rPr>
                <w:rFonts w:ascii="Calibri" w:hAnsi="Calibri"/>
                <w:color w:val="333333"/>
                <w:sz w:val="19"/>
              </w:rPr>
              <w:t>AI/ML</w:t>
            </w:r>
          </w:p>
        </w:tc>
        <w:tc>
          <w:tcPr>
            <w:tcW w:type="dxa" w:w="864"/>
            <w:shd w:val="clear" w:color="auto" w:fill="F2F2F2"/>
            <w:vAlign w:val="center"/>
          </w:tcPr>
          <w:p>
            <w:pPr>
              <w:spacing w:before="0" w:after="40" w:line="276" w:lineRule="auto"/>
            </w:pPr>
            <w:r/>
            <w:r>
              <w:rPr>
                <w:rFonts w:ascii="Calibri" w:hAnsi="Calibri"/>
                <w:color w:val="333333"/>
                <w:sz w:val="19"/>
              </w:rPr>
              <w:t>8/10</w:t>
            </w:r>
          </w:p>
        </w:tc>
        <w:tc>
          <w:tcPr>
            <w:tcW w:type="dxa" w:w="864"/>
            <w:shd w:val="clear" w:color="auto" w:fill="F2F2F2"/>
            <w:vAlign w:val="center"/>
          </w:tcPr>
          <w:p>
            <w:pPr>
              <w:spacing w:before="0" w:after="40" w:line="276" w:lineRule="auto"/>
            </w:pPr>
            <w:r/>
            <w:r>
              <w:rPr>
                <w:rFonts w:ascii="Calibri" w:hAnsi="Calibri"/>
                <w:color w:val="333333"/>
                <w:sz w:val="19"/>
              </w:rPr>
              <w:t>5/10</w:t>
            </w:r>
          </w:p>
        </w:tc>
        <w:tc>
          <w:tcPr>
            <w:tcW w:type="dxa" w:w="1152"/>
            <w:shd w:val="clear" w:color="auto" w:fill="F2F2F2"/>
            <w:vAlign w:val="center"/>
          </w:tcPr>
          <w:p>
            <w:pPr>
              <w:spacing w:before="0" w:after="40" w:line="276" w:lineRule="auto"/>
            </w:pPr>
            <w:r/>
            <w:r>
              <w:rPr>
                <w:rFonts w:ascii="Calibri" w:hAnsi="Calibri"/>
                <w:color w:val="333333"/>
                <w:sz w:val="19"/>
              </w:rPr>
              <w:t>$5.4M</w:t>
            </w:r>
          </w:p>
        </w:tc>
        <w:tc>
          <w:tcPr>
            <w:tcW w:type="dxa" w:w="3024"/>
            <w:shd w:val="clear" w:color="auto" w:fill="F2F2F2"/>
            <w:vAlign w:val="center"/>
          </w:tcPr>
          <w:p>
            <w:pPr>
              <w:spacing w:before="0" w:after="40" w:line="276" w:lineRule="auto"/>
            </w:pPr>
            <w:r/>
            <w:r>
              <w:rPr>
                <w:rFonts w:ascii="Calibri" w:hAnsi="Calibri"/>
                <w:color w:val="333333"/>
                <w:sz w:val="19"/>
              </w:rPr>
              <w:t>High strategic value. Technology maturing. Pilot-stage.</w:t>
            </w:r>
          </w:p>
        </w:tc>
      </w:tr>
      <w:tr>
        <w:tc>
          <w:tcPr>
            <w:tcW w:type="dxa" w:w="2304"/>
            <w:vAlign w:val="center"/>
          </w:tcPr>
          <w:p>
            <w:pPr>
              <w:spacing w:before="0" w:after="40" w:line="276" w:lineRule="auto"/>
            </w:pPr>
            <w:r/>
            <w:r>
              <w:rPr>
                <w:rFonts w:ascii="Calibri" w:hAnsi="Calibri"/>
                <w:color w:val="333333"/>
                <w:sz w:val="19"/>
              </w:rPr>
              <w:t>GenAI Member Service</w:t>
            </w:r>
          </w:p>
        </w:tc>
        <w:tc>
          <w:tcPr>
            <w:tcW w:type="dxa" w:w="1152"/>
            <w:vAlign w:val="center"/>
          </w:tcPr>
          <w:p>
            <w:pPr>
              <w:spacing w:before="0" w:after="40" w:line="276" w:lineRule="auto"/>
            </w:pPr>
            <w:r/>
            <w:r>
              <w:rPr>
                <w:rFonts w:ascii="Calibri" w:hAnsi="Calibri"/>
                <w:color w:val="333333"/>
                <w:sz w:val="19"/>
              </w:rPr>
              <w:t>GenAI</w:t>
            </w:r>
          </w:p>
        </w:tc>
        <w:tc>
          <w:tcPr>
            <w:tcW w:type="dxa" w:w="864"/>
            <w:vAlign w:val="center"/>
          </w:tcPr>
          <w:p>
            <w:pPr>
              <w:spacing w:before="0" w:after="40" w:line="276" w:lineRule="auto"/>
            </w:pPr>
            <w:r/>
            <w:r>
              <w:rPr>
                <w:rFonts w:ascii="Calibri" w:hAnsi="Calibri"/>
                <w:color w:val="333333"/>
                <w:sz w:val="19"/>
              </w:rPr>
              <w:t>7/10</w:t>
            </w:r>
          </w:p>
        </w:tc>
        <w:tc>
          <w:tcPr>
            <w:tcW w:type="dxa" w:w="864"/>
            <w:vAlign w:val="center"/>
          </w:tcPr>
          <w:p>
            <w:pPr>
              <w:spacing w:before="0" w:after="40" w:line="276" w:lineRule="auto"/>
            </w:pPr>
            <w:r/>
            <w:r>
              <w:rPr>
                <w:rFonts w:ascii="Calibri" w:hAnsi="Calibri"/>
                <w:color w:val="333333"/>
                <w:sz w:val="19"/>
              </w:rPr>
              <w:t>8/10</w:t>
            </w:r>
          </w:p>
        </w:tc>
        <w:tc>
          <w:tcPr>
            <w:tcW w:type="dxa" w:w="1152"/>
            <w:vAlign w:val="center"/>
          </w:tcPr>
          <w:p>
            <w:pPr>
              <w:spacing w:before="0" w:after="40" w:line="276" w:lineRule="auto"/>
            </w:pPr>
            <w:r/>
            <w:r>
              <w:rPr>
                <w:rFonts w:ascii="Calibri" w:hAnsi="Calibri"/>
                <w:color w:val="333333"/>
                <w:sz w:val="19"/>
              </w:rPr>
              <w:t>$4.6M</w:t>
            </w:r>
          </w:p>
        </w:tc>
        <w:tc>
          <w:tcPr>
            <w:tcW w:type="dxa" w:w="3024"/>
            <w:vAlign w:val="center"/>
          </w:tcPr>
          <w:p>
            <w:pPr>
              <w:spacing w:before="0" w:after="40" w:line="276" w:lineRule="auto"/>
            </w:pPr>
            <w:r/>
            <w:r>
              <w:rPr>
                <w:rFonts w:ascii="Calibri" w:hAnsi="Calibri"/>
                <w:color w:val="333333"/>
                <w:sz w:val="19"/>
              </w:rPr>
              <w:t>Quick win. Vendor solutions ready. Governance needed for hallucination.</w:t>
            </w:r>
          </w:p>
        </w:tc>
      </w:tr>
      <w:tr>
        <w:tc>
          <w:tcPr>
            <w:tcW w:type="dxa" w:w="2304"/>
            <w:shd w:val="clear" w:color="auto" w:fill="F2F2F2"/>
            <w:vAlign w:val="center"/>
          </w:tcPr>
          <w:p>
            <w:pPr>
              <w:spacing w:before="0" w:after="40" w:line="276" w:lineRule="auto"/>
            </w:pPr>
            <w:r/>
            <w:r>
              <w:rPr>
                <w:rFonts w:ascii="Calibri" w:hAnsi="Calibri"/>
                <w:color w:val="333333"/>
                <w:sz w:val="19"/>
              </w:rPr>
              <w:t>Demand Forecasting</w:t>
            </w:r>
          </w:p>
        </w:tc>
        <w:tc>
          <w:tcPr>
            <w:tcW w:type="dxa" w:w="1152"/>
            <w:shd w:val="clear" w:color="auto" w:fill="F2F2F2"/>
            <w:vAlign w:val="center"/>
          </w:tcPr>
          <w:p>
            <w:pPr>
              <w:spacing w:before="0" w:after="40" w:line="276" w:lineRule="auto"/>
            </w:pPr>
            <w:r/>
            <w:r>
              <w:rPr>
                <w:rFonts w:ascii="Calibri" w:hAnsi="Calibri"/>
                <w:color w:val="333333"/>
                <w:sz w:val="19"/>
              </w:rPr>
              <w:t>AI/ML</w:t>
            </w:r>
          </w:p>
        </w:tc>
        <w:tc>
          <w:tcPr>
            <w:tcW w:type="dxa" w:w="864"/>
            <w:shd w:val="clear" w:color="auto" w:fill="F2F2F2"/>
            <w:vAlign w:val="center"/>
          </w:tcPr>
          <w:p>
            <w:pPr>
              <w:spacing w:before="0" w:after="40" w:line="276" w:lineRule="auto"/>
            </w:pPr>
            <w:r/>
            <w:r>
              <w:rPr>
                <w:rFonts w:ascii="Calibri" w:hAnsi="Calibri"/>
                <w:color w:val="333333"/>
                <w:sz w:val="19"/>
              </w:rPr>
              <w:t>8/10</w:t>
            </w:r>
          </w:p>
        </w:tc>
        <w:tc>
          <w:tcPr>
            <w:tcW w:type="dxa" w:w="864"/>
            <w:shd w:val="clear" w:color="auto" w:fill="F2F2F2"/>
            <w:vAlign w:val="center"/>
          </w:tcPr>
          <w:p>
            <w:pPr>
              <w:spacing w:before="0" w:after="40" w:line="276" w:lineRule="auto"/>
            </w:pPr>
            <w:r/>
            <w:r>
              <w:rPr>
                <w:rFonts w:ascii="Calibri" w:hAnsi="Calibri"/>
                <w:color w:val="333333"/>
                <w:sz w:val="19"/>
              </w:rPr>
              <w:t>7/10</w:t>
            </w:r>
          </w:p>
        </w:tc>
        <w:tc>
          <w:tcPr>
            <w:tcW w:type="dxa" w:w="1152"/>
            <w:shd w:val="clear" w:color="auto" w:fill="F2F2F2"/>
            <w:vAlign w:val="center"/>
          </w:tcPr>
          <w:p>
            <w:pPr>
              <w:spacing w:before="0" w:after="40" w:line="276" w:lineRule="auto"/>
            </w:pPr>
            <w:r/>
            <w:r>
              <w:rPr>
                <w:rFonts w:ascii="Calibri" w:hAnsi="Calibri"/>
                <w:color w:val="333333"/>
                <w:sz w:val="19"/>
              </w:rPr>
              <w:t>$6.1M</w:t>
            </w:r>
          </w:p>
        </w:tc>
        <w:tc>
          <w:tcPr>
            <w:tcW w:type="dxa" w:w="3024"/>
            <w:shd w:val="clear" w:color="auto" w:fill="F2F2F2"/>
            <w:vAlign w:val="center"/>
          </w:tcPr>
          <w:p>
            <w:pPr>
              <w:spacing w:before="0" w:after="40" w:line="276" w:lineRule="auto"/>
            </w:pPr>
            <w:r/>
            <w:r>
              <w:rPr>
                <w:rFonts w:ascii="Calibri" w:hAnsi="Calibri"/>
                <w:color w:val="333333"/>
                <w:sz w:val="19"/>
              </w:rPr>
              <w:t>Working capital optimization. Proven techniques. Data quality dependency.</w:t>
            </w:r>
          </w:p>
        </w:tc>
      </w:tr>
      <w:tr>
        <w:tc>
          <w:tcPr>
            <w:tcW w:type="dxa" w:w="2304"/>
            <w:vAlign w:val="center"/>
          </w:tcPr>
          <w:p>
            <w:pPr>
              <w:spacing w:before="0" w:after="40" w:line="276" w:lineRule="auto"/>
            </w:pPr>
            <w:r/>
            <w:r>
              <w:rPr>
                <w:rFonts w:ascii="Calibri" w:hAnsi="Calibri"/>
                <w:color w:val="333333"/>
                <w:sz w:val="19"/>
              </w:rPr>
              <w:t>RPA — AR/AP Automation</w:t>
            </w:r>
          </w:p>
        </w:tc>
        <w:tc>
          <w:tcPr>
            <w:tcW w:type="dxa" w:w="1152"/>
            <w:vAlign w:val="center"/>
          </w:tcPr>
          <w:p>
            <w:pPr>
              <w:spacing w:before="0" w:after="40" w:line="276" w:lineRule="auto"/>
            </w:pPr>
            <w:r/>
            <w:r>
              <w:rPr>
                <w:rFonts w:ascii="Calibri" w:hAnsi="Calibri"/>
                <w:color w:val="333333"/>
                <w:sz w:val="19"/>
              </w:rPr>
              <w:t>Automation</w:t>
            </w:r>
          </w:p>
        </w:tc>
        <w:tc>
          <w:tcPr>
            <w:tcW w:type="dxa" w:w="864"/>
            <w:vAlign w:val="center"/>
          </w:tcPr>
          <w:p>
            <w:pPr>
              <w:spacing w:before="0" w:after="40" w:line="276" w:lineRule="auto"/>
            </w:pPr>
            <w:r/>
            <w:r>
              <w:rPr>
                <w:rFonts w:ascii="Calibri" w:hAnsi="Calibri"/>
                <w:color w:val="333333"/>
                <w:sz w:val="19"/>
              </w:rPr>
              <w:t>7/10</w:t>
            </w:r>
          </w:p>
        </w:tc>
        <w:tc>
          <w:tcPr>
            <w:tcW w:type="dxa" w:w="864"/>
            <w:vAlign w:val="center"/>
          </w:tcPr>
          <w:p>
            <w:pPr>
              <w:spacing w:before="0" w:after="40" w:line="276" w:lineRule="auto"/>
            </w:pPr>
            <w:r/>
            <w:r>
              <w:rPr>
                <w:rFonts w:ascii="Calibri" w:hAnsi="Calibri"/>
                <w:color w:val="333333"/>
                <w:sz w:val="19"/>
              </w:rPr>
              <w:t>9/10</w:t>
            </w:r>
          </w:p>
        </w:tc>
        <w:tc>
          <w:tcPr>
            <w:tcW w:type="dxa" w:w="1152"/>
            <w:vAlign w:val="center"/>
          </w:tcPr>
          <w:p>
            <w:pPr>
              <w:spacing w:before="0" w:after="40" w:line="276" w:lineRule="auto"/>
            </w:pPr>
            <w:r/>
            <w:r>
              <w:rPr>
                <w:rFonts w:ascii="Calibri" w:hAnsi="Calibri"/>
                <w:color w:val="333333"/>
                <w:sz w:val="19"/>
              </w:rPr>
              <w:t>$5.8M</w:t>
            </w:r>
          </w:p>
        </w:tc>
        <w:tc>
          <w:tcPr>
            <w:tcW w:type="dxa" w:w="3024"/>
            <w:vAlign w:val="center"/>
          </w:tcPr>
          <w:p>
            <w:pPr>
              <w:spacing w:before="0" w:after="40" w:line="276" w:lineRule="auto"/>
            </w:pPr>
            <w:r/>
            <w:r>
              <w:rPr>
                <w:rFonts w:ascii="Calibri" w:hAnsi="Calibri"/>
                <w:color w:val="333333"/>
                <w:sz w:val="19"/>
              </w:rPr>
              <w:t>Highest feasibility. Proven ROI. Limited risk.</w:t>
            </w:r>
          </w:p>
        </w:tc>
      </w:tr>
      <w:tr>
        <w:tc>
          <w:tcPr>
            <w:tcW w:type="dxa" w:w="2304"/>
            <w:shd w:val="clear" w:color="auto" w:fill="F2F2F2"/>
            <w:vAlign w:val="center"/>
          </w:tcPr>
          <w:p>
            <w:pPr>
              <w:spacing w:before="0" w:after="40" w:line="276" w:lineRule="auto"/>
            </w:pPr>
            <w:r/>
            <w:r>
              <w:rPr>
                <w:rFonts w:ascii="Calibri" w:hAnsi="Calibri"/>
                <w:color w:val="333333"/>
                <w:sz w:val="19"/>
              </w:rPr>
              <w:t>EID/IoT Traceability</w:t>
            </w:r>
          </w:p>
        </w:tc>
        <w:tc>
          <w:tcPr>
            <w:tcW w:type="dxa" w:w="1152"/>
            <w:shd w:val="clear" w:color="auto" w:fill="F2F2F2"/>
            <w:vAlign w:val="center"/>
          </w:tcPr>
          <w:p>
            <w:pPr>
              <w:spacing w:before="0" w:after="40" w:line="276" w:lineRule="auto"/>
            </w:pPr>
            <w:r/>
            <w:r>
              <w:rPr>
                <w:rFonts w:ascii="Calibri" w:hAnsi="Calibri"/>
                <w:color w:val="333333"/>
                <w:sz w:val="19"/>
              </w:rPr>
              <w:t>IoT</w:t>
            </w:r>
          </w:p>
        </w:tc>
        <w:tc>
          <w:tcPr>
            <w:tcW w:type="dxa" w:w="864"/>
            <w:shd w:val="clear" w:color="auto" w:fill="F2F2F2"/>
            <w:vAlign w:val="center"/>
          </w:tcPr>
          <w:p>
            <w:pPr>
              <w:spacing w:before="0" w:after="40" w:line="276" w:lineRule="auto"/>
            </w:pPr>
            <w:r/>
            <w:r>
              <w:rPr>
                <w:rFonts w:ascii="Calibri" w:hAnsi="Calibri"/>
                <w:color w:val="333333"/>
                <w:sz w:val="19"/>
              </w:rPr>
              <w:t>7/10</w:t>
            </w:r>
          </w:p>
        </w:tc>
        <w:tc>
          <w:tcPr>
            <w:tcW w:type="dxa" w:w="864"/>
            <w:shd w:val="clear" w:color="auto" w:fill="F2F2F2"/>
            <w:vAlign w:val="center"/>
          </w:tcPr>
          <w:p>
            <w:pPr>
              <w:spacing w:before="0" w:after="40" w:line="276" w:lineRule="auto"/>
            </w:pPr>
            <w:r/>
            <w:r>
              <w:rPr>
                <w:rFonts w:ascii="Calibri" w:hAnsi="Calibri"/>
                <w:color w:val="333333"/>
                <w:sz w:val="19"/>
              </w:rPr>
              <w:t>6/10</w:t>
            </w:r>
          </w:p>
        </w:tc>
        <w:tc>
          <w:tcPr>
            <w:tcW w:type="dxa" w:w="1152"/>
            <w:shd w:val="clear" w:color="auto" w:fill="F2F2F2"/>
            <w:vAlign w:val="center"/>
          </w:tcPr>
          <w:p>
            <w:pPr>
              <w:spacing w:before="0" w:after="40" w:line="276" w:lineRule="auto"/>
            </w:pPr>
            <w:r/>
            <w:r>
              <w:rPr>
                <w:rFonts w:ascii="Calibri" w:hAnsi="Calibri"/>
                <w:color w:val="333333"/>
                <w:sz w:val="19"/>
              </w:rPr>
              <w:t>$4.2M</w:t>
            </w:r>
          </w:p>
        </w:tc>
        <w:tc>
          <w:tcPr>
            <w:tcW w:type="dxa" w:w="3024"/>
            <w:shd w:val="clear" w:color="auto" w:fill="F2F2F2"/>
            <w:vAlign w:val="center"/>
          </w:tcPr>
          <w:p>
            <w:pPr>
              <w:spacing w:before="0" w:after="40" w:line="276" w:lineRule="auto"/>
            </w:pPr>
            <w:r/>
            <w:r>
              <w:rPr>
                <w:rFonts w:ascii="Calibri" w:hAnsi="Calibri"/>
                <w:color w:val="333333"/>
                <w:sz w:val="19"/>
              </w:rPr>
              <w:t>Regulatory tailwind. Infrastructure cost. Ecosystem play.</w:t>
            </w:r>
          </w:p>
        </w:tc>
      </w:tr>
      <w:tr>
        <w:tc>
          <w:tcPr>
            <w:tcW w:type="dxa" w:w="2304"/>
            <w:vAlign w:val="center"/>
          </w:tcPr>
          <w:p>
            <w:pPr>
              <w:spacing w:before="0" w:after="40" w:line="276" w:lineRule="auto"/>
            </w:pPr>
            <w:r/>
            <w:r>
              <w:rPr>
                <w:rFonts w:ascii="Calibri" w:hAnsi="Calibri"/>
                <w:color w:val="333333"/>
                <w:sz w:val="19"/>
              </w:rPr>
              <w:t>Digital Auction Platform</w:t>
            </w:r>
          </w:p>
        </w:tc>
        <w:tc>
          <w:tcPr>
            <w:tcW w:type="dxa" w:w="1152"/>
            <w:vAlign w:val="center"/>
          </w:tcPr>
          <w:p>
            <w:pPr>
              <w:spacing w:before="0" w:after="40" w:line="276" w:lineRule="auto"/>
            </w:pPr>
            <w:r/>
            <w:r>
              <w:rPr>
                <w:rFonts w:ascii="Calibri" w:hAnsi="Calibri"/>
                <w:color w:val="333333"/>
                <w:sz w:val="19"/>
              </w:rPr>
              <w:t>Digital</w:t>
            </w:r>
          </w:p>
        </w:tc>
        <w:tc>
          <w:tcPr>
            <w:tcW w:type="dxa" w:w="864"/>
            <w:vAlign w:val="center"/>
          </w:tcPr>
          <w:p>
            <w:pPr>
              <w:spacing w:before="0" w:after="40" w:line="276" w:lineRule="auto"/>
            </w:pPr>
            <w:r/>
            <w:r>
              <w:rPr>
                <w:rFonts w:ascii="Calibri" w:hAnsi="Calibri"/>
                <w:color w:val="333333"/>
                <w:sz w:val="19"/>
              </w:rPr>
              <w:t>9/10</w:t>
            </w:r>
          </w:p>
        </w:tc>
        <w:tc>
          <w:tcPr>
            <w:tcW w:type="dxa" w:w="864"/>
            <w:vAlign w:val="center"/>
          </w:tcPr>
          <w:p>
            <w:pPr>
              <w:spacing w:before="0" w:after="40" w:line="276" w:lineRule="auto"/>
            </w:pPr>
            <w:r/>
            <w:r>
              <w:rPr>
                <w:rFonts w:ascii="Calibri" w:hAnsi="Calibri"/>
                <w:color w:val="333333"/>
                <w:sz w:val="19"/>
              </w:rPr>
              <w:t>6/10</w:t>
            </w:r>
          </w:p>
        </w:tc>
        <w:tc>
          <w:tcPr>
            <w:tcW w:type="dxa" w:w="1152"/>
            <w:vAlign w:val="center"/>
          </w:tcPr>
          <w:p>
            <w:pPr>
              <w:spacing w:before="0" w:after="40" w:line="276" w:lineRule="auto"/>
            </w:pPr>
            <w:r/>
            <w:r>
              <w:rPr>
                <w:rFonts w:ascii="Calibri" w:hAnsi="Calibri"/>
                <w:color w:val="333333"/>
                <w:sz w:val="19"/>
              </w:rPr>
              <w:t>$7.9M</w:t>
            </w:r>
          </w:p>
        </w:tc>
        <w:tc>
          <w:tcPr>
            <w:tcW w:type="dxa" w:w="3024"/>
            <w:vAlign w:val="center"/>
          </w:tcPr>
          <w:p>
            <w:pPr>
              <w:spacing w:before="0" w:after="40" w:line="276" w:lineRule="auto"/>
            </w:pPr>
            <w:r/>
            <w:r>
              <w:rPr>
                <w:rFonts w:ascii="Calibri" w:hAnsi="Calibri"/>
                <w:color w:val="333333"/>
                <w:sz w:val="19"/>
              </w:rPr>
              <w:t>Counters disruption threat. Complex build/integrate.</w:t>
            </w:r>
          </w:p>
        </w:tc>
      </w:tr>
      <w:tr>
        <w:tc>
          <w:tcPr>
            <w:tcW w:type="dxa" w:w="2304"/>
            <w:shd w:val="clear" w:color="auto" w:fill="F2F2F2"/>
            <w:vAlign w:val="center"/>
          </w:tcPr>
          <w:p>
            <w:pPr>
              <w:spacing w:before="0" w:after="40" w:line="276" w:lineRule="auto"/>
            </w:pPr>
            <w:r/>
            <w:r>
              <w:rPr>
                <w:rFonts w:ascii="Calibri" w:hAnsi="Calibri"/>
                <w:color w:val="333333"/>
                <w:sz w:val="19"/>
              </w:rPr>
              <w:t>Cyber Zero-Trust</w:t>
            </w:r>
          </w:p>
        </w:tc>
        <w:tc>
          <w:tcPr>
            <w:tcW w:type="dxa" w:w="1152"/>
            <w:shd w:val="clear" w:color="auto" w:fill="F2F2F2"/>
            <w:vAlign w:val="center"/>
          </w:tcPr>
          <w:p>
            <w:pPr>
              <w:spacing w:before="0" w:after="40" w:line="276" w:lineRule="auto"/>
            </w:pPr>
            <w:r/>
            <w:r>
              <w:rPr>
                <w:rFonts w:ascii="Calibri" w:hAnsi="Calibri"/>
                <w:color w:val="333333"/>
                <w:sz w:val="19"/>
              </w:rPr>
              <w:t>Security</w:t>
            </w:r>
          </w:p>
        </w:tc>
        <w:tc>
          <w:tcPr>
            <w:tcW w:type="dxa" w:w="864"/>
            <w:shd w:val="clear" w:color="auto" w:fill="F2F2F2"/>
            <w:vAlign w:val="center"/>
          </w:tcPr>
          <w:p>
            <w:pPr>
              <w:spacing w:before="0" w:after="40" w:line="276" w:lineRule="auto"/>
            </w:pPr>
            <w:r/>
            <w:r>
              <w:rPr>
                <w:rFonts w:ascii="Calibri" w:hAnsi="Calibri"/>
                <w:color w:val="333333"/>
                <w:sz w:val="19"/>
              </w:rPr>
              <w:t>8/10</w:t>
            </w:r>
          </w:p>
        </w:tc>
        <w:tc>
          <w:tcPr>
            <w:tcW w:type="dxa" w:w="864"/>
            <w:shd w:val="clear" w:color="auto" w:fill="F2F2F2"/>
            <w:vAlign w:val="center"/>
          </w:tcPr>
          <w:p>
            <w:pPr>
              <w:spacing w:before="0" w:after="40" w:line="276" w:lineRule="auto"/>
            </w:pPr>
            <w:r/>
            <w:r>
              <w:rPr>
                <w:rFonts w:ascii="Calibri" w:hAnsi="Calibri"/>
                <w:color w:val="333333"/>
                <w:sz w:val="19"/>
              </w:rPr>
              <w:t>8/10</w:t>
            </w:r>
          </w:p>
        </w:tc>
        <w:tc>
          <w:tcPr>
            <w:tcW w:type="dxa" w:w="1152"/>
            <w:shd w:val="clear" w:color="auto" w:fill="F2F2F2"/>
            <w:vAlign w:val="center"/>
          </w:tcPr>
          <w:p>
            <w:pPr>
              <w:spacing w:before="0" w:after="40" w:line="276" w:lineRule="auto"/>
            </w:pPr>
            <w:r/>
            <w:r>
              <w:rPr>
                <w:rFonts w:ascii="Calibri" w:hAnsi="Calibri"/>
                <w:color w:val="333333"/>
                <w:sz w:val="19"/>
              </w:rPr>
              <w:t>$3.5M</w:t>
            </w:r>
          </w:p>
        </w:tc>
        <w:tc>
          <w:tcPr>
            <w:tcW w:type="dxa" w:w="3024"/>
            <w:shd w:val="clear" w:color="auto" w:fill="F2F2F2"/>
            <w:vAlign w:val="center"/>
          </w:tcPr>
          <w:p>
            <w:pPr>
              <w:spacing w:before="0" w:after="40" w:line="276" w:lineRule="auto"/>
            </w:pPr>
            <w:r/>
            <w:r>
              <w:rPr>
                <w:rFonts w:ascii="Calibri" w:hAnsi="Calibri"/>
                <w:color w:val="333333"/>
                <w:sz w:val="19"/>
              </w:rPr>
              <w:t>Table stakes. Measurable risk reduction. Vendor-led.</w:t>
            </w:r>
          </w:p>
        </w:tc>
      </w:tr>
      <w:tr>
        <w:tc>
          <w:tcPr>
            <w:tcW w:type="dxa" w:w="2304"/>
            <w:vAlign w:val="center"/>
          </w:tcPr>
          <w:p>
            <w:pPr>
              <w:spacing w:before="0" w:after="40" w:line="276" w:lineRule="auto"/>
            </w:pPr>
            <w:r/>
            <w:r>
              <w:rPr>
                <w:rFonts w:ascii="Calibri" w:hAnsi="Calibri"/>
                <w:color w:val="333333"/>
                <w:sz w:val="19"/>
              </w:rPr>
              <w:t>Data Lakehouse</w:t>
            </w:r>
          </w:p>
        </w:tc>
        <w:tc>
          <w:tcPr>
            <w:tcW w:type="dxa" w:w="1152"/>
            <w:vAlign w:val="center"/>
          </w:tcPr>
          <w:p>
            <w:pPr>
              <w:spacing w:before="0" w:after="40" w:line="276" w:lineRule="auto"/>
            </w:pPr>
            <w:r/>
            <w:r>
              <w:rPr>
                <w:rFonts w:ascii="Calibri" w:hAnsi="Calibri"/>
                <w:color w:val="333333"/>
                <w:sz w:val="19"/>
              </w:rPr>
              <w:t>Data</w:t>
            </w:r>
          </w:p>
        </w:tc>
        <w:tc>
          <w:tcPr>
            <w:tcW w:type="dxa" w:w="864"/>
            <w:vAlign w:val="center"/>
          </w:tcPr>
          <w:p>
            <w:pPr>
              <w:spacing w:before="0" w:after="40" w:line="276" w:lineRule="auto"/>
            </w:pPr>
            <w:r/>
            <w:r>
              <w:rPr>
                <w:rFonts w:ascii="Calibri" w:hAnsi="Calibri"/>
                <w:color w:val="333333"/>
                <w:sz w:val="19"/>
              </w:rPr>
              <w:t>7/10</w:t>
            </w:r>
          </w:p>
        </w:tc>
        <w:tc>
          <w:tcPr>
            <w:tcW w:type="dxa" w:w="864"/>
            <w:vAlign w:val="center"/>
          </w:tcPr>
          <w:p>
            <w:pPr>
              <w:spacing w:before="0" w:after="40" w:line="276" w:lineRule="auto"/>
            </w:pPr>
            <w:r/>
            <w:r>
              <w:rPr>
                <w:rFonts w:ascii="Calibri" w:hAnsi="Calibri"/>
                <w:color w:val="333333"/>
                <w:sz w:val="19"/>
              </w:rPr>
              <w:t>7/10</w:t>
            </w:r>
          </w:p>
        </w:tc>
        <w:tc>
          <w:tcPr>
            <w:tcW w:type="dxa" w:w="1152"/>
            <w:vAlign w:val="center"/>
          </w:tcPr>
          <w:p>
            <w:pPr>
              <w:spacing w:before="0" w:after="40" w:line="276" w:lineRule="auto"/>
            </w:pPr>
            <w:r/>
            <w:r>
              <w:rPr>
                <w:rFonts w:ascii="Calibri" w:hAnsi="Calibri"/>
                <w:color w:val="333333"/>
                <w:sz w:val="19"/>
              </w:rPr>
              <w:t>$4.8M</w:t>
            </w:r>
          </w:p>
        </w:tc>
        <w:tc>
          <w:tcPr>
            <w:tcW w:type="dxa" w:w="3024"/>
            <w:vAlign w:val="center"/>
          </w:tcPr>
          <w:p>
            <w:pPr>
              <w:spacing w:before="0" w:after="40" w:line="276" w:lineRule="auto"/>
            </w:pPr>
            <w:r/>
            <w:r>
              <w:rPr>
                <w:rFonts w:ascii="Calibri" w:hAnsi="Calibri"/>
                <w:color w:val="333333"/>
                <w:sz w:val="19"/>
              </w:rPr>
              <w:t>Enabling investment. Value through unlocked use cases.</w:t>
            </w:r>
          </w:p>
        </w:tc>
      </w:tr>
      <w:tr>
        <w:tc>
          <w:tcPr>
            <w:tcW w:type="dxa" w:w="2304"/>
            <w:shd w:val="clear" w:color="auto" w:fill="F2F2F2"/>
            <w:vAlign w:val="center"/>
          </w:tcPr>
          <w:p>
            <w:pPr>
              <w:spacing w:before="0" w:after="40" w:line="276" w:lineRule="auto"/>
            </w:pPr>
            <w:r/>
            <w:r>
              <w:rPr>
                <w:rFonts w:ascii="Calibri" w:hAnsi="Calibri"/>
                <w:color w:val="333333"/>
                <w:sz w:val="19"/>
              </w:rPr>
              <w:t>Blockchain Provenance</w:t>
            </w:r>
          </w:p>
        </w:tc>
        <w:tc>
          <w:tcPr>
            <w:tcW w:type="dxa" w:w="1152"/>
            <w:shd w:val="clear" w:color="auto" w:fill="F2F2F2"/>
            <w:vAlign w:val="center"/>
          </w:tcPr>
          <w:p>
            <w:pPr>
              <w:spacing w:before="0" w:after="40" w:line="276" w:lineRule="auto"/>
            </w:pPr>
            <w:r/>
            <w:r>
              <w:rPr>
                <w:rFonts w:ascii="Calibri" w:hAnsi="Calibri"/>
                <w:color w:val="333333"/>
                <w:sz w:val="19"/>
              </w:rPr>
              <w:t>Blockchain</w:t>
            </w:r>
          </w:p>
        </w:tc>
        <w:tc>
          <w:tcPr>
            <w:tcW w:type="dxa" w:w="864"/>
            <w:shd w:val="clear" w:color="auto" w:fill="F2F2F2"/>
            <w:vAlign w:val="center"/>
          </w:tcPr>
          <w:p>
            <w:pPr>
              <w:spacing w:before="0" w:after="40" w:line="276" w:lineRule="auto"/>
            </w:pPr>
            <w:r/>
            <w:r>
              <w:rPr>
                <w:rFonts w:ascii="Calibri" w:hAnsi="Calibri"/>
                <w:color w:val="333333"/>
                <w:sz w:val="19"/>
              </w:rPr>
              <w:t>5/10</w:t>
            </w:r>
          </w:p>
        </w:tc>
        <w:tc>
          <w:tcPr>
            <w:tcW w:type="dxa" w:w="864"/>
            <w:shd w:val="clear" w:color="auto" w:fill="F2F2F2"/>
            <w:vAlign w:val="center"/>
          </w:tcPr>
          <w:p>
            <w:pPr>
              <w:spacing w:before="0" w:after="40" w:line="276" w:lineRule="auto"/>
            </w:pPr>
            <w:r/>
            <w:r>
              <w:rPr>
                <w:rFonts w:ascii="Calibri" w:hAnsi="Calibri"/>
                <w:color w:val="333333"/>
                <w:sz w:val="19"/>
              </w:rPr>
              <w:t>4/10</w:t>
            </w:r>
          </w:p>
        </w:tc>
        <w:tc>
          <w:tcPr>
            <w:tcW w:type="dxa" w:w="1152"/>
            <w:shd w:val="clear" w:color="auto" w:fill="F2F2F2"/>
            <w:vAlign w:val="center"/>
          </w:tcPr>
          <w:p>
            <w:pPr>
              <w:spacing w:before="0" w:after="40" w:line="276" w:lineRule="auto"/>
            </w:pPr>
            <w:r/>
            <w:r>
              <w:rPr>
                <w:rFonts w:ascii="Calibri" w:hAnsi="Calibri"/>
                <w:color w:val="333333"/>
                <w:sz w:val="19"/>
              </w:rPr>
              <w:t>$1.2M</w:t>
            </w:r>
          </w:p>
        </w:tc>
        <w:tc>
          <w:tcPr>
            <w:tcW w:type="dxa" w:w="3024"/>
            <w:shd w:val="clear" w:color="auto" w:fill="F2F2F2"/>
            <w:vAlign w:val="center"/>
          </w:tcPr>
          <w:p>
            <w:pPr>
              <w:spacing w:before="0" w:after="40" w:line="276" w:lineRule="auto"/>
            </w:pPr>
            <w:r/>
            <w:r>
              <w:rPr>
                <w:rFonts w:ascii="Calibri" w:hAnsi="Calibri"/>
                <w:color w:val="333333"/>
                <w:sz w:val="19"/>
              </w:rPr>
              <w:t>Overhyped for most use cases. Monitor; defer investment.</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Appendix B: Methodology &amp; Assumptions</w:t>
      </w:r>
    </w:p>
    <w:p>
      <w:pPr>
        <w:pStyle w:val="Heading2"/>
        <w:spacing w:before="280" w:after="120" w:line="276" w:lineRule="auto"/>
      </w:pPr>
      <w:r>
        <w:t>B.1 Financial Model Methodology</w:t>
      </w:r>
    </w:p>
    <w:p>
      <w:pPr>
        <w:spacing w:before="0" w:after="160" w:line="300" w:lineRule="auto"/>
      </w:pPr>
      <w:r>
        <w:rPr>
          <w:rFonts w:ascii="Calibri" w:hAnsi="Calibri"/>
          <w:b w:val="0"/>
          <w:i w:val="0"/>
          <w:sz w:val="21"/>
        </w:rPr>
        <w:t>The financial model uses standard DCF with 8% discount rate. Year-1 costs are expensed upfront; benefits ramp over 2 years (35% Year 1, 80% Year 2, 100% Year 3+). Sensitivity analysis tests six variables over reasonable ranges.</w:t>
      </w:r>
    </w:p>
    <w:p>
      <w:pPr>
        <w:pStyle w:val="Heading2"/>
        <w:spacing w:before="280" w:after="120" w:line="276" w:lineRule="auto"/>
      </w:pPr>
      <w:r>
        <w:t>B.2 Benefit Estimation</w:t>
      </w:r>
    </w:p>
    <w:p>
      <w:pPr>
        <w:spacing w:before="0" w:after="160" w:line="300" w:lineRule="auto"/>
      </w:pPr>
      <w:r>
        <w:rPr>
          <w:rFonts w:ascii="Calibri" w:hAnsi="Calibri"/>
          <w:b w:val="0"/>
          <w:i w:val="0"/>
          <w:sz w:val="21"/>
        </w:rPr>
        <w:t>Benefit estimates are calibrated from: (i) peer-cooperative case studies, (ii) published efficacy data for RPA, GenAI, and ML solutions in financial services and ag contexts, (iii) McKinsey Global Institute AI productivity estimates, (iv) industry benchmarks for cybersecurity incident costs, and (v) analogous digital transformation programs in adjacent industries.</w:t>
      </w:r>
    </w:p>
    <w:p>
      <w:pPr>
        <w:pStyle w:val="Heading2"/>
        <w:spacing w:before="280" w:after="120" w:line="276" w:lineRule="auto"/>
      </w:pPr>
      <w:r>
        <w:t>B.3 Digital Maturity Scoring</w:t>
      </w:r>
    </w:p>
    <w:p>
      <w:pPr>
        <w:spacing w:before="0" w:after="160" w:line="300" w:lineRule="auto"/>
      </w:pPr>
      <w:r>
        <w:rPr>
          <w:rFonts w:ascii="Calibri" w:hAnsi="Calibri"/>
          <w:b w:val="0"/>
          <w:i w:val="0"/>
          <w:sz w:val="21"/>
        </w:rPr>
        <w:t>Maturity scores are qualitative estimates across 6 dimensions, calibrated against published digital maturity frameworks (McKinsey Digital Quotient, MIT CISR, Gartner). Peer benchmarks are industry estimates, not specific coop data.</w:t>
      </w:r>
    </w:p>
    <w:p>
      <w:pPr>
        <w:pStyle w:val="Heading2"/>
        <w:spacing w:before="280" w:after="120" w:line="276" w:lineRule="auto"/>
      </w:pPr>
      <w:r>
        <w:t>B.4 Use Case Scoring</w:t>
      </w:r>
    </w:p>
    <w:p>
      <w:pPr>
        <w:spacing w:before="0" w:after="160" w:line="300" w:lineRule="auto"/>
      </w:pPr>
      <w:r>
        <w:rPr>
          <w:rFonts w:ascii="Calibri" w:hAnsi="Calibri"/>
          <w:b w:val="0"/>
          <w:i w:val="0"/>
          <w:sz w:val="21"/>
        </w:rPr>
        <w:t>Value scores reflect: revenue potential, cost reduction potential, risk reduction, strategic differentiation, data advantage. Feasibility scores reflect: technical maturity, organizational readiness, data availability, regulatory clarity, vendor ecosystem maturity.</w:t>
      </w:r>
    </w:p>
    <w:p>
      <w:r>
        <w:br w:type="page"/>
      </w:r>
    </w:p>
    <w:p>
      <w:pPr>
        <w:pStyle w:val="Heading1"/>
        <w:spacing w:before="0" w:after="240" w:line="276" w:lineRule="auto"/>
        <w:pBdr>
          <w:bottom w:val="single" w:sz="12" w:space="4" w:color="003A70"/>
        </w:pBdr>
      </w:pPr>
      <w:r>
        <w:t>Appendix C: Glossary of Terms</w:t>
      </w:r>
    </w:p>
    <w:p>
      <w:pPr>
        <w:pStyle w:val="ListBullet"/>
        <w:spacing w:before="0" w:after="80" w:line="288" w:lineRule="auto"/>
      </w:pPr>
      <w:r>
        <w:rPr>
          <w:rFonts w:ascii="Calibri" w:hAnsi="Calibri"/>
          <w:b/>
          <w:color w:val="003A70"/>
          <w:sz w:val="21"/>
        </w:rPr>
        <w:t xml:space="preserve">AI RMF: </w:t>
      </w:r>
      <w:r>
        <w:rPr>
          <w:rFonts w:ascii="Calibri" w:hAnsi="Calibri"/>
          <w:color w:val="333333"/>
          <w:sz w:val="21"/>
        </w:rPr>
        <w:t>NIST AI Risk Management Framework — voluntary U.S. standard for AI governance.</w:t>
      </w:r>
    </w:p>
    <w:p>
      <w:pPr>
        <w:pStyle w:val="ListBullet"/>
        <w:spacing w:before="0" w:after="80" w:line="288" w:lineRule="auto"/>
      </w:pPr>
      <w:r>
        <w:rPr>
          <w:rFonts w:ascii="Calibri" w:hAnsi="Calibri"/>
          <w:b/>
          <w:color w:val="003A70"/>
          <w:sz w:val="21"/>
        </w:rPr>
        <w:t xml:space="preserve">Agentic AI: </w:t>
      </w:r>
      <w:r>
        <w:rPr>
          <w:rFonts w:ascii="Calibri" w:hAnsi="Calibri"/>
          <w:color w:val="333333"/>
          <w:sz w:val="21"/>
        </w:rPr>
        <w:t>AI systems that autonomously plan and execute multi-step workflows.</w:t>
      </w:r>
    </w:p>
    <w:p>
      <w:pPr>
        <w:pStyle w:val="ListBullet"/>
        <w:spacing w:before="0" w:after="80" w:line="288" w:lineRule="auto"/>
      </w:pPr>
      <w:r>
        <w:rPr>
          <w:rFonts w:ascii="Calibri" w:hAnsi="Calibri"/>
          <w:b/>
          <w:color w:val="003A70"/>
          <w:sz w:val="21"/>
        </w:rPr>
        <w:t xml:space="preserve">Data Lakehouse: </w:t>
      </w:r>
      <w:r>
        <w:rPr>
          <w:rFonts w:ascii="Calibri" w:hAnsi="Calibri"/>
          <w:color w:val="333333"/>
          <w:sz w:val="21"/>
        </w:rPr>
        <w:t>Architecture combining data lake flexibility with warehouse performance.</w:t>
      </w:r>
    </w:p>
    <w:p>
      <w:pPr>
        <w:pStyle w:val="ListBullet"/>
        <w:spacing w:before="0" w:after="80" w:line="288" w:lineRule="auto"/>
      </w:pPr>
      <w:r>
        <w:rPr>
          <w:rFonts w:ascii="Calibri" w:hAnsi="Calibri"/>
          <w:b/>
          <w:color w:val="003A70"/>
          <w:sz w:val="21"/>
        </w:rPr>
        <w:t xml:space="preserve">EDR/XDR: </w:t>
      </w:r>
      <w:r>
        <w:rPr>
          <w:rFonts w:ascii="Calibri" w:hAnsi="Calibri"/>
          <w:color w:val="333333"/>
          <w:sz w:val="21"/>
        </w:rPr>
        <w:t>Endpoint/Extended Detection and Response — real-time threat detection.</w:t>
      </w:r>
    </w:p>
    <w:p>
      <w:pPr>
        <w:pStyle w:val="ListBullet"/>
        <w:spacing w:before="0" w:after="80" w:line="288" w:lineRule="auto"/>
      </w:pPr>
      <w:r>
        <w:rPr>
          <w:rFonts w:ascii="Calibri" w:hAnsi="Calibri"/>
          <w:b/>
          <w:color w:val="003A70"/>
          <w:sz w:val="21"/>
        </w:rPr>
        <w:t xml:space="preserve">EID: </w:t>
      </w:r>
      <w:r>
        <w:rPr>
          <w:rFonts w:ascii="Calibri" w:hAnsi="Calibri"/>
          <w:color w:val="333333"/>
          <w:sz w:val="21"/>
        </w:rPr>
        <w:t>Electronic Identification — RFID-based livestock tracking tags.</w:t>
      </w:r>
    </w:p>
    <w:p>
      <w:pPr>
        <w:pStyle w:val="ListBullet"/>
        <w:spacing w:before="0" w:after="80" w:line="288" w:lineRule="auto"/>
      </w:pPr>
      <w:r>
        <w:rPr>
          <w:rFonts w:ascii="Calibri" w:hAnsi="Calibri"/>
          <w:b/>
          <w:color w:val="003A70"/>
          <w:sz w:val="21"/>
        </w:rPr>
        <w:t xml:space="preserve">GenAI: </w:t>
      </w:r>
      <w:r>
        <w:rPr>
          <w:rFonts w:ascii="Calibri" w:hAnsi="Calibri"/>
          <w:color w:val="333333"/>
          <w:sz w:val="21"/>
        </w:rPr>
        <w:t>Generative AI — AI systems producing text, code, images, audio.</w:t>
      </w:r>
    </w:p>
    <w:p>
      <w:pPr>
        <w:pStyle w:val="ListBullet"/>
        <w:spacing w:before="0" w:after="80" w:line="288" w:lineRule="auto"/>
      </w:pPr>
      <w:r>
        <w:rPr>
          <w:rFonts w:ascii="Calibri" w:hAnsi="Calibri"/>
          <w:b/>
          <w:color w:val="003A70"/>
          <w:sz w:val="21"/>
        </w:rPr>
        <w:t xml:space="preserve">Hyperscaler: </w:t>
      </w:r>
      <w:r>
        <w:rPr>
          <w:rFonts w:ascii="Calibri" w:hAnsi="Calibri"/>
          <w:color w:val="333333"/>
          <w:sz w:val="21"/>
        </w:rPr>
        <w:t>Major public cloud providers: AWS, Azure, Google Cloud.</w:t>
      </w:r>
    </w:p>
    <w:p>
      <w:pPr>
        <w:pStyle w:val="ListBullet"/>
        <w:spacing w:before="0" w:after="80" w:line="288" w:lineRule="auto"/>
      </w:pPr>
      <w:r>
        <w:rPr>
          <w:rFonts w:ascii="Calibri" w:hAnsi="Calibri"/>
          <w:b/>
          <w:color w:val="003A70"/>
          <w:sz w:val="21"/>
        </w:rPr>
        <w:t xml:space="preserve">LLM: </w:t>
      </w:r>
      <w:r>
        <w:rPr>
          <w:rFonts w:ascii="Calibri" w:hAnsi="Calibri"/>
          <w:color w:val="333333"/>
          <w:sz w:val="21"/>
        </w:rPr>
        <w:t>Large Language Model — foundation model behind most GenAI applications.</w:t>
      </w:r>
    </w:p>
    <w:p>
      <w:pPr>
        <w:pStyle w:val="ListBullet"/>
        <w:spacing w:before="0" w:after="80" w:line="288" w:lineRule="auto"/>
      </w:pPr>
      <w:r>
        <w:rPr>
          <w:rFonts w:ascii="Calibri" w:hAnsi="Calibri"/>
          <w:b/>
          <w:color w:val="003A70"/>
          <w:sz w:val="21"/>
        </w:rPr>
        <w:t xml:space="preserve">MFA: </w:t>
      </w:r>
      <w:r>
        <w:rPr>
          <w:rFonts w:ascii="Calibri" w:hAnsi="Calibri"/>
          <w:color w:val="333333"/>
          <w:sz w:val="21"/>
        </w:rPr>
        <w:t>Multi-Factor Authentication.</w:t>
      </w:r>
    </w:p>
    <w:p>
      <w:pPr>
        <w:pStyle w:val="ListBullet"/>
        <w:spacing w:before="0" w:after="80" w:line="288" w:lineRule="auto"/>
      </w:pPr>
      <w:r>
        <w:rPr>
          <w:rFonts w:ascii="Calibri" w:hAnsi="Calibri"/>
          <w:b/>
          <w:color w:val="003A70"/>
          <w:sz w:val="21"/>
        </w:rPr>
        <w:t xml:space="preserve">MSSP: </w:t>
      </w:r>
      <w:r>
        <w:rPr>
          <w:rFonts w:ascii="Calibri" w:hAnsi="Calibri"/>
          <w:color w:val="333333"/>
          <w:sz w:val="21"/>
        </w:rPr>
        <w:t>Managed Security Services Provider — outsourced security operations.</w:t>
      </w:r>
    </w:p>
    <w:p>
      <w:pPr>
        <w:pStyle w:val="ListBullet"/>
        <w:spacing w:before="0" w:after="80" w:line="288" w:lineRule="auto"/>
      </w:pPr>
      <w:r>
        <w:rPr>
          <w:rFonts w:ascii="Calibri" w:hAnsi="Calibri"/>
          <w:b/>
          <w:color w:val="003A70"/>
          <w:sz w:val="21"/>
        </w:rPr>
        <w:t xml:space="preserve">P&amp;SA: </w:t>
      </w:r>
      <w:r>
        <w:rPr>
          <w:rFonts w:ascii="Calibri" w:hAnsi="Calibri"/>
          <w:color w:val="333333"/>
          <w:sz w:val="21"/>
        </w:rPr>
        <w:t>Packers &amp; Stockyards Act — USDA livestock marketing regulation.</w:t>
      </w:r>
    </w:p>
    <w:p>
      <w:pPr>
        <w:pStyle w:val="ListBullet"/>
        <w:spacing w:before="0" w:after="80" w:line="288" w:lineRule="auto"/>
      </w:pPr>
      <w:r>
        <w:rPr>
          <w:rFonts w:ascii="Calibri" w:hAnsi="Calibri"/>
          <w:b/>
          <w:color w:val="003A70"/>
          <w:sz w:val="21"/>
        </w:rPr>
        <w:t xml:space="preserve">RPA: </w:t>
      </w:r>
      <w:r>
        <w:rPr>
          <w:rFonts w:ascii="Calibri" w:hAnsi="Calibri"/>
          <w:color w:val="333333"/>
          <w:sz w:val="21"/>
        </w:rPr>
        <w:t>Robotic Process Automation — software bots for workflow automation.</w:t>
      </w:r>
    </w:p>
    <w:p>
      <w:pPr>
        <w:pStyle w:val="ListBullet"/>
        <w:spacing w:before="0" w:after="80" w:line="288" w:lineRule="auto"/>
      </w:pPr>
      <w:r>
        <w:rPr>
          <w:rFonts w:ascii="Calibri" w:hAnsi="Calibri"/>
          <w:b/>
          <w:color w:val="003A70"/>
          <w:sz w:val="21"/>
        </w:rPr>
        <w:t xml:space="preserve">SOC: </w:t>
      </w:r>
      <w:r>
        <w:rPr>
          <w:rFonts w:ascii="Calibri" w:hAnsi="Calibri"/>
          <w:color w:val="333333"/>
          <w:sz w:val="21"/>
        </w:rPr>
        <w:t>Security Operations Center — 24×7 threat monitoring and response.</w:t>
      </w:r>
    </w:p>
    <w:p>
      <w:pPr>
        <w:pStyle w:val="ListBullet"/>
        <w:spacing w:before="0" w:after="80" w:line="288" w:lineRule="auto"/>
      </w:pPr>
      <w:r>
        <w:rPr>
          <w:rFonts w:ascii="Calibri" w:hAnsi="Calibri"/>
          <w:b/>
          <w:color w:val="003A70"/>
          <w:sz w:val="21"/>
        </w:rPr>
        <w:t xml:space="preserve">TCO: </w:t>
      </w:r>
      <w:r>
        <w:rPr>
          <w:rFonts w:ascii="Calibri" w:hAnsi="Calibri"/>
          <w:color w:val="333333"/>
          <w:sz w:val="21"/>
        </w:rPr>
        <w:t>Total Cost of Ownership.</w:t>
      </w:r>
    </w:p>
    <w:p>
      <w:pPr>
        <w:pStyle w:val="ListBullet"/>
        <w:spacing w:before="0" w:after="80" w:line="288" w:lineRule="auto"/>
      </w:pPr>
      <w:r>
        <w:rPr>
          <w:rFonts w:ascii="Calibri" w:hAnsi="Calibri"/>
          <w:b/>
          <w:color w:val="003A70"/>
          <w:sz w:val="21"/>
        </w:rPr>
        <w:t xml:space="preserve">Zero Trust: </w:t>
      </w:r>
      <w:r>
        <w:rPr>
          <w:rFonts w:ascii="Calibri" w:hAnsi="Calibri"/>
          <w:color w:val="333333"/>
          <w:sz w:val="21"/>
        </w:rPr>
        <w:t>Security model: never trust, always verify; identity-based access.</w:t>
      </w:r>
    </w:p>
    <w:p>
      <w:r>
        <w:br w:type="page"/>
      </w:r>
    </w:p>
    <w:p>
      <w:pPr>
        <w:pStyle w:val="Heading1"/>
        <w:spacing w:before="0" w:after="240" w:line="276" w:lineRule="auto"/>
        <w:pBdr>
          <w:bottom w:val="single" w:sz="12" w:space="4" w:color="003A70"/>
        </w:pBdr>
      </w:pPr>
      <w:r>
        <w:t>Appendix D: Citations</w:t>
      </w:r>
    </w:p>
    <w:p>
      <w:pPr>
        <w:spacing w:before="0" w:after="160" w:line="300" w:lineRule="auto"/>
      </w:pPr>
      <w:r>
        <w:rPr>
          <w:rFonts w:ascii="Calibri" w:hAnsi="Calibri"/>
          <w:b w:val="0"/>
          <w:i w:val="0"/>
          <w:sz w:val="21"/>
        </w:rPr>
        <w:t>All citations numbered and referenced in the body of this report. Figures calibrated from multiple public and industry sources; specific PLMA estimates noted in Appendix B.</w:t>
      </w:r>
    </w:p>
    <w:p>
      <w:pPr>
        <w:spacing w:before="0" w:after="100" w:line="288" w:lineRule="auto"/>
        <w:ind w:left="576" w:hanging="576"/>
      </w:pPr>
      <w:r>
        <w:rPr>
          <w:rFonts w:ascii="Calibri" w:hAnsi="Calibri"/>
          <w:b/>
          <w:color w:val="003A70"/>
          <w:sz w:val="19"/>
        </w:rPr>
        <w:t xml:space="preserve">[1]  </w:t>
      </w:r>
      <w:r>
        <w:rPr>
          <w:rFonts w:ascii="Calibri" w:hAnsi="Calibri"/>
          <w:color w:val="333333"/>
          <w:sz w:val="19"/>
        </w:rPr>
        <w:t>AgFunder, "AgriFoodTech Investment Report," 2018–2025 annual editions.</w:t>
      </w:r>
    </w:p>
    <w:p>
      <w:pPr>
        <w:spacing w:before="0" w:after="100" w:line="288" w:lineRule="auto"/>
        <w:ind w:left="576" w:hanging="576"/>
      </w:pPr>
      <w:r>
        <w:rPr>
          <w:rFonts w:ascii="Calibri" w:hAnsi="Calibri"/>
          <w:b/>
          <w:color w:val="003A70"/>
          <w:sz w:val="19"/>
        </w:rPr>
        <w:t xml:space="preserve">[2]  </w:t>
      </w:r>
      <w:r>
        <w:rPr>
          <w:rFonts w:ascii="Calibri" w:hAnsi="Calibri"/>
          <w:color w:val="333333"/>
          <w:sz w:val="19"/>
        </w:rPr>
        <w:t>McKinsey &amp; Company, "The State of AI in 2024: Gen AI's breakout year," 2024.</w:t>
      </w:r>
    </w:p>
    <w:p>
      <w:pPr>
        <w:spacing w:before="0" w:after="100" w:line="288" w:lineRule="auto"/>
        <w:ind w:left="576" w:hanging="576"/>
      </w:pPr>
      <w:r>
        <w:rPr>
          <w:rFonts w:ascii="Calibri" w:hAnsi="Calibri"/>
          <w:b/>
          <w:color w:val="003A70"/>
          <w:sz w:val="19"/>
        </w:rPr>
        <w:t xml:space="preserve">[3]  </w:t>
      </w:r>
      <w:r>
        <w:rPr>
          <w:rFonts w:ascii="Calibri" w:hAnsi="Calibri"/>
          <w:color w:val="333333"/>
          <w:sz w:val="19"/>
        </w:rPr>
        <w:t>McKinsey Global Institute, "The economic potential of generative AI," June 2023.</w:t>
      </w:r>
    </w:p>
    <w:p>
      <w:pPr>
        <w:spacing w:before="0" w:after="100" w:line="288" w:lineRule="auto"/>
        <w:ind w:left="576" w:hanging="576"/>
      </w:pPr>
      <w:r>
        <w:rPr>
          <w:rFonts w:ascii="Calibri" w:hAnsi="Calibri"/>
          <w:b/>
          <w:color w:val="003A70"/>
          <w:sz w:val="19"/>
        </w:rPr>
        <w:t xml:space="preserve">[4]  </w:t>
      </w:r>
      <w:r>
        <w:rPr>
          <w:rFonts w:ascii="Calibri" w:hAnsi="Calibri"/>
          <w:color w:val="333333"/>
          <w:sz w:val="19"/>
        </w:rPr>
        <w:t>Gartner, "Hype Cycle for Artificial Intelligence," 2024 and 2025 editions.</w:t>
      </w:r>
    </w:p>
    <w:p>
      <w:pPr>
        <w:spacing w:before="0" w:after="100" w:line="288" w:lineRule="auto"/>
        <w:ind w:left="576" w:hanging="576"/>
      </w:pPr>
      <w:r>
        <w:rPr>
          <w:rFonts w:ascii="Calibri" w:hAnsi="Calibri"/>
          <w:b/>
          <w:color w:val="003A70"/>
          <w:sz w:val="19"/>
        </w:rPr>
        <w:t xml:space="preserve">[5]  </w:t>
      </w:r>
      <w:r>
        <w:rPr>
          <w:rFonts w:ascii="Calibri" w:hAnsi="Calibri"/>
          <w:color w:val="333333"/>
          <w:sz w:val="19"/>
        </w:rPr>
        <w:t>Gartner, "Hype Cycle for Digital Agriculture," 2024.</w:t>
      </w:r>
    </w:p>
    <w:p>
      <w:pPr>
        <w:spacing w:before="0" w:after="100" w:line="288" w:lineRule="auto"/>
        <w:ind w:left="576" w:hanging="576"/>
      </w:pPr>
      <w:r>
        <w:rPr>
          <w:rFonts w:ascii="Calibri" w:hAnsi="Calibri"/>
          <w:b/>
          <w:color w:val="003A70"/>
          <w:sz w:val="19"/>
        </w:rPr>
        <w:t xml:space="preserve">[6]  </w:t>
      </w:r>
      <w:r>
        <w:rPr>
          <w:rFonts w:ascii="Calibri" w:hAnsi="Calibri"/>
          <w:color w:val="333333"/>
          <w:sz w:val="19"/>
        </w:rPr>
        <w:t>IDC, "Worldwide Artificial Intelligence Spending Guide," 2025.</w:t>
      </w:r>
    </w:p>
    <w:p>
      <w:pPr>
        <w:spacing w:before="0" w:after="100" w:line="288" w:lineRule="auto"/>
        <w:ind w:left="576" w:hanging="576"/>
      </w:pPr>
      <w:r>
        <w:rPr>
          <w:rFonts w:ascii="Calibri" w:hAnsi="Calibri"/>
          <w:b/>
          <w:color w:val="003A70"/>
          <w:sz w:val="19"/>
        </w:rPr>
        <w:t xml:space="preserve">[7]  </w:t>
      </w:r>
      <w:r>
        <w:rPr>
          <w:rFonts w:ascii="Calibri" w:hAnsi="Calibri"/>
          <w:color w:val="333333"/>
          <w:sz w:val="19"/>
        </w:rPr>
        <w:t>Forrester Research, "The State of Enterprise AI," 2025.</w:t>
      </w:r>
    </w:p>
    <w:p>
      <w:pPr>
        <w:spacing w:before="0" w:after="100" w:line="288" w:lineRule="auto"/>
        <w:ind w:left="576" w:hanging="576"/>
      </w:pPr>
      <w:r>
        <w:rPr>
          <w:rFonts w:ascii="Calibri" w:hAnsi="Calibri"/>
          <w:b/>
          <w:color w:val="003A70"/>
          <w:sz w:val="19"/>
        </w:rPr>
        <w:t xml:space="preserve">[8]  </w:t>
      </w:r>
      <w:r>
        <w:rPr>
          <w:rFonts w:ascii="Calibri" w:hAnsi="Calibri"/>
          <w:color w:val="333333"/>
          <w:sz w:val="19"/>
        </w:rPr>
        <w:t>NIST, "Artificial Intelligence Risk Management Framework (AI RMF 1.0)," January 2023.</w:t>
      </w:r>
    </w:p>
    <w:p>
      <w:pPr>
        <w:spacing w:before="0" w:after="100" w:line="288" w:lineRule="auto"/>
        <w:ind w:left="576" w:hanging="576"/>
      </w:pPr>
      <w:r>
        <w:rPr>
          <w:rFonts w:ascii="Calibri" w:hAnsi="Calibri"/>
          <w:b/>
          <w:color w:val="003A70"/>
          <w:sz w:val="19"/>
        </w:rPr>
        <w:t xml:space="preserve">[9]  </w:t>
      </w:r>
      <w:r>
        <w:rPr>
          <w:rFonts w:ascii="Calibri" w:hAnsi="Calibri"/>
          <w:color w:val="333333"/>
          <w:sz w:val="19"/>
        </w:rPr>
        <w:t>NIST, "AI RMF Generative AI Profile," July 2024.</w:t>
      </w:r>
    </w:p>
    <w:p>
      <w:pPr>
        <w:spacing w:before="0" w:after="100" w:line="288" w:lineRule="auto"/>
        <w:ind w:left="576" w:hanging="576"/>
      </w:pPr>
      <w:r>
        <w:rPr>
          <w:rFonts w:ascii="Calibri" w:hAnsi="Calibri"/>
          <w:b/>
          <w:color w:val="003A70"/>
          <w:sz w:val="19"/>
        </w:rPr>
        <w:t xml:space="preserve">[10]  </w:t>
      </w:r>
      <w:r>
        <w:rPr>
          <w:rFonts w:ascii="Calibri" w:hAnsi="Calibri"/>
          <w:color w:val="333333"/>
          <w:sz w:val="19"/>
        </w:rPr>
        <w:t>SEC, "Cybersecurity Risk Management, Strategy, Governance, and Incident Disclosure," Final Rule, July 2023.</w:t>
      </w:r>
    </w:p>
    <w:p>
      <w:pPr>
        <w:spacing w:before="0" w:after="100" w:line="288" w:lineRule="auto"/>
        <w:ind w:left="576" w:hanging="576"/>
      </w:pPr>
      <w:r>
        <w:rPr>
          <w:rFonts w:ascii="Calibri" w:hAnsi="Calibri"/>
          <w:b/>
          <w:color w:val="003A70"/>
          <w:sz w:val="19"/>
        </w:rPr>
        <w:t xml:space="preserve">[11]  </w:t>
      </w:r>
      <w:r>
        <w:rPr>
          <w:rFonts w:ascii="Calibri" w:hAnsi="Calibri"/>
          <w:color w:val="333333"/>
          <w:sz w:val="19"/>
        </w:rPr>
        <w:t>European Union, "Artificial Intelligence Act (EU AI Act)," Regulation 2024/1689.</w:t>
      </w:r>
    </w:p>
    <w:p>
      <w:pPr>
        <w:spacing w:before="0" w:after="100" w:line="288" w:lineRule="auto"/>
        <w:ind w:left="576" w:hanging="576"/>
      </w:pPr>
      <w:r>
        <w:rPr>
          <w:rFonts w:ascii="Calibri" w:hAnsi="Calibri"/>
          <w:b/>
          <w:color w:val="003A70"/>
          <w:sz w:val="19"/>
        </w:rPr>
        <w:t xml:space="preserve">[12]  </w:t>
      </w:r>
      <w:r>
        <w:rPr>
          <w:rFonts w:ascii="Calibri" w:hAnsi="Calibri"/>
          <w:color w:val="333333"/>
          <w:sz w:val="19"/>
        </w:rPr>
        <w:t>Food and Ag-ISAC, "Cyber Threats to the Food &amp; Agriculture Sector," 2024 and 2025 reports.</w:t>
      </w:r>
    </w:p>
    <w:p>
      <w:pPr>
        <w:spacing w:before="0" w:after="100" w:line="288" w:lineRule="auto"/>
        <w:ind w:left="576" w:hanging="576"/>
      </w:pPr>
      <w:r>
        <w:rPr>
          <w:rFonts w:ascii="Calibri" w:hAnsi="Calibri"/>
          <w:b/>
          <w:color w:val="003A70"/>
          <w:sz w:val="19"/>
        </w:rPr>
        <w:t xml:space="preserve">[13]  </w:t>
      </w:r>
      <w:r>
        <w:rPr>
          <w:rFonts w:ascii="Calibri" w:hAnsi="Calibri"/>
          <w:color w:val="333333"/>
          <w:sz w:val="19"/>
        </w:rPr>
        <w:t>CISA, "Cyber Threats to the Agriculture Sector," 2023 &amp; 2024 advisories.</w:t>
      </w:r>
    </w:p>
    <w:p>
      <w:pPr>
        <w:spacing w:before="0" w:after="100" w:line="288" w:lineRule="auto"/>
        <w:ind w:left="576" w:hanging="576"/>
      </w:pPr>
      <w:r>
        <w:rPr>
          <w:rFonts w:ascii="Calibri" w:hAnsi="Calibri"/>
          <w:b/>
          <w:color w:val="003A70"/>
          <w:sz w:val="19"/>
        </w:rPr>
        <w:t xml:space="preserve">[14]  </w:t>
      </w:r>
      <w:r>
        <w:rPr>
          <w:rFonts w:ascii="Calibri" w:hAnsi="Calibri"/>
          <w:color w:val="333333"/>
          <w:sz w:val="19"/>
        </w:rPr>
        <w:t>FBI Internet Crime Complaint Center (IC3), "Annual Report," 2023, 2024, 2025.</w:t>
      </w:r>
    </w:p>
    <w:p>
      <w:pPr>
        <w:spacing w:before="0" w:after="100" w:line="288" w:lineRule="auto"/>
        <w:ind w:left="576" w:hanging="576"/>
      </w:pPr>
      <w:r>
        <w:rPr>
          <w:rFonts w:ascii="Calibri" w:hAnsi="Calibri"/>
          <w:b/>
          <w:color w:val="003A70"/>
          <w:sz w:val="19"/>
        </w:rPr>
        <w:t xml:space="preserve">[15]  </w:t>
      </w:r>
      <w:r>
        <w:rPr>
          <w:rFonts w:ascii="Calibri" w:hAnsi="Calibri"/>
          <w:color w:val="333333"/>
          <w:sz w:val="19"/>
        </w:rPr>
        <w:t>Sophos, "The State of Ransomware 2025."</w:t>
      </w:r>
    </w:p>
    <w:p>
      <w:pPr>
        <w:spacing w:before="0" w:after="100" w:line="288" w:lineRule="auto"/>
        <w:ind w:left="576" w:hanging="576"/>
      </w:pPr>
      <w:r>
        <w:rPr>
          <w:rFonts w:ascii="Calibri" w:hAnsi="Calibri"/>
          <w:b/>
          <w:color w:val="003A70"/>
          <w:sz w:val="19"/>
        </w:rPr>
        <w:t xml:space="preserve">[16]  </w:t>
      </w:r>
      <w:r>
        <w:rPr>
          <w:rFonts w:ascii="Calibri" w:hAnsi="Calibri"/>
          <w:color w:val="333333"/>
          <w:sz w:val="19"/>
        </w:rPr>
        <w:t>Verizon, "Data Breach Investigations Report (DBIR)," 2024 and 2025.</w:t>
      </w:r>
    </w:p>
    <w:p>
      <w:pPr>
        <w:spacing w:before="0" w:after="100" w:line="288" w:lineRule="auto"/>
        <w:ind w:left="576" w:hanging="576"/>
      </w:pPr>
      <w:r>
        <w:rPr>
          <w:rFonts w:ascii="Calibri" w:hAnsi="Calibri"/>
          <w:b/>
          <w:color w:val="003A70"/>
          <w:sz w:val="19"/>
        </w:rPr>
        <w:t xml:space="preserve">[17]  </w:t>
      </w:r>
      <w:r>
        <w:rPr>
          <w:rFonts w:ascii="Calibri" w:hAnsi="Calibri"/>
          <w:color w:val="333333"/>
          <w:sz w:val="19"/>
        </w:rPr>
        <w:t>USDA APHIS, "Animal Disease Traceability (ADT) Rule," Updated 2024.</w:t>
      </w:r>
    </w:p>
    <w:p>
      <w:pPr>
        <w:spacing w:before="0" w:after="100" w:line="288" w:lineRule="auto"/>
        <w:ind w:left="576" w:hanging="576"/>
      </w:pPr>
      <w:r>
        <w:rPr>
          <w:rFonts w:ascii="Calibri" w:hAnsi="Calibri"/>
          <w:b/>
          <w:color w:val="003A70"/>
          <w:sz w:val="19"/>
        </w:rPr>
        <w:t xml:space="preserve">[18]  </w:t>
      </w:r>
      <w:r>
        <w:rPr>
          <w:rFonts w:ascii="Calibri" w:hAnsi="Calibri"/>
          <w:color w:val="333333"/>
          <w:sz w:val="19"/>
        </w:rPr>
        <w:t>Porter, M.E., "Competitive Advantage," Free Press, 1985 (value chain framework).</w:t>
      </w:r>
    </w:p>
    <w:p>
      <w:pPr>
        <w:spacing w:before="0" w:after="100" w:line="288" w:lineRule="auto"/>
        <w:ind w:left="576" w:hanging="576"/>
      </w:pPr>
      <w:r>
        <w:rPr>
          <w:rFonts w:ascii="Calibri" w:hAnsi="Calibri"/>
          <w:b/>
          <w:color w:val="003A70"/>
          <w:sz w:val="19"/>
        </w:rPr>
        <w:t xml:space="preserve">[19]  </w:t>
      </w:r>
      <w:r>
        <w:rPr>
          <w:rFonts w:ascii="Calibri" w:hAnsi="Calibri"/>
          <w:color w:val="333333"/>
          <w:sz w:val="19"/>
        </w:rPr>
        <w:t>Baghai, M., Coley, S., White, D., "The Alchemy of Growth" (McKinsey Three Horizons), 1999.</w:t>
      </w:r>
    </w:p>
    <w:p>
      <w:pPr>
        <w:spacing w:before="0" w:after="100" w:line="288" w:lineRule="auto"/>
        <w:ind w:left="576" w:hanging="576"/>
      </w:pPr>
      <w:r>
        <w:rPr>
          <w:rFonts w:ascii="Calibri" w:hAnsi="Calibri"/>
          <w:b/>
          <w:color w:val="003A70"/>
          <w:sz w:val="19"/>
        </w:rPr>
        <w:t xml:space="preserve">[20]  </w:t>
      </w:r>
      <w:r>
        <w:rPr>
          <w:rFonts w:ascii="Calibri" w:hAnsi="Calibri"/>
          <w:color w:val="333333"/>
          <w:sz w:val="19"/>
        </w:rPr>
        <w:t>Kane, G.C. et al., "Coming of Age Digitally," MIT Sloan Management Review, 2018.</w:t>
      </w:r>
    </w:p>
    <w:p>
      <w:pPr>
        <w:spacing w:before="0" w:after="100" w:line="288" w:lineRule="auto"/>
        <w:ind w:left="576" w:hanging="576"/>
      </w:pPr>
      <w:r>
        <w:rPr>
          <w:rFonts w:ascii="Calibri" w:hAnsi="Calibri"/>
          <w:b/>
          <w:color w:val="003A70"/>
          <w:sz w:val="19"/>
        </w:rPr>
        <w:t xml:space="preserve">[21]  </w:t>
      </w:r>
      <w:r>
        <w:rPr>
          <w:rFonts w:ascii="Calibri" w:hAnsi="Calibri"/>
          <w:color w:val="333333"/>
          <w:sz w:val="19"/>
        </w:rPr>
        <w:t>Deloitte, "2026 Technology Industry Outlook."</w:t>
      </w:r>
    </w:p>
    <w:p>
      <w:pPr>
        <w:spacing w:before="0" w:after="100" w:line="288" w:lineRule="auto"/>
        <w:ind w:left="576" w:hanging="576"/>
      </w:pPr>
      <w:r>
        <w:rPr>
          <w:rFonts w:ascii="Calibri" w:hAnsi="Calibri"/>
          <w:b/>
          <w:color w:val="003A70"/>
          <w:sz w:val="19"/>
        </w:rPr>
        <w:t xml:space="preserve">[22]  </w:t>
      </w:r>
      <w:r>
        <w:rPr>
          <w:rFonts w:ascii="Calibri" w:hAnsi="Calibri"/>
          <w:color w:val="333333"/>
          <w:sz w:val="19"/>
        </w:rPr>
        <w:t>Accenture, "Technology Vision 2025."</w:t>
      </w:r>
    </w:p>
    <w:p>
      <w:pPr>
        <w:spacing w:before="0" w:after="100" w:line="288" w:lineRule="auto"/>
        <w:ind w:left="576" w:hanging="576"/>
      </w:pPr>
      <w:r>
        <w:rPr>
          <w:rFonts w:ascii="Calibri" w:hAnsi="Calibri"/>
          <w:b/>
          <w:color w:val="003A70"/>
          <w:sz w:val="19"/>
        </w:rPr>
        <w:t xml:space="preserve">[23]  </w:t>
      </w:r>
      <w:r>
        <w:rPr>
          <w:rFonts w:ascii="Calibri" w:hAnsi="Calibri"/>
          <w:color w:val="333333"/>
          <w:sz w:val="19"/>
        </w:rPr>
        <w:t>Boston Consulting Group, "The CEO's Guide to Generative AI," 2024.</w:t>
      </w:r>
    </w:p>
    <w:p>
      <w:pPr>
        <w:spacing w:before="0" w:after="100" w:line="288" w:lineRule="auto"/>
        <w:ind w:left="576" w:hanging="576"/>
      </w:pPr>
      <w:r>
        <w:rPr>
          <w:rFonts w:ascii="Calibri" w:hAnsi="Calibri"/>
          <w:b/>
          <w:color w:val="003A70"/>
          <w:sz w:val="19"/>
        </w:rPr>
        <w:t xml:space="preserve">[24]  </w:t>
      </w:r>
      <w:r>
        <w:rPr>
          <w:rFonts w:ascii="Calibri" w:hAnsi="Calibri"/>
          <w:color w:val="333333"/>
          <w:sz w:val="19"/>
        </w:rPr>
        <w:t>Harvard Business Review, "How Generative AI Is Changing Creative Work," November 2022.</w:t>
      </w:r>
    </w:p>
    <w:p>
      <w:pPr>
        <w:spacing w:before="0" w:after="100" w:line="288" w:lineRule="auto"/>
        <w:ind w:left="576" w:hanging="576"/>
      </w:pPr>
      <w:r>
        <w:rPr>
          <w:rFonts w:ascii="Calibri" w:hAnsi="Calibri"/>
          <w:b/>
          <w:color w:val="003A70"/>
          <w:sz w:val="19"/>
        </w:rPr>
        <w:t xml:space="preserve">[25]  </w:t>
      </w:r>
      <w:r>
        <w:rPr>
          <w:rFonts w:ascii="Calibri" w:hAnsi="Calibri"/>
          <w:color w:val="333333"/>
          <w:sz w:val="19"/>
        </w:rPr>
        <w:t>Harvard Business Review, "Getting AI Right," September-October 2024.</w:t>
      </w:r>
    </w:p>
    <w:p>
      <w:pPr>
        <w:spacing w:before="0" w:after="100" w:line="288" w:lineRule="auto"/>
        <w:ind w:left="576" w:hanging="576"/>
      </w:pPr>
      <w:r>
        <w:rPr>
          <w:rFonts w:ascii="Calibri" w:hAnsi="Calibri"/>
          <w:b/>
          <w:color w:val="003A70"/>
          <w:sz w:val="19"/>
        </w:rPr>
        <w:t xml:space="preserve">[26]  </w:t>
      </w:r>
      <w:r>
        <w:rPr>
          <w:rFonts w:ascii="Calibri" w:hAnsi="Calibri"/>
          <w:color w:val="333333"/>
          <w:sz w:val="19"/>
        </w:rPr>
        <w:t>USDA ERS, "Adoption of Precision Agriculture Technologies in the U.S.," 2024.</w:t>
      </w:r>
    </w:p>
    <w:p>
      <w:pPr>
        <w:spacing w:before="0" w:after="100" w:line="288" w:lineRule="auto"/>
        <w:ind w:left="576" w:hanging="576"/>
      </w:pPr>
      <w:r>
        <w:rPr>
          <w:rFonts w:ascii="Calibri" w:hAnsi="Calibri"/>
          <w:b/>
          <w:color w:val="003A70"/>
          <w:sz w:val="19"/>
        </w:rPr>
        <w:t xml:space="preserve">[27]  </w:t>
      </w:r>
      <w:r>
        <w:rPr>
          <w:rFonts w:ascii="Calibri" w:hAnsi="Calibri"/>
          <w:color w:val="333333"/>
          <w:sz w:val="19"/>
        </w:rPr>
        <w:t>CoBank, "Rural Broadband &amp; Digital Agriculture," 2025.</w:t>
      </w:r>
    </w:p>
    <w:p>
      <w:pPr>
        <w:spacing w:before="0" w:after="100" w:line="288" w:lineRule="auto"/>
        <w:ind w:left="576" w:hanging="576"/>
      </w:pPr>
      <w:r>
        <w:rPr>
          <w:rFonts w:ascii="Calibri" w:hAnsi="Calibri"/>
          <w:b/>
          <w:color w:val="003A70"/>
          <w:sz w:val="19"/>
        </w:rPr>
        <w:t xml:space="preserve">[28]  </w:t>
      </w:r>
      <w:r>
        <w:rPr>
          <w:rFonts w:ascii="Calibri" w:hAnsi="Calibri"/>
          <w:color w:val="333333"/>
          <w:sz w:val="19"/>
        </w:rPr>
        <w:t>Farm Credit Administration, "Technology Risk in Ag Lending," 2024.</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CONFIDENTIAL — Prepared for R. Johansen, CFO, PLMA   |   Page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8"/>
      </w:rPr>
      <w:t>Emerging Technology Strategy  •  April 2026  •  Companion to Counterparty Credit Risk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A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A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8D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A7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