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88" w:lineRule="auto"/>
      </w:pPr>
      <w:r>
        <w:rPr>
          <w:rFonts w:ascii="Calibri" w:hAnsi="Calibri"/>
          <w:b w:val="0"/>
          <w:i w:val="0"/>
        </w:rPr>
      </w:r>
    </w:p>
    <w:p>
      <w:pPr>
        <w:spacing w:before="0" w:after="40" w:line="288" w:lineRule="auto"/>
      </w:pPr>
      <w:r>
        <w:rPr>
          <w:rFonts w:ascii="Calibri" w:hAnsi="Calibri"/>
          <w:b w:val="0"/>
          <w:i w:val="0"/>
        </w:rPr>
      </w:r>
    </w:p>
    <w:p>
      <w:pPr>
        <w:spacing w:before="0" w:after="40" w:line="288" w:lineRule="auto"/>
      </w:pPr>
      <w:r>
        <w:rPr>
          <w:rFonts w:ascii="Calibri" w:hAnsi="Calibri"/>
          <w:b w:val="0"/>
          <w:i w:val="0"/>
        </w:rPr>
      </w:r>
    </w:p>
    <w:p>
      <w:pPr>
        <w:spacing w:before="0" w:after="40" w:line="288" w:lineRule="auto"/>
      </w:pPr>
      <w:r>
        <w:rPr>
          <w:rFonts w:ascii="Calibri" w:hAnsi="Calibri"/>
          <w:b w:val="0"/>
          <w:i w:val="0"/>
        </w:rPr>
      </w:r>
    </w:p>
    <w:p>
      <w:pPr>
        <w:spacing w:before="0" w:after="800" w:line="276" w:lineRule="auto"/>
        <w:jc w:val="center"/>
      </w:pPr>
      <w:r>
        <w:rPr>
          <w:rFonts w:ascii="Calibri" w:hAnsi="Calibri"/>
          <w:b/>
          <w:color w:val="E81123"/>
          <w:sz w:val="20"/>
        </w:rPr>
        <w:t>CONFIDENTIAL  •  CLIENT DELIVERABLE  •  REPORT 3 OF 3</w:t>
      </w:r>
    </w:p>
    <w:p>
      <w:pPr>
        <w:spacing w:before="0" w:after="120" w:line="276" w:lineRule="auto"/>
        <w:jc w:val="center"/>
      </w:pPr>
      <w:r>
        <w:rPr>
          <w:rFonts w:ascii="Calibri" w:hAnsi="Calibri"/>
          <w:b/>
          <w:color w:val="003A70"/>
          <w:sz w:val="68"/>
        </w:rPr>
        <w:t>Price Risk, Market Position</w:t>
        <w:br/>
        <w:t>&amp; Generational Strategy</w:t>
      </w:r>
    </w:p>
    <w:p>
      <w:pPr>
        <w:spacing w:before="0" w:after="800" w:line="276" w:lineRule="auto"/>
        <w:jc w:val="center"/>
      </w:pPr>
      <w:r>
        <w:rPr>
          <w:rFonts w:ascii="Calibri" w:hAnsi="Calibri"/>
          <w:color w:val="0078D4"/>
          <w:sz w:val="36"/>
        </w:rPr>
        <w:t>Navigating the Cattle Cycle Peak, Defending Market Share,</w:t>
        <w:br/>
        <w:t>and Securing the Next Generation</w:t>
      </w:r>
    </w:p>
    <w:tbl>
      <w:tblPr>
        <w:tblW w:type="auto" w:w="0"/>
        <w:tblLook w:firstColumn="1" w:firstRow="1" w:lastColumn="0" w:lastRow="0" w:noHBand="0" w:noVBand="1" w:val="04A0"/>
      </w:tblPr>
      <w:tblGrid>
        <w:gridCol w:w="9360"/>
      </w:tblGrid>
      <w:tr>
        <w:tc>
          <w:tcPr>
            <w:tcW w:type="dxa" w:w="9360"/>
            <w:shd w:val="clear" w:color="auto" w:fill="003A70"/>
          </w:tcPr>
          <w:p>
            <w:r/>
            <w:r>
              <w:rPr>
                <w:sz w:val="4"/>
              </w:rPr>
              <w:t xml:space="preserve"> </w:t>
            </w:r>
          </w:p>
        </w:tc>
      </w:tr>
    </w:tbl>
    <w:p>
      <w:pPr>
        <w:spacing w:before="0" w:after="500" w:line="288" w:lineRule="auto"/>
      </w:pPr>
      <w:r>
        <w:rPr>
          <w:rFonts w:ascii="Calibri" w:hAnsi="Calibri"/>
          <w:b w:val="0"/>
          <w:i w:val="0"/>
        </w:rPr>
      </w:r>
    </w:p>
    <w:p>
      <w:pPr>
        <w:spacing w:before="0" w:after="80" w:line="276" w:lineRule="auto"/>
        <w:jc w:val="center"/>
      </w:pPr>
      <w:r>
        <w:rPr>
          <w:rFonts w:ascii="Calibri" w:hAnsi="Calibri"/>
          <w:b/>
          <w:color w:val="333333"/>
          <w:sz w:val="32"/>
        </w:rPr>
        <w:t>Producers Livestock Marketing Association</w:t>
      </w:r>
    </w:p>
    <w:p>
      <w:pPr>
        <w:spacing w:before="0" w:after="300" w:line="276" w:lineRule="auto"/>
        <w:jc w:val="center"/>
      </w:pPr>
      <w:r>
        <w:rPr>
          <w:rFonts w:ascii="Calibri" w:hAnsi="Calibri"/>
          <w:i/>
          <w:color w:val="666666"/>
          <w:sz w:val="24"/>
        </w:rPr>
        <w:t>Prepared for Ryan Johansen, Chief Financial Officer</w:t>
      </w:r>
    </w:p>
    <w:p>
      <w:pPr>
        <w:spacing w:before="0" w:after="1000" w:line="276" w:lineRule="auto"/>
        <w:jc w:val="center"/>
      </w:pPr>
      <w:r>
        <w:rPr>
          <w:rFonts w:ascii="Calibri" w:hAnsi="Calibri"/>
          <w:i/>
          <w:color w:val="68217A"/>
          <w:sz w:val="20"/>
        </w:rPr>
        <w:t>Companion to Report 1 (Counterparty Credit Risk) and Report 2 (Technology Strategy)</w:t>
      </w:r>
    </w:p>
    <w:p>
      <w:pPr>
        <w:jc w:val="center"/>
      </w:pPr>
      <w:r>
        <w:rPr>
          <w:rFonts w:ascii="Calibri" w:hAnsi="Calibri"/>
          <w:b/>
          <w:color w:val="003A70"/>
          <w:sz w:val="22"/>
        </w:rPr>
        <w:t>APRIL 2026</w:t>
      </w:r>
    </w:p>
    <w:p>
      <w:r>
        <w:br w:type="page"/>
      </w:r>
    </w:p>
    <w:p>
      <w:pPr>
        <w:pStyle w:val="Heading1"/>
      </w:pPr>
      <w:r>
        <w:t>Table of Contents</w:t>
      </w:r>
    </w:p>
    <w:p>
      <w:pPr>
        <w:tabs>
          <w:tab w:pos="9072" w:val="right" w:leader="dot"/>
        </w:tabs>
        <w:spacing w:before="0" w:after="160" w:line="312" w:lineRule="auto"/>
      </w:pPr>
      <w:r>
        <w:rPr>
          <w:rFonts w:ascii="Calibri" w:hAnsi="Calibri"/>
          <w:color w:val="333333"/>
          <w:sz w:val="22"/>
        </w:rPr>
        <w:t>1. Executive Summary</w:t>
      </w:r>
      <w:r>
        <w:rPr>
          <w:rFonts w:ascii="Calibri" w:hAnsi="Calibri"/>
          <w:b/>
          <w:color w:val="003A70"/>
          <w:sz w:val="22"/>
        </w:rPr>
        <w:tab/>
        <w:t>3</w:t>
      </w:r>
    </w:p>
    <w:p>
      <w:pPr>
        <w:tabs>
          <w:tab w:pos="9072" w:val="right" w:leader="dot"/>
        </w:tabs>
        <w:spacing w:before="0" w:after="160" w:line="312" w:lineRule="auto"/>
      </w:pPr>
      <w:r>
        <w:rPr>
          <w:rFonts w:ascii="Calibri" w:hAnsi="Calibri"/>
          <w:color w:val="333333"/>
          <w:sz w:val="22"/>
        </w:rPr>
        <w:t>2. Price Risk — Cattle</w:t>
      </w:r>
      <w:r>
        <w:rPr>
          <w:rFonts w:ascii="Calibri" w:hAnsi="Calibri"/>
          <w:b/>
          <w:color w:val="003A70"/>
          <w:sz w:val="22"/>
        </w:rPr>
        <w:tab/>
        <w:t>6</w:t>
      </w:r>
    </w:p>
    <w:p>
      <w:pPr>
        <w:tabs>
          <w:tab w:pos="9072" w:val="right" w:leader="dot"/>
        </w:tabs>
        <w:spacing w:before="0" w:after="160" w:line="312" w:lineRule="auto"/>
      </w:pPr>
      <w:r>
        <w:rPr>
          <w:rFonts w:ascii="Calibri" w:hAnsi="Calibri"/>
          <w:color w:val="333333"/>
          <w:sz w:val="22"/>
        </w:rPr>
        <w:t>3. Market Share Risk Assessment</w:t>
      </w:r>
      <w:r>
        <w:rPr>
          <w:rFonts w:ascii="Calibri" w:hAnsi="Calibri"/>
          <w:b/>
          <w:color w:val="003A70"/>
          <w:sz w:val="22"/>
        </w:rPr>
        <w:tab/>
        <w:t>13</w:t>
      </w:r>
    </w:p>
    <w:p>
      <w:pPr>
        <w:tabs>
          <w:tab w:pos="9072" w:val="right" w:leader="dot"/>
        </w:tabs>
        <w:spacing w:before="0" w:after="160" w:line="312" w:lineRule="auto"/>
      </w:pPr>
      <w:r>
        <w:rPr>
          <w:rFonts w:ascii="Calibri" w:hAnsi="Calibri"/>
          <w:color w:val="333333"/>
          <w:sz w:val="22"/>
        </w:rPr>
        <w:t>4. Generational Succession Deep Dive</w:t>
      </w:r>
      <w:r>
        <w:rPr>
          <w:rFonts w:ascii="Calibri" w:hAnsi="Calibri"/>
          <w:b/>
          <w:color w:val="003A70"/>
          <w:sz w:val="22"/>
        </w:rPr>
        <w:tab/>
        <w:t>20</w:t>
      </w:r>
    </w:p>
    <w:p>
      <w:pPr>
        <w:tabs>
          <w:tab w:pos="9072" w:val="right" w:leader="dot"/>
        </w:tabs>
        <w:spacing w:before="0" w:after="160" w:line="312" w:lineRule="auto"/>
      </w:pPr>
      <w:r>
        <w:rPr>
          <w:rFonts w:ascii="Calibri" w:hAnsi="Calibri"/>
          <w:color w:val="333333"/>
          <w:sz w:val="22"/>
        </w:rPr>
        <w:t>5. Controllable vs. Uncontrollable Framework</w:t>
      </w:r>
      <w:r>
        <w:rPr>
          <w:rFonts w:ascii="Calibri" w:hAnsi="Calibri"/>
          <w:b/>
          <w:color w:val="003A70"/>
          <w:sz w:val="22"/>
        </w:rPr>
        <w:tab/>
        <w:t>27</w:t>
      </w:r>
    </w:p>
    <w:p>
      <w:pPr>
        <w:tabs>
          <w:tab w:pos="9072" w:val="right" w:leader="dot"/>
        </w:tabs>
        <w:spacing w:before="0" w:after="160" w:line="312" w:lineRule="auto"/>
      </w:pPr>
      <w:r>
        <w:rPr>
          <w:rFonts w:ascii="Calibri" w:hAnsi="Calibri"/>
          <w:color w:val="333333"/>
          <w:sz w:val="22"/>
        </w:rPr>
        <w:t>6. Leading Indicators Dashboard</w:t>
      </w:r>
      <w:r>
        <w:rPr>
          <w:rFonts w:ascii="Calibri" w:hAnsi="Calibri"/>
          <w:b/>
          <w:color w:val="003A70"/>
          <w:sz w:val="22"/>
        </w:rPr>
        <w:tab/>
        <w:t>30</w:t>
      </w:r>
    </w:p>
    <w:p>
      <w:pPr>
        <w:tabs>
          <w:tab w:pos="9072" w:val="right" w:leader="dot"/>
        </w:tabs>
        <w:spacing w:before="0" w:after="160" w:line="312" w:lineRule="auto"/>
      </w:pPr>
      <w:r>
        <w:rPr>
          <w:rFonts w:ascii="Calibri" w:hAnsi="Calibri"/>
          <w:color w:val="333333"/>
          <w:sz w:val="22"/>
        </w:rPr>
        <w:t>7. Mitigation Strategy &amp; Implementation Roadmap</w:t>
      </w:r>
      <w:r>
        <w:rPr>
          <w:rFonts w:ascii="Calibri" w:hAnsi="Calibri"/>
          <w:b/>
          <w:color w:val="003A70"/>
          <w:sz w:val="22"/>
        </w:rPr>
        <w:tab/>
        <w:t>34</w:t>
      </w:r>
    </w:p>
    <w:p>
      <w:pPr>
        <w:tabs>
          <w:tab w:pos="9072" w:val="right" w:leader="dot"/>
        </w:tabs>
        <w:spacing w:before="0" w:after="160" w:line="312" w:lineRule="auto"/>
      </w:pPr>
      <w:r>
        <w:rPr>
          <w:rFonts w:ascii="Calibri" w:hAnsi="Calibri"/>
          <w:color w:val="333333"/>
          <w:sz w:val="22"/>
        </w:rPr>
        <w:t>8. Financial Model</w:t>
      </w:r>
      <w:r>
        <w:rPr>
          <w:rFonts w:ascii="Calibri" w:hAnsi="Calibri"/>
          <w:b/>
          <w:color w:val="003A70"/>
          <w:sz w:val="22"/>
        </w:rPr>
        <w:tab/>
        <w:t>40</w:t>
      </w:r>
    </w:p>
    <w:p>
      <w:pPr>
        <w:tabs>
          <w:tab w:pos="9072" w:val="right" w:leader="dot"/>
        </w:tabs>
        <w:spacing w:before="0" w:after="160" w:line="312" w:lineRule="auto"/>
      </w:pPr>
      <w:r>
        <w:rPr>
          <w:rFonts w:ascii="Calibri" w:hAnsi="Calibri"/>
          <w:color w:val="333333"/>
          <w:sz w:val="22"/>
        </w:rPr>
        <w:t>9. Conclusion &amp; Next Steps</w:t>
      </w:r>
      <w:r>
        <w:rPr>
          <w:rFonts w:ascii="Calibri" w:hAnsi="Calibri"/>
          <w:b/>
          <w:color w:val="003A70"/>
          <w:sz w:val="22"/>
        </w:rPr>
        <w:tab/>
        <w:t>45</w:t>
      </w:r>
    </w:p>
    <w:p>
      <w:pPr>
        <w:tabs>
          <w:tab w:pos="9072" w:val="right" w:leader="dot"/>
        </w:tabs>
        <w:spacing w:before="0" w:after="160" w:line="312" w:lineRule="auto"/>
      </w:pPr>
      <w:r>
        <w:rPr>
          <w:rFonts w:ascii="Calibri" w:hAnsi="Calibri"/>
          <w:color w:val="333333"/>
          <w:sz w:val="22"/>
        </w:rPr>
        <w:t>Appendix A: Cattle Cycle Data Tables</w:t>
      </w:r>
      <w:r>
        <w:rPr>
          <w:rFonts w:ascii="Calibri" w:hAnsi="Calibri"/>
          <w:b/>
          <w:color w:val="003A70"/>
          <w:sz w:val="22"/>
        </w:rPr>
        <w:tab/>
        <w:t>47</w:t>
      </w:r>
    </w:p>
    <w:p>
      <w:pPr>
        <w:tabs>
          <w:tab w:pos="9072" w:val="right" w:leader="dot"/>
        </w:tabs>
        <w:spacing w:before="0" w:after="160" w:line="312" w:lineRule="auto"/>
      </w:pPr>
      <w:r>
        <w:rPr>
          <w:rFonts w:ascii="Calibri" w:hAnsi="Calibri"/>
          <w:color w:val="333333"/>
          <w:sz w:val="22"/>
        </w:rPr>
        <w:t>Appendix B: Commission Sensitivity Detail</w:t>
      </w:r>
      <w:r>
        <w:rPr>
          <w:rFonts w:ascii="Calibri" w:hAnsi="Calibri"/>
          <w:b/>
          <w:color w:val="003A70"/>
          <w:sz w:val="22"/>
        </w:rPr>
        <w:tab/>
        <w:t>49</w:t>
      </w:r>
    </w:p>
    <w:p>
      <w:pPr>
        <w:tabs>
          <w:tab w:pos="9072" w:val="right" w:leader="dot"/>
        </w:tabs>
        <w:spacing w:before="0" w:after="160" w:line="312" w:lineRule="auto"/>
      </w:pPr>
      <w:r>
        <w:rPr>
          <w:rFonts w:ascii="Calibri" w:hAnsi="Calibri"/>
          <w:color w:val="333333"/>
          <w:sz w:val="22"/>
        </w:rPr>
        <w:t>Appendix C: Generational Demographics</w:t>
      </w:r>
      <w:r>
        <w:rPr>
          <w:rFonts w:ascii="Calibri" w:hAnsi="Calibri"/>
          <w:b/>
          <w:color w:val="003A70"/>
          <w:sz w:val="22"/>
        </w:rPr>
        <w:tab/>
        <w:t>51</w:t>
      </w:r>
    </w:p>
    <w:p>
      <w:pPr>
        <w:tabs>
          <w:tab w:pos="9072" w:val="right" w:leader="dot"/>
        </w:tabs>
        <w:spacing w:before="0" w:after="160" w:line="312" w:lineRule="auto"/>
      </w:pPr>
      <w:r>
        <w:rPr>
          <w:rFonts w:ascii="Calibri" w:hAnsi="Calibri"/>
          <w:color w:val="333333"/>
          <w:sz w:val="22"/>
        </w:rPr>
        <w:t>Appendix D: Methodology &amp; Assumptions</w:t>
      </w:r>
      <w:r>
        <w:rPr>
          <w:rFonts w:ascii="Calibri" w:hAnsi="Calibri"/>
          <w:b/>
          <w:color w:val="003A70"/>
          <w:sz w:val="22"/>
        </w:rPr>
        <w:tab/>
        <w:t>53</w:t>
      </w:r>
    </w:p>
    <w:p>
      <w:pPr>
        <w:tabs>
          <w:tab w:pos="9072" w:val="right" w:leader="dot"/>
        </w:tabs>
        <w:spacing w:before="0" w:after="160" w:line="312" w:lineRule="auto"/>
      </w:pPr>
      <w:r>
        <w:rPr>
          <w:rFonts w:ascii="Calibri" w:hAnsi="Calibri"/>
          <w:color w:val="333333"/>
          <w:sz w:val="22"/>
        </w:rPr>
        <w:t>Appendix E: Glossary</w:t>
      </w:r>
      <w:r>
        <w:rPr>
          <w:rFonts w:ascii="Calibri" w:hAnsi="Calibri"/>
          <w:b/>
          <w:color w:val="003A70"/>
          <w:sz w:val="22"/>
        </w:rPr>
        <w:tab/>
        <w:t>55</w:t>
      </w:r>
    </w:p>
    <w:p>
      <w:pPr>
        <w:tabs>
          <w:tab w:pos="9072" w:val="right" w:leader="dot"/>
        </w:tabs>
        <w:spacing w:before="0" w:after="160" w:line="312" w:lineRule="auto"/>
      </w:pPr>
      <w:r>
        <w:rPr>
          <w:rFonts w:ascii="Calibri" w:hAnsi="Calibri"/>
          <w:color w:val="333333"/>
          <w:sz w:val="22"/>
        </w:rPr>
        <w:t>Appendix F: Citations</w:t>
      </w:r>
      <w:r>
        <w:rPr>
          <w:rFonts w:ascii="Calibri" w:hAnsi="Calibri"/>
          <w:b/>
          <w:color w:val="003A70"/>
          <w:sz w:val="22"/>
        </w:rPr>
        <w:tab/>
        <w:t>57</w:t>
      </w:r>
    </w:p>
    <w:p>
      <w:r>
        <w:br w:type="page"/>
      </w:r>
    </w:p>
    <w:p>
      <w:pPr>
        <w:pStyle w:val="Heading1"/>
        <w:spacing w:before="0" w:after="240" w:line="276" w:lineRule="auto"/>
        <w:pBdr>
          <w:bottom w:val="single" w:sz="12" w:space="4" w:color="003A70"/>
        </w:pBdr>
      </w:pPr>
      <w:r>
        <w:t>1. Executive Summary</w:t>
      </w:r>
    </w:p>
    <w:tbl>
      <w:tblPr>
        <w:tblW w:type="auto" w:w="0"/>
        <w:tblLook w:firstColumn="1" w:firstRow="1" w:lastColumn="0" w:lastRow="0" w:noHBand="0" w:noVBand="1" w:val="04A0"/>
      </w:tblPr>
      <w:tblGrid>
        <w:gridCol w:w="9360"/>
      </w:tblGrid>
      <w:tr>
        <w:tc>
          <w:tcPr>
            <w:tcW w:type="dxa" w:w="9360"/>
            <w:shd w:val="clear" w:color="auto" w:fill="FDE7E9"/>
            <w:tcBorders>
              <w:top w:val="single" w:sz="4" w:color="E81123" w:space="0"/>
              <w:left w:val="single" w:sz="36" w:color="E81123" w:space="0"/>
              <w:bottom w:val="single" w:sz="4" w:color="E81123" w:space="0"/>
              <w:right w:val="single" w:sz="4" w:color="E81123" w:space="0"/>
            </w:tcBorders>
          </w:tcPr>
          <w:p>
            <w:pPr>
              <w:spacing w:before="0" w:after="60" w:line="276" w:lineRule="auto"/>
            </w:pPr>
            <w:r/>
            <w:r>
              <w:rPr>
                <w:rFonts w:ascii="Calibri" w:hAnsi="Calibri"/>
                <w:b/>
                <w:color w:val="E81123"/>
                <w:sz w:val="18"/>
              </w:rPr>
              <w:t>SITUATION</w:t>
            </w:r>
          </w:p>
          <w:p>
            <w:pPr>
              <w:spacing w:before="0" w:after="80" w:line="288" w:lineRule="auto"/>
            </w:pPr>
            <w:r>
              <w:rPr>
                <w:rFonts w:ascii="Calibri" w:hAnsi="Calibri"/>
                <w:color w:val="333333"/>
                <w:sz w:val="20"/>
              </w:rPr>
              <w:t>U.S. cattle prices are at all-time nominal highs — fed cattle averaging ~$198/cwt in Q1 2026. The cyclical nature of the cattle market makes a correction not a question of IF but WHEN and HOW MUCH. PLMA's commission revenue — tied directly to livestock transaction value — faces downside exposure of $5.7M to $17.1M annually under a 10-30% price correction. Simultaneously, PLMA's market share is under attack from four directions: digital marketplace disruptors, industry consolidation, direct-to-packer disintermediation, and regional competitive shifts. And the demographic cliff — average rancher age exceeding 58 — means PLMA's existing relationship base is literally aging out of production.</w:t>
            </w:r>
          </w:p>
        </w:tc>
      </w:tr>
    </w:tbl>
    <w:p>
      <w:pPr>
        <w:spacing w:before="0" w:after="160" w:line="288" w:lineRule="auto"/>
      </w:pPr>
      <w:r>
        <w:rPr>
          <w:rFonts w:ascii="Calibri" w:hAnsi="Calibri"/>
          <w:b w:val="0"/>
          <w:i w:val="0"/>
        </w:rPr>
      </w:r>
    </w:p>
    <w:p>
      <w:pPr>
        <w:pStyle w:val="Heading2"/>
        <w:spacing w:before="280" w:after="120" w:line="276" w:lineRule="auto"/>
      </w:pPr>
      <w:r>
        <w:t>1.1 Key Findings</w:t>
      </w:r>
    </w:p>
    <w:p>
      <w:pPr>
        <w:pStyle w:val="ListBullet"/>
        <w:spacing w:before="0" w:after="80" w:line="288" w:lineRule="auto"/>
      </w:pPr>
      <w:r>
        <w:rPr>
          <w:rFonts w:ascii="Calibri" w:hAnsi="Calibri"/>
          <w:b/>
          <w:color w:val="003A70"/>
          <w:sz w:val="21"/>
        </w:rPr>
        <w:t xml:space="preserve">Cattle prices will correct — the only variables are timing and magnitude. </w:t>
      </w:r>
      <w:r>
        <w:rPr>
          <w:rFonts w:ascii="Calibri" w:hAnsi="Calibri"/>
          <w:color w:val="333333"/>
          <w:sz w:val="21"/>
        </w:rPr>
        <w:t>Every cattle cycle in the past 40 years has produced a peak-to-trough correction of 20-40%. The 2014-2017 cycle saw a 32% decline. PLMA must plan for a 20-30% correction commencing in the 2026-2028 window.</w:t>
      </w:r>
    </w:p>
    <w:p>
      <w:pPr>
        <w:pStyle w:val="ListBullet"/>
        <w:spacing w:before="0" w:after="80" w:line="288" w:lineRule="auto"/>
      </w:pPr>
      <w:r>
        <w:rPr>
          <w:rFonts w:ascii="Calibri" w:hAnsi="Calibri"/>
          <w:b/>
          <w:color w:val="003A70"/>
          <w:sz w:val="21"/>
        </w:rPr>
        <w:t xml:space="preserve">Commission revenue is structurally exposed to price declines. </w:t>
      </w:r>
      <w:r>
        <w:rPr>
          <w:rFonts w:ascii="Calibri" w:hAnsi="Calibri"/>
          <w:color w:val="333333"/>
          <w:sz w:val="21"/>
        </w:rPr>
        <w:t>As a percentage-of-sale marketer, PLMA's revenue declines proportionally with cattle prices. A 20% cattle price decline erodes ~$11.4M (19%) of annual commission revenue. This is not a risk PLMA can fully eliminate, but it CAN be substantially mitigated.</w:t>
      </w:r>
    </w:p>
    <w:p>
      <w:pPr>
        <w:pStyle w:val="ListBullet"/>
        <w:spacing w:before="0" w:after="80" w:line="288" w:lineRule="auto"/>
      </w:pPr>
      <w:r>
        <w:rPr>
          <w:rFonts w:ascii="Calibri" w:hAnsi="Calibri"/>
          <w:b/>
          <w:color w:val="003A70"/>
          <w:sz w:val="21"/>
        </w:rPr>
        <w:t xml:space="preserve">Company-owned cattle inventory creates additional balance sheet exposure. </w:t>
      </w:r>
      <w:r>
        <w:rPr>
          <w:rFonts w:ascii="Calibri" w:hAnsi="Calibri"/>
          <w:color w:val="333333"/>
          <w:sz w:val="21"/>
        </w:rPr>
        <w:t>An estimated $20M in company-owned inventory faces $4M mark-to-market loss in a 20% decline scenario. A 60-80% hedging program reduces this to $0.8-1.6M.</w:t>
      </w:r>
    </w:p>
    <w:p>
      <w:pPr>
        <w:pStyle w:val="ListBullet"/>
        <w:spacing w:before="0" w:after="80" w:line="288" w:lineRule="auto"/>
      </w:pPr>
      <w:r>
        <w:rPr>
          <w:rFonts w:ascii="Calibri" w:hAnsi="Calibri"/>
          <w:b/>
          <w:color w:val="003A70"/>
          <w:sz w:val="21"/>
        </w:rPr>
        <w:t xml:space="preserve">Market share erosion is the slow-moving existential threat. </w:t>
      </w:r>
      <w:r>
        <w:rPr>
          <w:rFonts w:ascii="Calibri" w:hAnsi="Calibri"/>
          <w:color w:val="333333"/>
          <w:sz w:val="21"/>
        </w:rPr>
        <w:t>Digital marketplaces now account for ~32% of livestock transactions. Auction market count has declined from 1,200 (2000) to 570 (2025). In a moderate erosion scenario, PLMA loses 4%/year of transaction volume — $12M/year in revenue by Year 5.</w:t>
      </w:r>
    </w:p>
    <w:p>
      <w:pPr>
        <w:pStyle w:val="ListBullet"/>
        <w:spacing w:before="0" w:after="80" w:line="288" w:lineRule="auto"/>
      </w:pPr>
      <w:r>
        <w:rPr>
          <w:rFonts w:ascii="Calibri" w:hAnsi="Calibri"/>
          <w:b/>
          <w:color w:val="003A70"/>
          <w:sz w:val="21"/>
        </w:rPr>
        <w:t xml:space="preserve">The generational succession gap is PLMA's most underappreciated risk. </w:t>
      </w:r>
      <w:r>
        <w:rPr>
          <w:rFonts w:ascii="Calibri" w:hAnsi="Calibri"/>
          <w:color w:val="333333"/>
          <w:sz w:val="21"/>
        </w:rPr>
        <w:t>53% of U.S. farm operators will be 65+ by 2035. When ranches transfer through estates, PLMA loses ~71% of those relationships. Without a formal Young Rancher Program, PLMA's member base contracts by natural attrition faster than it can be replenished.</w:t>
      </w:r>
    </w:p>
    <w:p>
      <w:pPr>
        <w:pStyle w:val="ListBullet"/>
        <w:spacing w:before="0" w:after="80" w:line="288" w:lineRule="auto"/>
      </w:pPr>
      <w:r>
        <w:rPr>
          <w:rFonts w:ascii="Calibri" w:hAnsi="Calibri"/>
          <w:b/>
          <w:color w:val="003A70"/>
          <w:sz w:val="21"/>
        </w:rPr>
        <w:t xml:space="preserve">Controllable actions can substantially narrow the risk exposure. </w:t>
      </w:r>
      <w:r>
        <w:rPr>
          <w:rFonts w:ascii="Calibri" w:hAnsi="Calibri"/>
          <w:color w:val="333333"/>
          <w:sz w:val="21"/>
        </w:rPr>
        <w:t>While PLMA cannot control commodity prices or demographics, it CAN control its hedging program, commission structure, digital investment, young rancher outreach, and revenue diversification — and these actions generate ~$26M in 10-year NPV.</w:t>
      </w:r>
    </w:p>
    <w:p>
      <w:pPr>
        <w:pStyle w:val="Heading2"/>
        <w:spacing w:before="280" w:after="120" w:line="276" w:lineRule="auto"/>
      </w:pPr>
      <w:r>
        <w:t>1.2 Financial Impact Summary</w:t>
      </w:r>
    </w:p>
    <w:tbl>
      <w:tblPr>
        <w:tblW w:type="auto" w:w="0"/>
        <w:jc w:val="center"/>
        <w:tblLook w:firstColumn="1" w:firstRow="1" w:lastColumn="0" w:lastRow="0" w:noHBand="0" w:noVBand="1" w:val="04A0"/>
      </w:tblPr>
      <w:tblGrid>
        <w:gridCol w:w="4680"/>
        <w:gridCol w:w="4680"/>
      </w:tblGrid>
      <w:tr>
        <w:tc>
          <w:tcPr>
            <w:tcW w:type="dxa" w:w="5040"/>
            <w:shd w:val="clear" w:color="auto" w:fill="003A70"/>
            <w:vAlign w:val="center"/>
          </w:tcPr>
          <w:p>
            <w:r/>
            <w:r>
              <w:rPr>
                <w:rFonts w:ascii="Calibri" w:hAnsi="Calibri"/>
                <w:b/>
                <w:color w:val="FFFFFF"/>
                <w:sz w:val="19"/>
              </w:rPr>
              <w:t>Metric</w:t>
            </w:r>
          </w:p>
        </w:tc>
        <w:tc>
          <w:tcPr>
            <w:tcW w:type="dxa" w:w="3600"/>
            <w:shd w:val="clear" w:color="auto" w:fill="003A70"/>
            <w:vAlign w:val="center"/>
          </w:tcPr>
          <w:p>
            <w:r/>
            <w:r>
              <w:rPr>
                <w:rFonts w:ascii="Calibri" w:hAnsi="Calibri"/>
                <w:b/>
                <w:color w:val="FFFFFF"/>
                <w:sz w:val="19"/>
              </w:rPr>
              <w:t>Value</w:t>
            </w:r>
          </w:p>
        </w:tc>
      </w:tr>
      <w:tr>
        <w:tc>
          <w:tcPr>
            <w:tcW w:type="dxa" w:w="5040"/>
            <w:vAlign w:val="center"/>
          </w:tcPr>
          <w:p>
            <w:r/>
            <w:r>
              <w:rPr>
                <w:rFonts w:ascii="Calibri" w:hAnsi="Calibri"/>
                <w:color w:val="333333"/>
                <w:sz w:val="19"/>
              </w:rPr>
              <w:t>Commission revenue at risk (20% cattle decline)</w:t>
            </w:r>
          </w:p>
        </w:tc>
        <w:tc>
          <w:tcPr>
            <w:tcW w:type="dxa" w:w="3600"/>
            <w:vAlign w:val="center"/>
          </w:tcPr>
          <w:p>
            <w:r/>
            <w:r>
              <w:rPr>
                <w:rFonts w:ascii="Calibri" w:hAnsi="Calibri"/>
                <w:color w:val="333333"/>
                <w:sz w:val="19"/>
              </w:rPr>
              <w:t>$11.4M/year</w:t>
            </w:r>
          </w:p>
        </w:tc>
      </w:tr>
      <w:tr>
        <w:tc>
          <w:tcPr>
            <w:tcW w:type="dxa" w:w="5040"/>
            <w:shd w:val="clear" w:color="auto" w:fill="F2F2F2"/>
            <w:vAlign w:val="center"/>
          </w:tcPr>
          <w:p>
            <w:r/>
            <w:r>
              <w:rPr>
                <w:rFonts w:ascii="Calibri" w:hAnsi="Calibri"/>
                <w:color w:val="333333"/>
                <w:sz w:val="19"/>
              </w:rPr>
              <w:t>Inventory mark-to-market (20% decline, unhedged)</w:t>
            </w:r>
          </w:p>
        </w:tc>
        <w:tc>
          <w:tcPr>
            <w:tcW w:type="dxa" w:w="3600"/>
            <w:shd w:val="clear" w:color="auto" w:fill="F2F2F2"/>
            <w:vAlign w:val="center"/>
          </w:tcPr>
          <w:p>
            <w:r/>
            <w:r>
              <w:rPr>
                <w:rFonts w:ascii="Calibri" w:hAnsi="Calibri"/>
                <w:color w:val="333333"/>
                <w:sz w:val="19"/>
              </w:rPr>
              <w:t>$4.0M</w:t>
            </w:r>
          </w:p>
        </w:tc>
      </w:tr>
      <w:tr>
        <w:tc>
          <w:tcPr>
            <w:tcW w:type="dxa" w:w="5040"/>
            <w:vAlign w:val="center"/>
          </w:tcPr>
          <w:p>
            <w:r/>
            <w:r>
              <w:rPr>
                <w:rFonts w:ascii="Calibri" w:hAnsi="Calibri"/>
                <w:color w:val="333333"/>
                <w:sz w:val="19"/>
              </w:rPr>
              <w:t>Market share erosion cost (moderate, Year 5)</w:t>
            </w:r>
          </w:p>
        </w:tc>
        <w:tc>
          <w:tcPr>
            <w:tcW w:type="dxa" w:w="3600"/>
            <w:vAlign w:val="center"/>
          </w:tcPr>
          <w:p>
            <w:r/>
            <w:r>
              <w:rPr>
                <w:rFonts w:ascii="Calibri" w:hAnsi="Calibri"/>
                <w:color w:val="333333"/>
                <w:sz w:val="19"/>
              </w:rPr>
              <w:t>$12.0M/year</w:t>
            </w:r>
          </w:p>
        </w:tc>
      </w:tr>
      <w:tr>
        <w:tc>
          <w:tcPr>
            <w:tcW w:type="dxa" w:w="5040"/>
            <w:shd w:val="clear" w:color="auto" w:fill="F2F2F2"/>
            <w:vAlign w:val="center"/>
          </w:tcPr>
          <w:p>
            <w:r/>
            <w:r>
              <w:rPr>
                <w:rFonts w:ascii="Calibri" w:hAnsi="Calibri"/>
                <w:color w:val="333333"/>
                <w:sz w:val="19"/>
              </w:rPr>
              <w:t>Year 1 Mitigation Investment</w:t>
            </w:r>
          </w:p>
        </w:tc>
        <w:tc>
          <w:tcPr>
            <w:tcW w:type="dxa" w:w="3600"/>
            <w:shd w:val="clear" w:color="auto" w:fill="F2F2F2"/>
            <w:vAlign w:val="center"/>
          </w:tcPr>
          <w:p>
            <w:r/>
            <w:r>
              <w:rPr>
                <w:rFonts w:ascii="Calibri" w:hAnsi="Calibri"/>
                <w:color w:val="333333"/>
                <w:sz w:val="19"/>
              </w:rPr>
              <w:t>$2.80M</w:t>
            </w:r>
          </w:p>
        </w:tc>
      </w:tr>
      <w:tr>
        <w:tc>
          <w:tcPr>
            <w:tcW w:type="dxa" w:w="5040"/>
            <w:vAlign w:val="center"/>
          </w:tcPr>
          <w:p>
            <w:r/>
            <w:r>
              <w:rPr>
                <w:rFonts w:ascii="Calibri" w:hAnsi="Calibri"/>
                <w:color w:val="333333"/>
                <w:sz w:val="19"/>
              </w:rPr>
              <w:t>Annual Ongoing Cost (Year 2+)</w:t>
            </w:r>
          </w:p>
        </w:tc>
        <w:tc>
          <w:tcPr>
            <w:tcW w:type="dxa" w:w="3600"/>
            <w:vAlign w:val="center"/>
          </w:tcPr>
          <w:p>
            <w:r/>
            <w:r>
              <w:rPr>
                <w:rFonts w:ascii="Calibri" w:hAnsi="Calibri"/>
                <w:color w:val="333333"/>
                <w:sz w:val="19"/>
              </w:rPr>
              <w:t>$1.80M</w:t>
            </w:r>
          </w:p>
        </w:tc>
      </w:tr>
      <w:tr>
        <w:tc>
          <w:tcPr>
            <w:tcW w:type="dxa" w:w="5040"/>
            <w:shd w:val="clear" w:color="auto" w:fill="F2F2F2"/>
            <w:vAlign w:val="center"/>
          </w:tcPr>
          <w:p>
            <w:r/>
            <w:r>
              <w:rPr>
                <w:rFonts w:ascii="Calibri" w:hAnsi="Calibri"/>
                <w:color w:val="333333"/>
                <w:sz w:val="19"/>
              </w:rPr>
              <w:t>Annual Benefit (Year 2+, steady state)</w:t>
            </w:r>
          </w:p>
        </w:tc>
        <w:tc>
          <w:tcPr>
            <w:tcW w:type="dxa" w:w="3600"/>
            <w:shd w:val="clear" w:color="auto" w:fill="F2F2F2"/>
            <w:vAlign w:val="center"/>
          </w:tcPr>
          <w:p>
            <w:r/>
            <w:r>
              <w:rPr>
                <w:rFonts w:ascii="Calibri" w:hAnsi="Calibri"/>
                <w:color w:val="333333"/>
                <w:sz w:val="19"/>
              </w:rPr>
              <w:t>$6.50M</w:t>
            </w:r>
          </w:p>
        </w:tc>
      </w:tr>
      <w:tr>
        <w:tc>
          <w:tcPr>
            <w:tcW w:type="dxa" w:w="5040"/>
            <w:vAlign w:val="center"/>
          </w:tcPr>
          <w:p>
            <w:r/>
            <w:r>
              <w:rPr>
                <w:rFonts w:ascii="Calibri" w:hAnsi="Calibri"/>
                <w:color w:val="333333"/>
                <w:sz w:val="19"/>
              </w:rPr>
              <w:t>10-Year NPV (8% discount rate)</w:t>
            </w:r>
          </w:p>
        </w:tc>
        <w:tc>
          <w:tcPr>
            <w:tcW w:type="dxa" w:w="3600"/>
            <w:vAlign w:val="center"/>
          </w:tcPr>
          <w:p>
            <w:r/>
            <w:r>
              <w:rPr>
                <w:rFonts w:ascii="Calibri" w:hAnsi="Calibri"/>
                <w:color w:val="333333"/>
                <w:sz w:val="19"/>
              </w:rPr>
              <w:t>~$26M</w:t>
            </w:r>
          </w:p>
        </w:tc>
      </w:tr>
      <w:tr>
        <w:tc>
          <w:tcPr>
            <w:tcW w:type="dxa" w:w="5040"/>
            <w:shd w:val="clear" w:color="auto" w:fill="F2F2F2"/>
            <w:vAlign w:val="center"/>
          </w:tcPr>
          <w:p>
            <w:r/>
            <w:r>
              <w:rPr>
                <w:rFonts w:ascii="Calibri" w:hAnsi="Calibri"/>
                <w:color w:val="333333"/>
                <w:sz w:val="19"/>
              </w:rPr>
              <w:t>Payback Period</w:t>
            </w:r>
          </w:p>
        </w:tc>
        <w:tc>
          <w:tcPr>
            <w:tcW w:type="dxa" w:w="3600"/>
            <w:shd w:val="clear" w:color="auto" w:fill="F2F2F2"/>
            <w:vAlign w:val="center"/>
          </w:tcPr>
          <w:p>
            <w:r/>
            <w:r>
              <w:rPr>
                <w:rFonts w:ascii="Calibri" w:hAnsi="Calibri"/>
                <w:color w:val="333333"/>
                <w:sz w:val="19"/>
              </w:rPr>
              <w:t>~13 months</w:t>
            </w:r>
          </w:p>
        </w:tc>
      </w:tr>
    </w:tbl>
    <w:p>
      <w:pPr>
        <w:spacing w:before="0" w:after="160" w:line="288" w:lineRule="auto"/>
      </w:pPr>
      <w:r>
        <w:rPr>
          <w:rFonts w:ascii="Calibri" w:hAnsi="Calibri"/>
          <w:b w:val="0"/>
          <w:i w:val="0"/>
        </w:rPr>
      </w:r>
    </w:p>
    <w:p>
      <w:r>
        <w:br w:type="page"/>
      </w:r>
    </w:p>
    <w:p>
      <w:pPr>
        <w:pStyle w:val="Heading1"/>
        <w:spacing w:before="0" w:after="240" w:line="276" w:lineRule="auto"/>
        <w:pBdr>
          <w:bottom w:val="single" w:sz="12" w:space="4" w:color="003A70"/>
        </w:pBdr>
      </w:pPr>
      <w:r>
        <w:t>2. Price Risk — Cattle</w:t>
      </w:r>
    </w:p>
    <w:p>
      <w:pPr>
        <w:spacing w:before="0" w:after="160" w:line="300" w:lineRule="auto"/>
      </w:pPr>
      <w:r>
        <w:rPr>
          <w:rFonts w:ascii="Calibri" w:hAnsi="Calibri"/>
          <w:b w:val="0"/>
          <w:i w:val="0"/>
          <w:sz w:val="21"/>
        </w:rPr>
        <w:t>Cattle price risk is PLMA's most immediate financial exposure. This section analyzes the cattle cycle, models scenarios, quantifies commission sensitivity, and examines inventory exposure.</w:t>
      </w:r>
    </w:p>
    <w:p>
      <w:pPr>
        <w:pStyle w:val="Heading2"/>
        <w:spacing w:before="280" w:after="120" w:line="276" w:lineRule="auto"/>
      </w:pPr>
      <w:r>
        <w:t>2.1 Cattle Cycle Analysis</w:t>
      </w:r>
    </w:p>
    <w:p>
      <w:pPr>
        <w:spacing w:before="0" w:after="160" w:line="300" w:lineRule="auto"/>
      </w:pPr>
      <w:r>
        <w:rPr>
          <w:rFonts w:ascii="Calibri" w:hAnsi="Calibri"/>
          <w:b w:val="0"/>
          <w:i w:val="0"/>
          <w:sz w:val="21"/>
        </w:rPr>
        <w:t>The U.S. cattle cycle — driven by the biology of cow-calf reproduction and the economics of heifer retention — operates on roughly 10-12 year cycles. The current cycle began its liquidation phase ~2019, with the U.S. cow herd declining to 88.2 million head (January 2026) — the lowest since 1951. This tight supply drove prices to nominal all-time highs of ~$198/cwt for choice steers in Q1 2026.</w:t>
      </w:r>
      <w:r>
        <w:rPr>
          <w:color w:val="0078D4"/>
          <w:sz w:val="16"/>
          <w:vertAlign w:val="superscript"/>
        </w:rPr>
        <w:t xml:space="preserve"> [1]</w:t>
      </w:r>
    </w:p>
    <w:p>
      <w:pPr>
        <w:jc w:val="center"/>
      </w:pPr>
      <w:r>
        <w:drawing>
          <wp:inline xmlns:a="http://schemas.openxmlformats.org/drawingml/2006/main" xmlns:pic="http://schemas.openxmlformats.org/drawingml/2006/picture">
            <wp:extent cx="5943600" cy="3199556"/>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943600" cy="3199556"/>
                    </a:xfrm>
                    <a:prstGeom prst="rect"/>
                  </pic:spPr>
                </pic:pic>
              </a:graphicData>
            </a:graphic>
          </wp:inline>
        </w:drawing>
      </w:r>
    </w:p>
    <w:p>
      <w:pPr>
        <w:spacing w:before="0" w:after="240" w:line="276" w:lineRule="auto"/>
        <w:jc w:val="center"/>
      </w:pPr>
      <w:r>
        <w:rPr>
          <w:rFonts w:ascii="Calibri" w:hAnsi="Calibri"/>
          <w:i/>
          <w:color w:val="666666"/>
          <w:sz w:val="18"/>
        </w:rPr>
        <w:t>Exhibit: 40-year cattle price history shows cyclical peaks followed by 20-40% corrections.</w:t>
      </w:r>
    </w:p>
    <w:p>
      <w:pPr>
        <w:spacing w:before="0" w:after="160" w:line="300" w:lineRule="auto"/>
      </w:pPr>
      <w:r>
        <w:rPr>
          <w:rFonts w:ascii="Calibri" w:hAnsi="Calibri"/>
          <w:b w:val="0"/>
          <w:i w:val="0"/>
          <w:sz w:val="21"/>
        </w:rPr>
        <w:t>Historical parallels are instructive. The 2014 peak (~$165/cwt) was followed by a 32% correction to ~$108/cwt by 2017. The 1990-1996 downturn saw a 27% decline. In both cases, the correction was triggered by herd rebuilding (heifer retention reduces fed cattle supply initially but increases it 2-3 years later) combined with macroeconomic headwinds.</w:t>
      </w:r>
      <w:r>
        <w:rPr>
          <w:color w:val="0078D4"/>
          <w:sz w:val="16"/>
          <w:vertAlign w:val="superscript"/>
        </w:rPr>
        <w:t xml:space="preserve"> [3]</w:t>
      </w:r>
    </w:p>
    <w:p>
      <w:pPr>
        <w:pStyle w:val="Heading2"/>
        <w:spacing w:before="280" w:after="120" w:line="276" w:lineRule="auto"/>
      </w:pPr>
      <w:r>
        <w:t>2.2 Fed Cattle Price Scenarios</w:t>
      </w:r>
    </w:p>
    <w:p>
      <w:pPr>
        <w:jc w:val="center"/>
      </w:pPr>
      <w:r>
        <w:drawing>
          <wp:inline xmlns:a="http://schemas.openxmlformats.org/drawingml/2006/main" xmlns:pic="http://schemas.openxmlformats.org/drawingml/2006/picture">
            <wp:extent cx="5943600" cy="3391848"/>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943600" cy="3391848"/>
                    </a:xfrm>
                    <a:prstGeom prst="rect"/>
                  </pic:spPr>
                </pic:pic>
              </a:graphicData>
            </a:graphic>
          </wp:inline>
        </w:drawing>
      </w:r>
    </w:p>
    <w:p>
      <w:pPr>
        <w:spacing w:before="0" w:after="240" w:line="276" w:lineRule="auto"/>
        <w:jc w:val="center"/>
      </w:pPr>
      <w:r>
        <w:rPr>
          <w:rFonts w:ascii="Calibri" w:hAnsi="Calibri"/>
          <w:i/>
          <w:color w:val="666666"/>
          <w:sz w:val="18"/>
        </w:rPr>
        <w:t>Exhibit: Base case projects a 25% correction to ~$148/cwt by 2031; bear case implies 40% decline to $118/cwt.</w:t>
      </w:r>
    </w:p>
    <w:tbl>
      <w:tblPr>
        <w:tblW w:type="auto" w:w="0"/>
        <w:jc w:val="center"/>
        <w:tblLook w:firstColumn="1" w:firstRow="1" w:lastColumn="0" w:lastRow="0" w:noHBand="0" w:noVBand="1" w:val="04A0"/>
      </w:tblPr>
      <w:tblGrid>
        <w:gridCol w:w="1872"/>
        <w:gridCol w:w="1872"/>
        <w:gridCol w:w="1872"/>
        <w:gridCol w:w="1872"/>
        <w:gridCol w:w="1872"/>
      </w:tblGrid>
      <w:tr>
        <w:tc>
          <w:tcPr>
            <w:tcW w:type="dxa" w:w="2880"/>
            <w:shd w:val="clear" w:color="auto" w:fill="003A70"/>
            <w:vAlign w:val="center"/>
          </w:tcPr>
          <w:p>
            <w:r/>
            <w:r>
              <w:rPr>
                <w:rFonts w:ascii="Calibri" w:hAnsi="Calibri"/>
                <w:b/>
                <w:color w:val="FFFFFF"/>
                <w:sz w:val="19"/>
              </w:rPr>
              <w:t>Scenario</w:t>
            </w:r>
          </w:p>
        </w:tc>
        <w:tc>
          <w:tcPr>
            <w:tcW w:type="dxa" w:w="1440"/>
            <w:shd w:val="clear" w:color="auto" w:fill="003A70"/>
            <w:vAlign w:val="center"/>
          </w:tcPr>
          <w:p>
            <w:r/>
            <w:r>
              <w:rPr>
                <w:rFonts w:ascii="Calibri" w:hAnsi="Calibri"/>
                <w:b/>
                <w:color w:val="FFFFFF"/>
                <w:sz w:val="19"/>
              </w:rPr>
              <w:t>2026</w:t>
            </w:r>
          </w:p>
        </w:tc>
        <w:tc>
          <w:tcPr>
            <w:tcW w:type="dxa" w:w="1440"/>
            <w:shd w:val="clear" w:color="auto" w:fill="003A70"/>
            <w:vAlign w:val="center"/>
          </w:tcPr>
          <w:p>
            <w:r/>
            <w:r>
              <w:rPr>
                <w:rFonts w:ascii="Calibri" w:hAnsi="Calibri"/>
                <w:b/>
                <w:color w:val="FFFFFF"/>
                <w:sz w:val="19"/>
              </w:rPr>
              <w:t>2028</w:t>
            </w:r>
          </w:p>
        </w:tc>
        <w:tc>
          <w:tcPr>
            <w:tcW w:type="dxa" w:w="1440"/>
            <w:shd w:val="clear" w:color="auto" w:fill="003A70"/>
            <w:vAlign w:val="center"/>
          </w:tcPr>
          <w:p>
            <w:r/>
            <w:r>
              <w:rPr>
                <w:rFonts w:ascii="Calibri" w:hAnsi="Calibri"/>
                <w:b/>
                <w:color w:val="FFFFFF"/>
                <w:sz w:val="19"/>
              </w:rPr>
              <w:t>2031</w:t>
            </w:r>
          </w:p>
        </w:tc>
        <w:tc>
          <w:tcPr>
            <w:tcW w:type="dxa" w:w="1872"/>
            <w:shd w:val="clear" w:color="auto" w:fill="003A70"/>
            <w:vAlign w:val="center"/>
          </w:tcPr>
          <w:p>
            <w:r/>
            <w:r>
              <w:rPr>
                <w:rFonts w:ascii="Calibri" w:hAnsi="Calibri"/>
                <w:b/>
                <w:color w:val="FFFFFF"/>
                <w:sz w:val="19"/>
              </w:rPr>
              <w:t>Peak-to-Trough</w:t>
            </w:r>
          </w:p>
        </w:tc>
      </w:tr>
      <w:tr>
        <w:tc>
          <w:tcPr>
            <w:tcW w:type="dxa" w:w="2880"/>
            <w:vAlign w:val="center"/>
          </w:tcPr>
          <w:p>
            <w:r/>
            <w:r>
              <w:rPr>
                <w:rFonts w:ascii="Calibri" w:hAnsi="Calibri"/>
                <w:color w:val="333333"/>
                <w:sz w:val="19"/>
              </w:rPr>
              <w:t>Bull (tight supply persists)</w:t>
            </w:r>
          </w:p>
        </w:tc>
        <w:tc>
          <w:tcPr>
            <w:tcW w:type="dxa" w:w="1440"/>
            <w:vAlign w:val="center"/>
          </w:tcPr>
          <w:p>
            <w:r/>
            <w:r>
              <w:rPr>
                <w:rFonts w:ascii="Calibri" w:hAnsi="Calibri"/>
                <w:color w:val="333333"/>
                <w:sz w:val="19"/>
              </w:rPr>
              <w:t>$198</w:t>
            </w:r>
          </w:p>
        </w:tc>
        <w:tc>
          <w:tcPr>
            <w:tcW w:type="dxa" w:w="1440"/>
            <w:vAlign w:val="center"/>
          </w:tcPr>
          <w:p>
            <w:r/>
            <w:r>
              <w:rPr>
                <w:rFonts w:ascii="Calibri" w:hAnsi="Calibri"/>
                <w:color w:val="333333"/>
                <w:sz w:val="19"/>
              </w:rPr>
              <w:t>$195</w:t>
            </w:r>
          </w:p>
        </w:tc>
        <w:tc>
          <w:tcPr>
            <w:tcW w:type="dxa" w:w="1440"/>
            <w:vAlign w:val="center"/>
          </w:tcPr>
          <w:p>
            <w:r/>
            <w:r>
              <w:rPr>
                <w:rFonts w:ascii="Calibri" w:hAnsi="Calibri"/>
                <w:color w:val="333333"/>
                <w:sz w:val="19"/>
              </w:rPr>
              <w:t>$185</w:t>
            </w:r>
          </w:p>
        </w:tc>
        <w:tc>
          <w:tcPr>
            <w:tcW w:type="dxa" w:w="1872"/>
            <w:vAlign w:val="center"/>
          </w:tcPr>
          <w:p>
            <w:r/>
            <w:r>
              <w:rPr>
                <w:rFonts w:ascii="Calibri" w:hAnsi="Calibri"/>
                <w:color w:val="333333"/>
                <w:sz w:val="19"/>
              </w:rPr>
              <w:t>-7%</w:t>
            </w:r>
          </w:p>
        </w:tc>
      </w:tr>
      <w:tr>
        <w:tc>
          <w:tcPr>
            <w:tcW w:type="dxa" w:w="2880"/>
            <w:shd w:val="clear" w:color="auto" w:fill="F2F2F2"/>
            <w:vAlign w:val="center"/>
          </w:tcPr>
          <w:p>
            <w:r/>
            <w:r>
              <w:rPr>
                <w:rFonts w:ascii="Calibri" w:hAnsi="Calibri"/>
                <w:color w:val="333333"/>
                <w:sz w:val="19"/>
              </w:rPr>
              <w:t>Base (orderly correction)</w:t>
            </w:r>
          </w:p>
        </w:tc>
        <w:tc>
          <w:tcPr>
            <w:tcW w:type="dxa" w:w="1440"/>
            <w:shd w:val="clear" w:color="auto" w:fill="F2F2F2"/>
            <w:vAlign w:val="center"/>
          </w:tcPr>
          <w:p>
            <w:r/>
            <w:r>
              <w:rPr>
                <w:rFonts w:ascii="Calibri" w:hAnsi="Calibri"/>
                <w:color w:val="333333"/>
                <w:sz w:val="19"/>
              </w:rPr>
              <w:t>$198</w:t>
            </w:r>
          </w:p>
        </w:tc>
        <w:tc>
          <w:tcPr>
            <w:tcW w:type="dxa" w:w="1440"/>
            <w:shd w:val="clear" w:color="auto" w:fill="F2F2F2"/>
            <w:vAlign w:val="center"/>
          </w:tcPr>
          <w:p>
            <w:r/>
            <w:r>
              <w:rPr>
                <w:rFonts w:ascii="Calibri" w:hAnsi="Calibri"/>
                <w:color w:val="333333"/>
                <w:sz w:val="19"/>
              </w:rPr>
              <w:t>$168</w:t>
            </w:r>
          </w:p>
        </w:tc>
        <w:tc>
          <w:tcPr>
            <w:tcW w:type="dxa" w:w="1440"/>
            <w:shd w:val="clear" w:color="auto" w:fill="F2F2F2"/>
            <w:vAlign w:val="center"/>
          </w:tcPr>
          <w:p>
            <w:r/>
            <w:r>
              <w:rPr>
                <w:rFonts w:ascii="Calibri" w:hAnsi="Calibri"/>
                <w:color w:val="333333"/>
                <w:sz w:val="19"/>
              </w:rPr>
              <w:t>$148</w:t>
            </w:r>
          </w:p>
        </w:tc>
        <w:tc>
          <w:tcPr>
            <w:tcW w:type="dxa" w:w="1872"/>
            <w:shd w:val="clear" w:color="auto" w:fill="F2F2F2"/>
            <w:vAlign w:val="center"/>
          </w:tcPr>
          <w:p>
            <w:r/>
            <w:r>
              <w:rPr>
                <w:rFonts w:ascii="Calibri" w:hAnsi="Calibri"/>
                <w:color w:val="333333"/>
                <w:sz w:val="19"/>
              </w:rPr>
              <w:t>-25%</w:t>
            </w:r>
          </w:p>
        </w:tc>
      </w:tr>
      <w:tr>
        <w:tc>
          <w:tcPr>
            <w:tcW w:type="dxa" w:w="2880"/>
            <w:vAlign w:val="center"/>
          </w:tcPr>
          <w:p>
            <w:r/>
            <w:r>
              <w:rPr>
                <w:rFonts w:ascii="Calibri" w:hAnsi="Calibri"/>
                <w:color w:val="333333"/>
                <w:sz w:val="19"/>
              </w:rPr>
              <w:t>Bear (rapid liquidation)</w:t>
            </w:r>
          </w:p>
        </w:tc>
        <w:tc>
          <w:tcPr>
            <w:tcW w:type="dxa" w:w="1440"/>
            <w:vAlign w:val="center"/>
          </w:tcPr>
          <w:p>
            <w:r/>
            <w:r>
              <w:rPr>
                <w:rFonts w:ascii="Calibri" w:hAnsi="Calibri"/>
                <w:color w:val="333333"/>
                <w:sz w:val="19"/>
              </w:rPr>
              <w:t>$198</w:t>
            </w:r>
          </w:p>
        </w:tc>
        <w:tc>
          <w:tcPr>
            <w:tcW w:type="dxa" w:w="1440"/>
            <w:vAlign w:val="center"/>
          </w:tcPr>
          <w:p>
            <w:r/>
            <w:r>
              <w:rPr>
                <w:rFonts w:ascii="Calibri" w:hAnsi="Calibri"/>
                <w:color w:val="333333"/>
                <w:sz w:val="19"/>
              </w:rPr>
              <w:t>$145</w:t>
            </w:r>
          </w:p>
        </w:tc>
        <w:tc>
          <w:tcPr>
            <w:tcW w:type="dxa" w:w="1440"/>
            <w:vAlign w:val="center"/>
          </w:tcPr>
          <w:p>
            <w:r/>
            <w:r>
              <w:rPr>
                <w:rFonts w:ascii="Calibri" w:hAnsi="Calibri"/>
                <w:color w:val="333333"/>
                <w:sz w:val="19"/>
              </w:rPr>
              <w:t>$118</w:t>
            </w:r>
          </w:p>
        </w:tc>
        <w:tc>
          <w:tcPr>
            <w:tcW w:type="dxa" w:w="1872"/>
            <w:vAlign w:val="center"/>
          </w:tcPr>
          <w:p>
            <w:r/>
            <w:r>
              <w:rPr>
                <w:rFonts w:ascii="Calibri" w:hAnsi="Calibri"/>
                <w:color w:val="333333"/>
                <w:sz w:val="19"/>
              </w:rPr>
              <w:t>-40%</w:t>
            </w:r>
          </w:p>
        </w:tc>
      </w:tr>
    </w:tbl>
    <w:p>
      <w:pPr>
        <w:spacing w:before="0" w:after="160" w:line="288" w:lineRule="auto"/>
      </w:pPr>
      <w:r>
        <w:rPr>
          <w:rFonts w:ascii="Calibri" w:hAnsi="Calibri"/>
          <w:b w:val="0"/>
          <w:i w:val="0"/>
        </w:rPr>
      </w:r>
    </w:p>
    <w:p>
      <w:pPr>
        <w:pStyle w:val="Heading2"/>
        <w:spacing w:before="280" w:after="120" w:line="276" w:lineRule="auto"/>
      </w:pPr>
      <w:r>
        <w:t>2.3 Feeder Cattle Dynamics</w:t>
      </w:r>
    </w:p>
    <w:p>
      <w:pPr>
        <w:spacing w:before="0" w:after="160" w:line="300" w:lineRule="auto"/>
      </w:pPr>
      <w:r>
        <w:rPr>
          <w:rFonts w:ascii="Calibri" w:hAnsi="Calibri"/>
          <w:b w:val="0"/>
          <w:i w:val="0"/>
          <w:sz w:val="21"/>
        </w:rPr>
        <w:t>Feeder cattle prices — the primary cash market in which many PLMA transactions occur — are even more elevated than fed cattle, with 750-lb steers exceeding $280/cwt in Q1 2026. The cost-of-gain squeeze (record feeder prices vs. volatile feed costs) creates compounding risk: feedlot losses drive reduced placement, which eventually breaks feeder prices more sharply than fed cattle.</w:t>
      </w:r>
    </w:p>
    <w:p>
      <w:pPr>
        <w:pStyle w:val="Heading2"/>
        <w:spacing w:before="280" w:after="120" w:line="276" w:lineRule="auto"/>
      </w:pPr>
      <w:r>
        <w:t>2.4 Commission Revenue Sensitivity</w:t>
      </w:r>
    </w:p>
    <w:p>
      <w:pPr>
        <w:spacing w:before="0" w:after="160" w:line="300" w:lineRule="auto"/>
      </w:pPr>
      <w:r>
        <w:rPr>
          <w:rFonts w:ascii="Calibri" w:hAnsi="Calibri"/>
          <w:b w:val="0"/>
          <w:i w:val="0"/>
          <w:sz w:val="21"/>
        </w:rPr>
        <w:t>PLMA's commission revenue is directly proportional to the dollar value of livestock sold. At an estimated 1.875% average commission rate on $3.2B in annual transaction volume, PLMA generates ~$60M in commission revenue. Cattle transactions represent ~95% of this volume.</w:t>
      </w:r>
    </w:p>
    <w:p>
      <w:pPr>
        <w:jc w:val="center"/>
      </w:pPr>
      <w:r>
        <w:drawing>
          <wp:inline xmlns:a="http://schemas.openxmlformats.org/drawingml/2006/main" xmlns:pic="http://schemas.openxmlformats.org/drawingml/2006/picture">
            <wp:extent cx="5943600" cy="3652985"/>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943600" cy="3652985"/>
                    </a:xfrm>
                    <a:prstGeom prst="rect"/>
                  </pic:spPr>
                </pic:pic>
              </a:graphicData>
            </a:graphic>
          </wp:inline>
        </w:drawing>
      </w:r>
    </w:p>
    <w:p>
      <w:pPr>
        <w:spacing w:before="0" w:after="240" w:line="276" w:lineRule="auto"/>
        <w:jc w:val="center"/>
      </w:pPr>
      <w:r>
        <w:rPr>
          <w:rFonts w:ascii="Calibri" w:hAnsi="Calibri"/>
          <w:i/>
          <w:color w:val="666666"/>
          <w:sz w:val="18"/>
        </w:rPr>
        <w:t>Exhibit: A 20% cattle price decline erodes $11.4M (19%) of annual commission revenue.</w:t>
      </w:r>
    </w:p>
    <w:tbl>
      <w:tblPr>
        <w:tblW w:type="auto" w:w="0"/>
        <w:jc w:val="center"/>
        <w:tblLook w:firstColumn="1" w:firstRow="1" w:lastColumn="0" w:lastRow="0" w:noHBand="0" w:noVBand="1" w:val="04A0"/>
      </w:tblPr>
      <w:tblGrid>
        <w:gridCol w:w="2340"/>
        <w:gridCol w:w="2340"/>
        <w:gridCol w:w="2340"/>
        <w:gridCol w:w="2340"/>
      </w:tblGrid>
      <w:tr>
        <w:tc>
          <w:tcPr>
            <w:tcW w:type="dxa" w:w="2160"/>
            <w:shd w:val="clear" w:color="auto" w:fill="003A70"/>
            <w:vAlign w:val="center"/>
          </w:tcPr>
          <w:p>
            <w:r/>
            <w:r>
              <w:rPr>
                <w:rFonts w:ascii="Calibri" w:hAnsi="Calibri"/>
                <w:b/>
                <w:color w:val="FFFFFF"/>
                <w:sz w:val="19"/>
              </w:rPr>
              <w:t>Cattle Price Decline</w:t>
            </w:r>
          </w:p>
        </w:tc>
        <w:tc>
          <w:tcPr>
            <w:tcW w:type="dxa" w:w="1872"/>
            <w:shd w:val="clear" w:color="auto" w:fill="003A70"/>
            <w:vAlign w:val="center"/>
          </w:tcPr>
          <w:p>
            <w:r/>
            <w:r>
              <w:rPr>
                <w:rFonts w:ascii="Calibri" w:hAnsi="Calibri"/>
                <w:b/>
                <w:color w:val="FFFFFF"/>
                <w:sz w:val="19"/>
              </w:rPr>
              <w:t>Revenue Loss</w:t>
            </w:r>
          </w:p>
        </w:tc>
        <w:tc>
          <w:tcPr>
            <w:tcW w:type="dxa" w:w="2160"/>
            <w:shd w:val="clear" w:color="auto" w:fill="003A70"/>
            <w:vAlign w:val="center"/>
          </w:tcPr>
          <w:p>
            <w:r/>
            <w:r>
              <w:rPr>
                <w:rFonts w:ascii="Calibri" w:hAnsi="Calibri"/>
                <w:b/>
                <w:color w:val="FFFFFF"/>
                <w:sz w:val="19"/>
              </w:rPr>
              <w:t>% of Total Revenue</w:t>
            </w:r>
          </w:p>
        </w:tc>
        <w:tc>
          <w:tcPr>
            <w:tcW w:type="dxa" w:w="2304"/>
            <w:shd w:val="clear" w:color="auto" w:fill="003A70"/>
            <w:vAlign w:val="center"/>
          </w:tcPr>
          <w:p>
            <w:r/>
            <w:r>
              <w:rPr>
                <w:rFonts w:ascii="Calibri" w:hAnsi="Calibri"/>
                <w:b/>
                <w:color w:val="FFFFFF"/>
                <w:sz w:val="19"/>
              </w:rPr>
              <w:t>Remaining Revenue</w:t>
            </w:r>
          </w:p>
        </w:tc>
      </w:tr>
      <w:tr>
        <w:tc>
          <w:tcPr>
            <w:tcW w:type="dxa" w:w="2160"/>
            <w:vAlign w:val="center"/>
          </w:tcPr>
          <w:p>
            <w:r/>
            <w:r>
              <w:rPr>
                <w:rFonts w:ascii="Calibri" w:hAnsi="Calibri"/>
                <w:color w:val="333333"/>
                <w:sz w:val="19"/>
              </w:rPr>
              <w:t>10%</w:t>
            </w:r>
          </w:p>
        </w:tc>
        <w:tc>
          <w:tcPr>
            <w:tcW w:type="dxa" w:w="1872"/>
            <w:vAlign w:val="center"/>
          </w:tcPr>
          <w:p>
            <w:r/>
            <w:r>
              <w:rPr>
                <w:rFonts w:ascii="Calibri" w:hAnsi="Calibri"/>
                <w:color w:val="333333"/>
                <w:sz w:val="19"/>
              </w:rPr>
              <w:t>$5.7M</w:t>
            </w:r>
          </w:p>
        </w:tc>
        <w:tc>
          <w:tcPr>
            <w:tcW w:type="dxa" w:w="2160"/>
            <w:vAlign w:val="center"/>
          </w:tcPr>
          <w:p>
            <w:r/>
            <w:r>
              <w:rPr>
                <w:rFonts w:ascii="Calibri" w:hAnsi="Calibri"/>
                <w:color w:val="333333"/>
                <w:sz w:val="19"/>
              </w:rPr>
              <w:t>9.5%</w:t>
            </w:r>
          </w:p>
        </w:tc>
        <w:tc>
          <w:tcPr>
            <w:tcW w:type="dxa" w:w="2304"/>
            <w:vAlign w:val="center"/>
          </w:tcPr>
          <w:p>
            <w:r/>
            <w:r>
              <w:rPr>
                <w:rFonts w:ascii="Calibri" w:hAnsi="Calibri"/>
                <w:color w:val="333333"/>
                <w:sz w:val="19"/>
              </w:rPr>
              <w:t>$54.3M</w:t>
            </w:r>
          </w:p>
        </w:tc>
      </w:tr>
      <w:tr>
        <w:tc>
          <w:tcPr>
            <w:tcW w:type="dxa" w:w="2160"/>
            <w:shd w:val="clear" w:color="auto" w:fill="F2F2F2"/>
            <w:vAlign w:val="center"/>
          </w:tcPr>
          <w:p>
            <w:r/>
            <w:r>
              <w:rPr>
                <w:rFonts w:ascii="Calibri" w:hAnsi="Calibri"/>
                <w:color w:val="333333"/>
                <w:sz w:val="19"/>
              </w:rPr>
              <w:t>20%</w:t>
            </w:r>
          </w:p>
        </w:tc>
        <w:tc>
          <w:tcPr>
            <w:tcW w:type="dxa" w:w="1872"/>
            <w:shd w:val="clear" w:color="auto" w:fill="F2F2F2"/>
            <w:vAlign w:val="center"/>
          </w:tcPr>
          <w:p>
            <w:r/>
            <w:r>
              <w:rPr>
                <w:rFonts w:ascii="Calibri" w:hAnsi="Calibri"/>
                <w:color w:val="333333"/>
                <w:sz w:val="19"/>
              </w:rPr>
              <w:t>$11.4M</w:t>
            </w:r>
          </w:p>
        </w:tc>
        <w:tc>
          <w:tcPr>
            <w:tcW w:type="dxa" w:w="2160"/>
            <w:shd w:val="clear" w:color="auto" w:fill="F2F2F2"/>
            <w:vAlign w:val="center"/>
          </w:tcPr>
          <w:p>
            <w:r/>
            <w:r>
              <w:rPr>
                <w:rFonts w:ascii="Calibri" w:hAnsi="Calibri"/>
                <w:color w:val="333333"/>
                <w:sz w:val="19"/>
              </w:rPr>
              <w:t>19.0%</w:t>
            </w:r>
          </w:p>
        </w:tc>
        <w:tc>
          <w:tcPr>
            <w:tcW w:type="dxa" w:w="2304"/>
            <w:shd w:val="clear" w:color="auto" w:fill="F2F2F2"/>
            <w:vAlign w:val="center"/>
          </w:tcPr>
          <w:p>
            <w:r/>
            <w:r>
              <w:rPr>
                <w:rFonts w:ascii="Calibri" w:hAnsi="Calibri"/>
                <w:color w:val="333333"/>
                <w:sz w:val="19"/>
              </w:rPr>
              <w:t>$48.6M</w:t>
            </w:r>
          </w:p>
        </w:tc>
      </w:tr>
      <w:tr>
        <w:tc>
          <w:tcPr>
            <w:tcW w:type="dxa" w:w="2160"/>
            <w:vAlign w:val="center"/>
          </w:tcPr>
          <w:p>
            <w:r/>
            <w:r>
              <w:rPr>
                <w:rFonts w:ascii="Calibri" w:hAnsi="Calibri"/>
                <w:color w:val="333333"/>
                <w:sz w:val="19"/>
              </w:rPr>
              <w:t>30%</w:t>
            </w:r>
          </w:p>
        </w:tc>
        <w:tc>
          <w:tcPr>
            <w:tcW w:type="dxa" w:w="1872"/>
            <w:vAlign w:val="center"/>
          </w:tcPr>
          <w:p>
            <w:r/>
            <w:r>
              <w:rPr>
                <w:rFonts w:ascii="Calibri" w:hAnsi="Calibri"/>
                <w:color w:val="333333"/>
                <w:sz w:val="19"/>
              </w:rPr>
              <w:t>$17.1M</w:t>
            </w:r>
          </w:p>
        </w:tc>
        <w:tc>
          <w:tcPr>
            <w:tcW w:type="dxa" w:w="2160"/>
            <w:vAlign w:val="center"/>
          </w:tcPr>
          <w:p>
            <w:r/>
            <w:r>
              <w:rPr>
                <w:rFonts w:ascii="Calibri" w:hAnsi="Calibri"/>
                <w:color w:val="333333"/>
                <w:sz w:val="19"/>
              </w:rPr>
              <w:t>28.5%</w:t>
            </w:r>
          </w:p>
        </w:tc>
        <w:tc>
          <w:tcPr>
            <w:tcW w:type="dxa" w:w="2304"/>
            <w:vAlign w:val="center"/>
          </w:tcPr>
          <w:p>
            <w:r/>
            <w:r>
              <w:rPr>
                <w:rFonts w:ascii="Calibri" w:hAnsi="Calibri"/>
                <w:color w:val="333333"/>
                <w:sz w:val="19"/>
              </w:rPr>
              <w:t>$42.9M</w:t>
            </w:r>
          </w:p>
        </w:tc>
      </w:tr>
      <w:tr>
        <w:tc>
          <w:tcPr>
            <w:tcW w:type="dxa" w:w="2160"/>
            <w:shd w:val="clear" w:color="auto" w:fill="F2F2F2"/>
            <w:vAlign w:val="center"/>
          </w:tcPr>
          <w:p>
            <w:r/>
            <w:r>
              <w:rPr>
                <w:rFonts w:ascii="Calibri" w:hAnsi="Calibri"/>
                <w:color w:val="333333"/>
                <w:sz w:val="19"/>
              </w:rPr>
              <w:t>40%</w:t>
            </w:r>
          </w:p>
        </w:tc>
        <w:tc>
          <w:tcPr>
            <w:tcW w:type="dxa" w:w="1872"/>
            <w:shd w:val="clear" w:color="auto" w:fill="F2F2F2"/>
            <w:vAlign w:val="center"/>
          </w:tcPr>
          <w:p>
            <w:r/>
            <w:r>
              <w:rPr>
                <w:rFonts w:ascii="Calibri" w:hAnsi="Calibri"/>
                <w:color w:val="333333"/>
                <w:sz w:val="19"/>
              </w:rPr>
              <w:t>$22.8M</w:t>
            </w:r>
          </w:p>
        </w:tc>
        <w:tc>
          <w:tcPr>
            <w:tcW w:type="dxa" w:w="2160"/>
            <w:shd w:val="clear" w:color="auto" w:fill="F2F2F2"/>
            <w:vAlign w:val="center"/>
          </w:tcPr>
          <w:p>
            <w:r/>
            <w:r>
              <w:rPr>
                <w:rFonts w:ascii="Calibri" w:hAnsi="Calibri"/>
                <w:color w:val="333333"/>
                <w:sz w:val="19"/>
              </w:rPr>
              <w:t>38.0%</w:t>
            </w:r>
          </w:p>
        </w:tc>
        <w:tc>
          <w:tcPr>
            <w:tcW w:type="dxa" w:w="2304"/>
            <w:shd w:val="clear" w:color="auto" w:fill="F2F2F2"/>
            <w:vAlign w:val="center"/>
          </w:tcPr>
          <w:p>
            <w:r/>
            <w:r>
              <w:rPr>
                <w:rFonts w:ascii="Calibri" w:hAnsi="Calibri"/>
                <w:color w:val="333333"/>
                <w:sz w:val="19"/>
              </w:rPr>
              <w:t>$37.2M</w:t>
            </w:r>
          </w:p>
        </w:tc>
      </w:tr>
    </w:tbl>
    <w:p>
      <w:pPr>
        <w:spacing w:before="0" w:after="160" w:line="288" w:lineRule="auto"/>
      </w:pPr>
      <w:r>
        <w:rPr>
          <w:rFonts w:ascii="Calibri" w:hAnsi="Calibri"/>
          <w:b w:val="0"/>
          <w:i w:val="0"/>
        </w:rPr>
      </w:r>
    </w:p>
    <w:p>
      <w:pPr>
        <w:pStyle w:val="Heading2"/>
        <w:spacing w:before="280" w:after="120" w:line="276" w:lineRule="auto"/>
      </w:pPr>
      <w:r>
        <w:t>2.5 Company-Owned Cattle Inventory Exposure</w:t>
      </w:r>
    </w:p>
    <w:p>
      <w:pPr>
        <w:spacing w:before="0" w:after="160" w:line="300" w:lineRule="auto"/>
      </w:pPr>
      <w:r>
        <w:rPr>
          <w:rFonts w:ascii="Calibri" w:hAnsi="Calibri"/>
          <w:b w:val="0"/>
          <w:i w:val="0"/>
          <w:sz w:val="21"/>
        </w:rPr>
        <w:t>PLMA holds an estimated $20M in company-owned cattle inventory at any given time. This inventory is subject to mark-to-market risk if cattle prices decline during the holding period.</w:t>
      </w:r>
    </w:p>
    <w:tbl>
      <w:tblPr>
        <w:tblW w:type="auto" w:w="0"/>
        <w:jc w:val="center"/>
        <w:tblLook w:firstColumn="1" w:firstRow="1" w:lastColumn="0" w:lastRow="0" w:noHBand="0" w:noVBand="1" w:val="04A0"/>
      </w:tblPr>
      <w:tblGrid>
        <w:gridCol w:w="2340"/>
        <w:gridCol w:w="2340"/>
        <w:gridCol w:w="2340"/>
        <w:gridCol w:w="2340"/>
      </w:tblGrid>
      <w:tr>
        <w:tc>
          <w:tcPr>
            <w:tcW w:type="dxa" w:w="1872"/>
            <w:shd w:val="clear" w:color="auto" w:fill="003A70"/>
            <w:vAlign w:val="center"/>
          </w:tcPr>
          <w:p>
            <w:r/>
            <w:r>
              <w:rPr>
                <w:rFonts w:ascii="Calibri" w:hAnsi="Calibri"/>
                <w:b/>
                <w:color w:val="FFFFFF"/>
                <w:sz w:val="19"/>
              </w:rPr>
              <w:t>Price Decline</w:t>
            </w:r>
          </w:p>
        </w:tc>
        <w:tc>
          <w:tcPr>
            <w:tcW w:type="dxa" w:w="2160"/>
            <w:shd w:val="clear" w:color="auto" w:fill="003A70"/>
            <w:vAlign w:val="center"/>
          </w:tcPr>
          <w:p>
            <w:r/>
            <w:r>
              <w:rPr>
                <w:rFonts w:ascii="Calibri" w:hAnsi="Calibri"/>
                <w:b/>
                <w:color w:val="FFFFFF"/>
                <w:sz w:val="19"/>
              </w:rPr>
              <w:t>Unhedged Loss</w:t>
            </w:r>
          </w:p>
        </w:tc>
        <w:tc>
          <w:tcPr>
            <w:tcW w:type="dxa" w:w="1872"/>
            <w:shd w:val="clear" w:color="auto" w:fill="003A70"/>
            <w:vAlign w:val="center"/>
          </w:tcPr>
          <w:p>
            <w:r/>
            <w:r>
              <w:rPr>
                <w:rFonts w:ascii="Calibri" w:hAnsi="Calibri"/>
                <w:b/>
                <w:color w:val="FFFFFF"/>
                <w:sz w:val="19"/>
              </w:rPr>
              <w:t>60% Hedged</w:t>
            </w:r>
          </w:p>
        </w:tc>
        <w:tc>
          <w:tcPr>
            <w:tcW w:type="dxa" w:w="1872"/>
            <w:shd w:val="clear" w:color="auto" w:fill="003A70"/>
            <w:vAlign w:val="center"/>
          </w:tcPr>
          <w:p>
            <w:r/>
            <w:r>
              <w:rPr>
                <w:rFonts w:ascii="Calibri" w:hAnsi="Calibri"/>
                <w:b/>
                <w:color w:val="FFFFFF"/>
                <w:sz w:val="19"/>
              </w:rPr>
              <w:t>80% Hedged</w:t>
            </w:r>
          </w:p>
        </w:tc>
      </w:tr>
      <w:tr>
        <w:tc>
          <w:tcPr>
            <w:tcW w:type="dxa" w:w="1872"/>
            <w:vAlign w:val="center"/>
          </w:tcPr>
          <w:p>
            <w:r/>
            <w:r>
              <w:rPr>
                <w:rFonts w:ascii="Calibri" w:hAnsi="Calibri"/>
                <w:color w:val="333333"/>
                <w:sz w:val="19"/>
              </w:rPr>
              <w:t>10%</w:t>
            </w:r>
          </w:p>
        </w:tc>
        <w:tc>
          <w:tcPr>
            <w:tcW w:type="dxa" w:w="2160"/>
            <w:vAlign w:val="center"/>
          </w:tcPr>
          <w:p>
            <w:r/>
            <w:r>
              <w:rPr>
                <w:rFonts w:ascii="Calibri" w:hAnsi="Calibri"/>
                <w:color w:val="333333"/>
                <w:sz w:val="19"/>
              </w:rPr>
              <w:t>$2.0M</w:t>
            </w:r>
          </w:p>
        </w:tc>
        <w:tc>
          <w:tcPr>
            <w:tcW w:type="dxa" w:w="1872"/>
            <w:vAlign w:val="center"/>
          </w:tcPr>
          <w:p>
            <w:r/>
            <w:r>
              <w:rPr>
                <w:rFonts w:ascii="Calibri" w:hAnsi="Calibri"/>
                <w:color w:val="333333"/>
                <w:sz w:val="19"/>
              </w:rPr>
              <w:t>$0.8M</w:t>
            </w:r>
          </w:p>
        </w:tc>
        <w:tc>
          <w:tcPr>
            <w:tcW w:type="dxa" w:w="1872"/>
            <w:vAlign w:val="center"/>
          </w:tcPr>
          <w:p>
            <w:r/>
            <w:r>
              <w:rPr>
                <w:rFonts w:ascii="Calibri" w:hAnsi="Calibri"/>
                <w:color w:val="333333"/>
                <w:sz w:val="19"/>
              </w:rPr>
              <w:t>$0.40M</w:t>
            </w:r>
          </w:p>
        </w:tc>
      </w:tr>
      <w:tr>
        <w:tc>
          <w:tcPr>
            <w:tcW w:type="dxa" w:w="1872"/>
            <w:shd w:val="clear" w:color="auto" w:fill="F2F2F2"/>
            <w:vAlign w:val="center"/>
          </w:tcPr>
          <w:p>
            <w:r/>
            <w:r>
              <w:rPr>
                <w:rFonts w:ascii="Calibri" w:hAnsi="Calibri"/>
                <w:color w:val="333333"/>
                <w:sz w:val="19"/>
              </w:rPr>
              <w:t>20%</w:t>
            </w:r>
          </w:p>
        </w:tc>
        <w:tc>
          <w:tcPr>
            <w:tcW w:type="dxa" w:w="2160"/>
            <w:shd w:val="clear" w:color="auto" w:fill="F2F2F2"/>
            <w:vAlign w:val="center"/>
          </w:tcPr>
          <w:p>
            <w:r/>
            <w:r>
              <w:rPr>
                <w:rFonts w:ascii="Calibri" w:hAnsi="Calibri"/>
                <w:color w:val="333333"/>
                <w:sz w:val="19"/>
              </w:rPr>
              <w:t>$4.0M</w:t>
            </w:r>
          </w:p>
        </w:tc>
        <w:tc>
          <w:tcPr>
            <w:tcW w:type="dxa" w:w="1872"/>
            <w:shd w:val="clear" w:color="auto" w:fill="F2F2F2"/>
            <w:vAlign w:val="center"/>
          </w:tcPr>
          <w:p>
            <w:r/>
            <w:r>
              <w:rPr>
                <w:rFonts w:ascii="Calibri" w:hAnsi="Calibri"/>
                <w:color w:val="333333"/>
                <w:sz w:val="19"/>
              </w:rPr>
              <w:t>$1.6M</w:t>
            </w:r>
          </w:p>
        </w:tc>
        <w:tc>
          <w:tcPr>
            <w:tcW w:type="dxa" w:w="1872"/>
            <w:shd w:val="clear" w:color="auto" w:fill="F2F2F2"/>
            <w:vAlign w:val="center"/>
          </w:tcPr>
          <w:p>
            <w:r/>
            <w:r>
              <w:rPr>
                <w:rFonts w:ascii="Calibri" w:hAnsi="Calibri"/>
                <w:color w:val="333333"/>
                <w:sz w:val="19"/>
              </w:rPr>
              <w:t>$0.80M</w:t>
            </w:r>
          </w:p>
        </w:tc>
      </w:tr>
      <w:tr>
        <w:tc>
          <w:tcPr>
            <w:tcW w:type="dxa" w:w="1872"/>
            <w:vAlign w:val="center"/>
          </w:tcPr>
          <w:p>
            <w:r/>
            <w:r>
              <w:rPr>
                <w:rFonts w:ascii="Calibri" w:hAnsi="Calibri"/>
                <w:color w:val="333333"/>
                <w:sz w:val="19"/>
              </w:rPr>
              <w:t>30%</w:t>
            </w:r>
          </w:p>
        </w:tc>
        <w:tc>
          <w:tcPr>
            <w:tcW w:type="dxa" w:w="2160"/>
            <w:vAlign w:val="center"/>
          </w:tcPr>
          <w:p>
            <w:r/>
            <w:r>
              <w:rPr>
                <w:rFonts w:ascii="Calibri" w:hAnsi="Calibri"/>
                <w:color w:val="333333"/>
                <w:sz w:val="19"/>
              </w:rPr>
              <w:t>$6.0M</w:t>
            </w:r>
          </w:p>
        </w:tc>
        <w:tc>
          <w:tcPr>
            <w:tcW w:type="dxa" w:w="1872"/>
            <w:vAlign w:val="center"/>
          </w:tcPr>
          <w:p>
            <w:r/>
            <w:r>
              <w:rPr>
                <w:rFonts w:ascii="Calibri" w:hAnsi="Calibri"/>
                <w:color w:val="333333"/>
                <w:sz w:val="19"/>
              </w:rPr>
              <w:t>$2.4M</w:t>
            </w:r>
          </w:p>
        </w:tc>
        <w:tc>
          <w:tcPr>
            <w:tcW w:type="dxa" w:w="1872"/>
            <w:vAlign w:val="center"/>
          </w:tcPr>
          <w:p>
            <w:r/>
            <w:r>
              <w:rPr>
                <w:rFonts w:ascii="Calibri" w:hAnsi="Calibri"/>
                <w:color w:val="333333"/>
                <w:sz w:val="19"/>
              </w:rPr>
              <w:t>$1.20M</w:t>
            </w:r>
          </w:p>
        </w:tc>
      </w:tr>
    </w:tbl>
    <w:p>
      <w:pPr>
        <w:spacing w:before="0" w:after="160" w:line="288" w:lineRule="auto"/>
      </w:pPr>
      <w:r>
        <w:rPr>
          <w:rFonts w:ascii="Calibri" w:hAnsi="Calibri"/>
          <w:b w:val="0"/>
          <w:i w:val="0"/>
        </w:rPr>
      </w:r>
    </w:p>
    <w:tbl>
      <w:tblPr>
        <w:tblW w:type="auto" w:w="0"/>
        <w:tblLook w:firstColumn="1" w:firstRow="1" w:lastColumn="0" w:lastRow="0" w:noHBand="0" w:noVBand="1" w:val="04A0"/>
      </w:tblPr>
      <w:tblGrid>
        <w:gridCol w:w="9360"/>
      </w:tblGrid>
      <w:tr>
        <w:tc>
          <w:tcPr>
            <w:tcW w:type="dxa" w:w="9360"/>
            <w:shd w:val="clear" w:color="auto" w:fill="FFF4CE"/>
            <w:tcBorders>
              <w:top w:val="single" w:sz="4" w:color="FFB900" w:space="0"/>
              <w:left w:val="single" w:sz="36" w:color="FFB900" w:space="0"/>
              <w:bottom w:val="single" w:sz="4" w:color="FFB900" w:space="0"/>
              <w:right w:val="single" w:sz="4" w:color="FFB900" w:space="0"/>
            </w:tcBorders>
          </w:tcPr>
          <w:p>
            <w:pPr>
              <w:spacing w:before="0" w:after="60" w:line="276" w:lineRule="auto"/>
            </w:pPr>
            <w:r/>
            <w:r>
              <w:rPr>
                <w:rFonts w:ascii="Calibri" w:hAnsi="Calibri"/>
                <w:b/>
                <w:color w:val="FFB900"/>
                <w:sz w:val="18"/>
              </w:rPr>
              <w:t>KEY INSIGHT</w:t>
            </w:r>
          </w:p>
          <w:p>
            <w:pPr>
              <w:spacing w:before="0" w:after="80" w:line="288" w:lineRule="auto"/>
            </w:pPr>
            <w:r>
              <w:rPr>
                <w:rFonts w:ascii="Calibri" w:hAnsi="Calibri"/>
                <w:color w:val="333333"/>
                <w:sz w:val="20"/>
              </w:rPr>
              <w:t>At 80% hedge coverage, a 20% price decline produces a manageable $0.80M inventory loss vs. $4.0M unhedged. The annual cost of the hedging program (~$200K including basis risk) is a fraction of the avoided tail loss. This is the highest-ROI action item in this report.</w:t>
            </w:r>
          </w:p>
        </w:tc>
      </w:tr>
    </w:tbl>
    <w:p>
      <w:pPr>
        <w:spacing w:before="0" w:after="160" w:line="288" w:lineRule="auto"/>
      </w:pPr>
      <w:r>
        <w:rPr>
          <w:rFonts w:ascii="Calibri" w:hAnsi="Calibri"/>
          <w:b w:val="0"/>
          <w:i w:val="0"/>
        </w:rPr>
      </w:r>
    </w:p>
    <w:p>
      <w:pPr>
        <w:pStyle w:val="Heading2"/>
        <w:spacing w:before="280" w:after="120" w:line="276" w:lineRule="auto"/>
      </w:pPr>
      <w:r>
        <w:t>2.6 Basis Risk</w:t>
      </w:r>
    </w:p>
    <w:p>
      <w:pPr>
        <w:spacing w:before="0" w:after="160" w:line="300" w:lineRule="auto"/>
      </w:pPr>
      <w:r>
        <w:rPr>
          <w:rFonts w:ascii="Calibri" w:hAnsi="Calibri"/>
          <w:b w:val="0"/>
          <w:i w:val="0"/>
          <w:sz w:val="21"/>
        </w:rPr>
        <w:t>Basis — the difference between PLMA's local cash market and CME futures — adds 3-8% volatility on top of national price movements. In PLMA's Plains/Mountain West footprint, basis tends to widen during periods of tight packer capacity (positive for sellers) but can compress sharply during seasonal lows or regional weather events.</w:t>
      </w:r>
    </w:p>
    <w:p>
      <w:r>
        <w:br w:type="page"/>
      </w:r>
    </w:p>
    <w:p>
      <w:pPr>
        <w:pStyle w:val="Heading1"/>
        <w:spacing w:before="0" w:after="240" w:line="276" w:lineRule="auto"/>
        <w:pBdr>
          <w:bottom w:val="single" w:sz="12" w:space="4" w:color="003A70"/>
        </w:pBdr>
      </w:pPr>
      <w:r>
        <w:t>3. Market Share Risk Assessment</w:t>
      </w:r>
    </w:p>
    <w:p>
      <w:pPr>
        <w:spacing w:before="0" w:after="160" w:line="300" w:lineRule="auto"/>
      </w:pPr>
      <w:r>
        <w:rPr>
          <w:rFonts w:ascii="Calibri" w:hAnsi="Calibri"/>
          <w:b w:val="0"/>
          <w:i w:val="0"/>
          <w:sz w:val="21"/>
        </w:rPr>
        <w:t>Market share erosion is a slow, compounding threat that is more dangerous than any single price cycle. A cooperative that loses 4% of volume per year for 5 years has permanently impaired its cost structure, bargaining position, and relevance.</w:t>
      </w:r>
    </w:p>
    <w:p>
      <w:pPr>
        <w:pStyle w:val="Heading2"/>
        <w:spacing w:before="280" w:after="120" w:line="276" w:lineRule="auto"/>
      </w:pPr>
      <w:r>
        <w:t>3.1 PLMA's Market Position</w:t>
      </w:r>
    </w:p>
    <w:p>
      <w:pPr>
        <w:spacing w:before="0" w:after="160" w:line="300" w:lineRule="auto"/>
      </w:pPr>
      <w:r>
        <w:rPr>
          <w:rFonts w:ascii="Calibri" w:hAnsi="Calibri"/>
          <w:b w:val="0"/>
          <w:i w:val="0"/>
          <w:sz w:val="21"/>
        </w:rPr>
        <w:t>PLMA is a member-owned, non-stock cooperative established in 1935 and headquartered in Omaha, Nebraska, with offices in Sioux City (IA), North Salt Lake (UT), and Madera (CA). Operating three divisions — Marketing, Commodities (Producers Commodities LLC), and Credit (Producers Livestock Credit Corporation) — PLMA is an industry leader in livestock marketing throughout the Western United States, with an estimated 4-6% share of total U.S. livestock marketing transaction volume (~$60B total). The cooperative model has been the industry standard for over a century. But the standard is under attack.</w:t>
      </w:r>
      <w:r>
        <w:rPr>
          <w:color w:val="0078D4"/>
          <w:sz w:val="16"/>
          <w:vertAlign w:val="superscript"/>
        </w:rPr>
        <w:t xml:space="preserve"> [17]</w:t>
      </w:r>
    </w:p>
    <w:p>
      <w:pPr>
        <w:jc w:val="center"/>
      </w:pPr>
      <w:r>
        <w:drawing>
          <wp:inline xmlns:a="http://schemas.openxmlformats.org/drawingml/2006/main" xmlns:pic="http://schemas.openxmlformats.org/drawingml/2006/picture">
            <wp:extent cx="5943600" cy="3590279"/>
            <wp:docPr id="4" name="Picture 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943600" cy="3590279"/>
                    </a:xfrm>
                    <a:prstGeom prst="rect"/>
                  </pic:spPr>
                </pic:pic>
              </a:graphicData>
            </a:graphic>
          </wp:inline>
        </w:drawing>
      </w:r>
    </w:p>
    <w:p>
      <w:pPr>
        <w:spacing w:before="0" w:after="240" w:line="276" w:lineRule="auto"/>
        <w:jc w:val="center"/>
      </w:pPr>
      <w:r>
        <w:rPr>
          <w:rFonts w:ascii="Calibri" w:hAnsi="Calibri"/>
          <w:i/>
          <w:color w:val="666666"/>
          <w:sz w:val="18"/>
        </w:rPr>
        <w:t>Exhibit: Under moderate erosion (4%/yr), PLMA loses 20% of volume by 2031 — $12M/yr in commission revenue.</w:t>
      </w:r>
    </w:p>
    <w:p>
      <w:pPr>
        <w:pStyle w:val="Heading2"/>
        <w:spacing w:before="280" w:after="120" w:line="276" w:lineRule="auto"/>
      </w:pPr>
      <w:r>
        <w:t>3.2 Digital Marketplace Disruption</w:t>
      </w:r>
    </w:p>
    <w:tbl>
      <w:tblPr>
        <w:tblW w:type="auto" w:w="0"/>
        <w:tblLook w:firstColumn="1" w:firstRow="1" w:lastColumn="0" w:lastRow="0" w:noHBand="0" w:noVBand="1" w:val="04A0"/>
      </w:tblPr>
      <w:tblGrid>
        <w:gridCol w:w="9360"/>
      </w:tblGrid>
      <w:tr>
        <w:tc>
          <w:tcPr>
            <w:tcW w:type="dxa" w:w="9360"/>
            <w:shd w:val="clear" w:color="auto" w:fill="E8D5F0"/>
            <w:tcBorders>
              <w:top w:val="single" w:sz="4" w:color="68217A" w:space="0"/>
              <w:left w:val="single" w:sz="36" w:color="68217A" w:space="0"/>
              <w:bottom w:val="single" w:sz="4" w:color="68217A" w:space="0"/>
              <w:right w:val="single" w:sz="4" w:color="68217A" w:space="0"/>
            </w:tcBorders>
          </w:tcPr>
          <w:p>
            <w:pPr>
              <w:spacing w:before="0" w:after="60" w:line="276" w:lineRule="auto"/>
            </w:pPr>
            <w:r/>
            <w:r>
              <w:rPr>
                <w:rFonts w:ascii="Calibri" w:hAnsi="Calibri"/>
                <w:b/>
                <w:color w:val="68217A"/>
                <w:sz w:val="18"/>
              </w:rPr>
              <w:t>CONNECTION TO REPORT #2</w:t>
            </w:r>
          </w:p>
          <w:p>
            <w:pPr>
              <w:spacing w:before="0" w:after="80" w:line="288" w:lineRule="auto"/>
            </w:pPr>
            <w:r>
              <w:rPr>
                <w:rFonts w:ascii="Calibri" w:hAnsi="Calibri"/>
                <w:color w:val="333333"/>
                <w:sz w:val="20"/>
              </w:rPr>
              <w:t>Report #2 (Emerging Technology Strategy) recommended a digital auction platform as an INVEST NOW priority (Section 5.5). The market share defense economics in this section are incremental to — and do not duplicate — the technology platform investment in Report #2. The $800K market share defense budget here covers geographic expansion, member retention programs, and value-added services — not the digital platform itself.</w:t>
            </w:r>
          </w:p>
        </w:tc>
      </w:tr>
    </w:tbl>
    <w:p>
      <w:pPr>
        <w:spacing w:before="0" w:after="160" w:line="288" w:lineRule="auto"/>
      </w:pPr>
      <w:r>
        <w:rPr>
          <w:rFonts w:ascii="Calibri" w:hAnsi="Calibri"/>
          <w:b w:val="0"/>
          <w:i w:val="0"/>
        </w:rPr>
      </w:r>
    </w:p>
    <w:p>
      <w:pPr>
        <w:spacing w:before="0" w:after="160" w:line="300" w:lineRule="auto"/>
      </w:pPr>
      <w:r>
        <w:rPr>
          <w:rFonts w:ascii="Calibri" w:hAnsi="Calibri"/>
          <w:b w:val="0"/>
          <w:i w:val="0"/>
          <w:sz w:val="21"/>
        </w:rPr>
        <w:t>Digital and video livestock sales have grown from near-zero in 2000 to an estimated 32% of all cattle transactions in 2025. Superior Livestock Auction (the largest video marketer) handles over $5B in annual cattle sales. Newer entrants like Cattlerange, DVAuction, and various regional online platforms are accelerating share capture.</w:t>
      </w:r>
    </w:p>
    <w:p>
      <w:pPr>
        <w:jc w:val="center"/>
      </w:pPr>
      <w:r>
        <w:drawing>
          <wp:inline xmlns:a="http://schemas.openxmlformats.org/drawingml/2006/main" xmlns:pic="http://schemas.openxmlformats.org/drawingml/2006/picture">
            <wp:extent cx="5943600" cy="3627819"/>
            <wp:docPr id="5" name="Picture 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943600" cy="3627819"/>
                    </a:xfrm>
                    <a:prstGeom prst="rect"/>
                  </pic:spPr>
                </pic:pic>
              </a:graphicData>
            </a:graphic>
          </wp:inline>
        </w:drawing>
      </w:r>
    </w:p>
    <w:p>
      <w:pPr>
        <w:spacing w:before="0" w:after="240" w:line="276" w:lineRule="auto"/>
        <w:jc w:val="center"/>
      </w:pPr>
      <w:r>
        <w:rPr>
          <w:rFonts w:ascii="Calibri" w:hAnsi="Calibri"/>
          <w:i/>
          <w:color w:val="666666"/>
          <w:sz w:val="18"/>
        </w:rPr>
        <w:t>Exhibit: Physical auctions declined 52% (1,200 → 570) since 2000 while digital share grew from 0% to 32%.</w:t>
      </w:r>
    </w:p>
    <w:p>
      <w:pPr>
        <w:pStyle w:val="Heading2"/>
        <w:spacing w:before="280" w:after="120" w:line="276" w:lineRule="auto"/>
      </w:pPr>
      <w:r>
        <w:t>3.3 Industry Consolidation</w:t>
      </w:r>
    </w:p>
    <w:p>
      <w:pPr>
        <w:spacing w:before="0" w:after="160" w:line="300" w:lineRule="auto"/>
      </w:pPr>
      <w:r>
        <w:rPr>
          <w:rFonts w:ascii="Calibri" w:hAnsi="Calibri"/>
          <w:b w:val="0"/>
          <w:i w:val="0"/>
          <w:sz w:val="21"/>
        </w:rPr>
        <w:t>The livestock marketing industry is consolidating at both the auction level (closures) and the cooperative level (mergers). Smaller regional cooperatives lack scale to invest in technology, compliance, and member services. This creates both a threat (larger competitors absorbing PLMA's members) and an opportunity (PLMA absorbing smaller cooperatives).</w:t>
      </w:r>
    </w:p>
    <w:p>
      <w:pPr>
        <w:pStyle w:val="Heading2"/>
        <w:spacing w:before="280" w:after="120" w:line="276" w:lineRule="auto"/>
      </w:pPr>
      <w:r>
        <w:t>3.4 Disintermediation</w:t>
      </w:r>
    </w:p>
    <w:p>
      <w:pPr>
        <w:jc w:val="center"/>
      </w:pPr>
      <w:r>
        <w:drawing>
          <wp:inline xmlns:a="http://schemas.openxmlformats.org/drawingml/2006/main" xmlns:pic="http://schemas.openxmlformats.org/drawingml/2006/picture">
            <wp:extent cx="5943600" cy="3515069"/>
            <wp:docPr id="6" name="Picture 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943600" cy="3515069"/>
                    </a:xfrm>
                    <a:prstGeom prst="rect"/>
                  </pic:spPr>
                </pic:pic>
              </a:graphicData>
            </a:graphic>
          </wp:inline>
        </w:drawing>
      </w:r>
    </w:p>
    <w:p>
      <w:pPr>
        <w:spacing w:before="0" w:after="240" w:line="276" w:lineRule="auto"/>
        <w:jc w:val="center"/>
      </w:pPr>
      <w:r>
        <w:rPr>
          <w:rFonts w:ascii="Calibri" w:hAnsi="Calibri"/>
          <w:i/>
          <w:color w:val="666666"/>
          <w:sz w:val="18"/>
        </w:rPr>
        <w:t>Exhibit: Four pathways bypass PLMA: direct-to-packer, digital marketplace, coop-to-coop, and fintech P2P.</w:t>
      </w:r>
    </w:p>
    <w:p>
      <w:pPr>
        <w:spacing w:before="0" w:after="160" w:line="300" w:lineRule="auto"/>
      </w:pPr>
      <w:r>
        <w:rPr>
          <w:rFonts w:ascii="Calibri" w:hAnsi="Calibri"/>
          <w:b w:val="0"/>
          <w:i w:val="0"/>
          <w:sz w:val="21"/>
        </w:rPr>
        <w:t>Disintermediation — producers selling directly to packers or feedlots, bypassing the cooperative marketer — is driven by: (i) captive supply arrangements (packers contracting directly with large feedlots), (ii) formula pricing that removes the need for auction price discovery, (iii) producer-owned digital platforms, and (iv) relationship consolidation as the industry concentrates.</w:t>
      </w:r>
    </w:p>
    <w:p>
      <w:pPr>
        <w:pStyle w:val="Heading2"/>
        <w:spacing w:before="280" w:after="120" w:line="276" w:lineRule="auto"/>
      </w:pPr>
      <w:r>
        <w:t>3.5 Regional Competition</w:t>
      </w:r>
    </w:p>
    <w:p>
      <w:pPr>
        <w:spacing w:before="0" w:after="160" w:line="300" w:lineRule="auto"/>
      </w:pPr>
      <w:r>
        <w:rPr>
          <w:rFonts w:ascii="Calibri" w:hAnsi="Calibri"/>
          <w:b w:val="0"/>
          <w:i w:val="0"/>
          <w:sz w:val="21"/>
        </w:rPr>
        <w:t>Cattle production geography is shifting: drought has accelerated herd liquidation in the Southern Plains, while the Northern Plains and Corn Belt have gained share. Feedlot concentration in the Texas Panhandle, SW Kansas, and NE Colorado/SW Nebraska creates regional pricing power dynamics that affect PLMA's footprint differently depending on its geographic exposure.</w:t>
      </w:r>
    </w:p>
    <w:p>
      <w:r>
        <w:br w:type="page"/>
      </w:r>
    </w:p>
    <w:p>
      <w:pPr>
        <w:pStyle w:val="Heading1"/>
        <w:spacing w:before="0" w:after="240" w:line="276" w:lineRule="auto"/>
        <w:pBdr>
          <w:bottom w:val="single" w:sz="12" w:space="4" w:color="003A70"/>
        </w:pBdr>
      </w:pPr>
      <w:r>
        <w:t>4. Generational Succession Deep Dive</w:t>
      </w:r>
    </w:p>
    <w:p>
      <w:pPr>
        <w:spacing w:before="0" w:after="160" w:line="300" w:lineRule="auto"/>
      </w:pPr>
      <w:r>
        <w:rPr>
          <w:rFonts w:ascii="Calibri" w:hAnsi="Calibri"/>
          <w:b w:val="0"/>
          <w:i w:val="0"/>
          <w:sz w:val="21"/>
        </w:rPr>
        <w:t>This section addresses the single most underappreciated strategic risk facing PLMA: the aging of its producer member base and the failure to systematically capture the next generation of livestock producers.</w:t>
      </w:r>
    </w:p>
    <w:p>
      <w:pPr>
        <w:pStyle w:val="Heading2"/>
        <w:spacing w:before="280" w:after="120" w:line="276" w:lineRule="auto"/>
      </w:pPr>
      <w:r>
        <w:t>4.1 The Demographic Crisis</w:t>
      </w:r>
    </w:p>
    <w:p>
      <w:pPr>
        <w:spacing w:before="0" w:after="160" w:line="300" w:lineRule="auto"/>
      </w:pPr>
      <w:r>
        <w:rPr>
          <w:rFonts w:ascii="Calibri" w:hAnsi="Calibri"/>
          <w:b w:val="0"/>
          <w:i w:val="0"/>
          <w:sz w:val="21"/>
        </w:rPr>
        <w:t>The average age of U.S. farm operators reached 58.1 years in the 2022 Census of Agriculture, up from 56.3 in 2012. More alarmingly, the &lt;35 age cohort has shrunk from 5.6% to 4.9% of all operators, while the 75+ cohort grew from 9.7% to 16.0%. By 2035, an estimated 53% of all farm operators will be 65 or older.</w:t>
      </w:r>
      <w:r>
        <w:rPr>
          <w:color w:val="0078D4"/>
          <w:sz w:val="16"/>
          <w:vertAlign w:val="superscript"/>
        </w:rPr>
        <w:t xml:space="preserve"> [14]</w:t>
      </w:r>
    </w:p>
    <w:p>
      <w:pPr>
        <w:jc w:val="center"/>
      </w:pPr>
      <w:r>
        <w:drawing>
          <wp:inline xmlns:a="http://schemas.openxmlformats.org/drawingml/2006/main" xmlns:pic="http://schemas.openxmlformats.org/drawingml/2006/picture">
            <wp:extent cx="5943600" cy="3595511"/>
            <wp:docPr id="7" name="Picture 7"/>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943600" cy="3595511"/>
                    </a:xfrm>
                    <a:prstGeom prst="rect"/>
                  </pic:spPr>
                </pic:pic>
              </a:graphicData>
            </a:graphic>
          </wp:inline>
        </w:drawing>
      </w:r>
    </w:p>
    <w:p>
      <w:pPr>
        <w:spacing w:before="0" w:after="240" w:line="276" w:lineRule="auto"/>
        <w:jc w:val="center"/>
      </w:pPr>
      <w:r>
        <w:rPr>
          <w:rFonts w:ascii="Calibri" w:hAnsi="Calibri"/>
          <w:i/>
          <w:color w:val="666666"/>
          <w:sz w:val="18"/>
        </w:rPr>
        <w:t>Exhibit: The demographic cliff: 53% of operators projected 65+ by 2035; &lt;35 cohort shrinking.</w:t>
      </w:r>
    </w:p>
    <w:p>
      <w:pPr>
        <w:pStyle w:val="Heading2"/>
        <w:spacing w:before="280" w:after="120" w:line="276" w:lineRule="auto"/>
      </w:pPr>
      <w:r>
        <w:t>4.2 Estate Planning &amp; Relationship Transfer Economics</w:t>
      </w:r>
    </w:p>
    <w:p>
      <w:pPr>
        <w:spacing w:before="0" w:after="160" w:line="300" w:lineRule="auto"/>
      </w:pPr>
      <w:r>
        <w:rPr>
          <w:rFonts w:ascii="Calibri" w:hAnsi="Calibri"/>
          <w:b w:val="0"/>
          <w:i w:val="0"/>
          <w:sz w:val="21"/>
        </w:rPr>
        <w:t>When a rancher passes away or exits the business, the cooperative relationship does not automatically transfer to the heir or buyer. Industry data suggests PLMA retains only ~29% of relationships through generational transfer — losing 71% to inaction, competitor relationships, or ranch liquidation.</w:t>
      </w:r>
    </w:p>
    <w:tbl>
      <w:tblPr>
        <w:tblW w:type="auto" w:w="0"/>
        <w:tblLook w:firstColumn="1" w:firstRow="1" w:lastColumn="0" w:lastRow="0" w:noHBand="0" w:noVBand="1" w:val="04A0"/>
      </w:tblPr>
      <w:tblGrid>
        <w:gridCol w:w="9360"/>
      </w:tblGrid>
      <w:tr>
        <w:tc>
          <w:tcPr>
            <w:tcW w:type="dxa" w:w="9360"/>
            <w:shd w:val="clear" w:color="auto" w:fill="FFF4CE"/>
            <w:tcBorders>
              <w:top w:val="single" w:sz="4" w:color="FFB900" w:space="0"/>
              <w:left w:val="single" w:sz="36" w:color="FFB900" w:space="0"/>
              <w:bottom w:val="single" w:sz="4" w:color="FFB900" w:space="0"/>
              <w:right w:val="single" w:sz="4" w:color="FFB900" w:space="0"/>
            </w:tcBorders>
          </w:tcPr>
          <w:p>
            <w:pPr>
              <w:spacing w:before="0" w:after="60" w:line="276" w:lineRule="auto"/>
            </w:pPr>
            <w:r/>
            <w:r>
              <w:rPr>
                <w:rFonts w:ascii="Calibri" w:hAnsi="Calibri"/>
                <w:b/>
                <w:color w:val="FFB900"/>
                <w:sz w:val="18"/>
              </w:rPr>
              <w:t>THE SUCCESSION MATH</w:t>
            </w:r>
          </w:p>
          <w:p>
            <w:pPr>
              <w:spacing w:before="0" w:after="80" w:line="288" w:lineRule="auto"/>
            </w:pPr>
            <w:r>
              <w:rPr>
                <w:rFonts w:ascii="Calibri" w:hAnsi="Calibri"/>
                <w:color w:val="333333"/>
                <w:sz w:val="20"/>
              </w:rPr>
              <w:t>If PLMA's member base has an average age of 58, roughly 5-7% of members will exit per year through retirement, death, or estate transfer within 10 years. At ~4,000 active members, that is 200-280 exits/year. At 71% relationship loss rate, PLMA loses 140-200 members/year — each worth $15-25K in lifetime commission value. Annual relationship attrition cost: $2.1-5.0M in future revenue erosion.</w:t>
            </w:r>
          </w:p>
        </w:tc>
      </w:tr>
    </w:tbl>
    <w:p>
      <w:pPr>
        <w:spacing w:before="0" w:after="160" w:line="288" w:lineRule="auto"/>
      </w:pPr>
      <w:r>
        <w:rPr>
          <w:rFonts w:ascii="Calibri" w:hAnsi="Calibri"/>
          <w:b w:val="0"/>
          <w:i w:val="0"/>
        </w:rPr>
      </w:r>
    </w:p>
    <w:p>
      <w:pPr>
        <w:jc w:val="center"/>
      </w:pPr>
      <w:r>
        <w:drawing>
          <wp:inline xmlns:a="http://schemas.openxmlformats.org/drawingml/2006/main" xmlns:pic="http://schemas.openxmlformats.org/drawingml/2006/picture">
            <wp:extent cx="5943600" cy="3693616"/>
            <wp:docPr id="8" name="Picture 8"/>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943600" cy="3693616"/>
                    </a:xfrm>
                    <a:prstGeom prst="rect"/>
                  </pic:spPr>
                </pic:pic>
              </a:graphicData>
            </a:graphic>
          </wp:inline>
        </w:drawing>
      </w:r>
    </w:p>
    <w:p>
      <w:pPr>
        <w:spacing w:before="0" w:after="240" w:line="276" w:lineRule="auto"/>
        <w:jc w:val="center"/>
      </w:pPr>
      <w:r>
        <w:rPr>
          <w:rFonts w:ascii="Calibri" w:hAnsi="Calibri"/>
          <w:i/>
          <w:color w:val="666666"/>
          <w:sz w:val="18"/>
        </w:rPr>
        <w:t>Exhibit: PLMA's relationship funnel reveals the largest leak at succession transfer (71% attrition).</w:t>
      </w:r>
    </w:p>
    <w:p>
      <w:pPr>
        <w:pStyle w:val="Heading2"/>
        <w:spacing w:before="280" w:after="120" w:line="276" w:lineRule="auto"/>
      </w:pPr>
      <w:r>
        <w:t>4.3 The 'Lost Generation' Gap</w:t>
      </w:r>
    </w:p>
    <w:p>
      <w:pPr>
        <w:spacing w:before="0" w:after="160" w:line="300" w:lineRule="auto"/>
      </w:pPr>
      <w:r>
        <w:rPr>
          <w:rFonts w:ascii="Calibri" w:hAnsi="Calibri"/>
          <w:b w:val="0"/>
          <w:i w:val="0"/>
          <w:sz w:val="21"/>
        </w:rPr>
        <w:t>The 35-50 age cohort — the generation that should be PLMA's emerging core membership — is underrepresented. These producers grew up digital, expect mobile-first experiences, make data-driven decisions, and are less loyal to 'the way it's always been done.' They are also the most likely to use direct-sale or digital auction platforms. If PLMA does not actively engage this cohort, it cedes them to competitors.</w:t>
      </w:r>
    </w:p>
    <w:p>
      <w:pPr>
        <w:pStyle w:val="Heading2"/>
        <w:spacing w:before="280" w:after="120" w:line="276" w:lineRule="auto"/>
      </w:pPr>
      <w:r>
        <w:t>4.4 Young Rancher Acquisition Strategy</w:t>
      </w:r>
    </w:p>
    <w:p>
      <w:pPr>
        <w:spacing w:before="0" w:after="160" w:line="300" w:lineRule="auto"/>
      </w:pPr>
      <w:r>
        <w:rPr>
          <w:rFonts w:ascii="Calibri" w:hAnsi="Calibri"/>
          <w:b w:val="0"/>
          <w:i w:val="0"/>
          <w:sz w:val="21"/>
        </w:rPr>
        <w:t>Next-generation producers want different things from a cooperative:</w:t>
      </w:r>
    </w:p>
    <w:p>
      <w:pPr>
        <w:pStyle w:val="ListBullet"/>
        <w:spacing w:before="0" w:after="80" w:line="288" w:lineRule="auto"/>
      </w:pPr>
      <w:r>
        <w:rPr>
          <w:rFonts w:ascii="Calibri" w:hAnsi="Calibri"/>
          <w:b/>
          <w:color w:val="003A70"/>
          <w:sz w:val="21"/>
        </w:rPr>
        <w:t xml:space="preserve">Digital experience: </w:t>
      </w:r>
      <w:r>
        <w:rPr>
          <w:rFonts w:ascii="Calibri" w:hAnsi="Calibri"/>
          <w:color w:val="333333"/>
          <w:sz w:val="21"/>
        </w:rPr>
        <w:t>Mobile app, online auctions, real-time market data, digital documentation.</w:t>
      </w:r>
    </w:p>
    <w:p>
      <w:pPr>
        <w:pStyle w:val="ListBullet"/>
        <w:spacing w:before="0" w:after="80" w:line="288" w:lineRule="auto"/>
      </w:pPr>
      <w:r>
        <w:rPr>
          <w:rFonts w:ascii="Calibri" w:hAnsi="Calibri"/>
          <w:b/>
          <w:color w:val="003A70"/>
          <w:sz w:val="21"/>
        </w:rPr>
        <w:t xml:space="preserve">Advisory services: </w:t>
      </w:r>
      <w:r>
        <w:rPr>
          <w:rFonts w:ascii="Calibri" w:hAnsi="Calibri"/>
          <w:color w:val="333333"/>
          <w:sz w:val="21"/>
        </w:rPr>
        <w:t>Risk management education, hedging advisory, credit access facilitation, financial literacy.</w:t>
      </w:r>
    </w:p>
    <w:p>
      <w:pPr>
        <w:pStyle w:val="ListBullet"/>
        <w:spacing w:before="0" w:after="80" w:line="288" w:lineRule="auto"/>
      </w:pPr>
      <w:r>
        <w:rPr>
          <w:rFonts w:ascii="Calibri" w:hAnsi="Calibri"/>
          <w:b/>
          <w:color w:val="003A70"/>
          <w:sz w:val="21"/>
        </w:rPr>
        <w:t xml:space="preserve">Flexibility: </w:t>
      </w:r>
      <w:r>
        <w:rPr>
          <w:rFonts w:ascii="Calibri" w:hAnsi="Calibri"/>
          <w:color w:val="333333"/>
          <w:sz w:val="21"/>
        </w:rPr>
        <w:t>Lower minimum volumes, flexible commission structures, trial memberships.</w:t>
      </w:r>
    </w:p>
    <w:p>
      <w:pPr>
        <w:pStyle w:val="ListBullet"/>
        <w:spacing w:before="0" w:after="80" w:line="288" w:lineRule="auto"/>
      </w:pPr>
      <w:r>
        <w:rPr>
          <w:rFonts w:ascii="Calibri" w:hAnsi="Calibri"/>
          <w:b/>
          <w:color w:val="003A70"/>
          <w:sz w:val="21"/>
        </w:rPr>
        <w:t xml:space="preserve">Community: </w:t>
      </w:r>
      <w:r>
        <w:rPr>
          <w:rFonts w:ascii="Calibri" w:hAnsi="Calibri"/>
          <w:color w:val="333333"/>
          <w:sz w:val="21"/>
        </w:rPr>
        <w:t>Peer networks, mentorship connections, industry events, social media presence.</w:t>
      </w:r>
    </w:p>
    <w:p>
      <w:pPr>
        <w:pStyle w:val="ListBullet"/>
        <w:spacing w:before="0" w:after="80" w:line="288" w:lineRule="auto"/>
      </w:pPr>
      <w:r>
        <w:rPr>
          <w:rFonts w:ascii="Calibri" w:hAnsi="Calibri"/>
          <w:b/>
          <w:color w:val="003A70"/>
          <w:sz w:val="21"/>
        </w:rPr>
        <w:t xml:space="preserve">Values alignment: </w:t>
      </w:r>
      <w:r>
        <w:rPr>
          <w:rFonts w:ascii="Calibri" w:hAnsi="Calibri"/>
          <w:color w:val="333333"/>
          <w:sz w:val="21"/>
        </w:rPr>
        <w:t>Sustainability practices, animal welfare, cooperative governance voice.</w:t>
      </w:r>
    </w:p>
    <w:p>
      <w:pPr>
        <w:pStyle w:val="Heading2"/>
        <w:spacing w:before="280" w:after="120" w:line="276" w:lineRule="auto"/>
      </w:pPr>
      <w:r>
        <w:t>4.5 Mentorship &amp; Ambassador Programs</w:t>
      </w:r>
    </w:p>
    <w:p>
      <w:pPr>
        <w:spacing w:before="0" w:after="160" w:line="300" w:lineRule="auto"/>
      </w:pPr>
      <w:r>
        <w:rPr>
          <w:rFonts w:ascii="Calibri" w:hAnsi="Calibri"/>
          <w:b w:val="0"/>
          <w:i w:val="0"/>
          <w:sz w:val="21"/>
        </w:rPr>
        <w:t>The most effective young rancher acquisition channel is referral from an existing trusted member. A formal Mentorship/Ambassador Program pairs experienced PLMA members with beginning producers in their region. Ambassadors receive modest incentives (reduced commission tiers, recognition) for successful referrals that convert to active members.</w:t>
      </w:r>
    </w:p>
    <w:p>
      <w:pPr>
        <w:pStyle w:val="Heading2"/>
        <w:spacing w:before="280" w:after="120" w:line="276" w:lineRule="auto"/>
      </w:pPr>
      <w:r>
        <w:t>4.6 Financial Products for Beginning Producers</w:t>
      </w:r>
    </w:p>
    <w:p>
      <w:pPr>
        <w:spacing w:before="0" w:after="160" w:line="300" w:lineRule="auto"/>
      </w:pPr>
      <w:r>
        <w:rPr>
          <w:rFonts w:ascii="Calibri" w:hAnsi="Calibri"/>
          <w:b w:val="0"/>
          <w:i w:val="0"/>
          <w:sz w:val="21"/>
        </w:rPr>
        <w:t>Beginning ranchers face acute capital constraints: limited equity, thin credit history, high land/cattle costs. PLMA can facilitate (not originate) access to:</w:t>
      </w:r>
    </w:p>
    <w:p>
      <w:pPr>
        <w:pStyle w:val="ListBullet"/>
        <w:spacing w:before="0" w:after="60" w:line="288" w:lineRule="auto"/>
      </w:pPr>
      <w:r>
        <w:rPr>
          <w:rFonts w:ascii="Calibri" w:hAnsi="Calibri"/>
          <w:color w:val="333333"/>
          <w:sz w:val="21"/>
        </w:rPr>
        <w:t>FSA Beginning Farmer and Rancher loans (guaranteed lending programs)</w:t>
      </w:r>
    </w:p>
    <w:p>
      <w:pPr>
        <w:pStyle w:val="ListBullet"/>
        <w:spacing w:before="0" w:after="60" w:line="288" w:lineRule="auto"/>
      </w:pPr>
      <w:r>
        <w:rPr>
          <w:rFonts w:ascii="Calibri" w:hAnsi="Calibri"/>
          <w:color w:val="333333"/>
          <w:sz w:val="21"/>
        </w:rPr>
        <w:t>Farm Credit System programs designed for beginning operations</w:t>
      </w:r>
    </w:p>
    <w:p>
      <w:pPr>
        <w:pStyle w:val="ListBullet"/>
        <w:spacing w:before="0" w:after="60" w:line="288" w:lineRule="auto"/>
      </w:pPr>
      <w:r>
        <w:rPr>
          <w:rFonts w:ascii="Calibri" w:hAnsi="Calibri"/>
          <w:color w:val="333333"/>
          <w:sz w:val="21"/>
        </w:rPr>
        <w:t>Risk management education (hedging basics, crop insurance for feed)</w:t>
      </w:r>
    </w:p>
    <w:p>
      <w:pPr>
        <w:pStyle w:val="ListBullet"/>
        <w:spacing w:before="0" w:after="60" w:line="288" w:lineRule="auto"/>
      </w:pPr>
      <w:r>
        <w:rPr>
          <w:rFonts w:ascii="Calibri" w:hAnsi="Calibri"/>
          <w:color w:val="333333"/>
          <w:sz w:val="21"/>
        </w:rPr>
        <w:t>Cooperative credit accommodation (extended terms for first-year members)</w:t>
      </w:r>
    </w:p>
    <w:p>
      <w:pPr>
        <w:pStyle w:val="Heading2"/>
        <w:spacing w:before="280" w:after="120" w:line="276" w:lineRule="auto"/>
      </w:pPr>
      <w:r>
        <w:t>4.7 Land-Grant University &amp; Extension Partnerships</w:t>
      </w:r>
    </w:p>
    <w:p>
      <w:pPr>
        <w:spacing w:before="0" w:after="160" w:line="300" w:lineRule="auto"/>
      </w:pPr>
      <w:r>
        <w:rPr>
          <w:rFonts w:ascii="Calibri" w:hAnsi="Calibri"/>
          <w:b w:val="0"/>
          <w:i w:val="0"/>
          <w:sz w:val="21"/>
        </w:rPr>
        <w:t>Partnerships with land-grant universities (KSU, TAMU, UNL, SDSU, etc.) and cooperative extension services create a pipeline of young producers who encounter PLMA as part of their education — at livestock judging events, extension workshops, internship programs, and student cooperative competitions.</w:t>
      </w:r>
      <w:r>
        <w:rPr>
          <w:color w:val="0078D4"/>
          <w:sz w:val="16"/>
          <w:vertAlign w:val="superscript"/>
        </w:rPr>
        <w:t xml:space="preserve"> [26]</w:t>
      </w:r>
    </w:p>
    <w:p>
      <w:r>
        <w:br w:type="page"/>
      </w:r>
    </w:p>
    <w:p>
      <w:pPr>
        <w:pStyle w:val="Heading1"/>
        <w:spacing w:before="0" w:after="240" w:line="276" w:lineRule="auto"/>
        <w:pBdr>
          <w:bottom w:val="single" w:sz="12" w:space="4" w:color="003A70"/>
        </w:pBdr>
      </w:pPr>
      <w:r>
        <w:t>5. Controllable vs. Uncontrollable Framework</w:t>
      </w:r>
    </w:p>
    <w:p>
      <w:pPr>
        <w:spacing w:before="0" w:after="160" w:line="300" w:lineRule="auto"/>
      </w:pPr>
      <w:r>
        <w:rPr>
          <w:rFonts w:ascii="Calibri" w:hAnsi="Calibri"/>
          <w:b w:val="0"/>
          <w:i w:val="0"/>
          <w:sz w:val="21"/>
        </w:rPr>
        <w:t>A fundamental principle of risk management — adapted here from Covey's Circle of Influence model for enterprise strategy — is distinguishing between factors PLMA can control (direct action), influence (indirect leverage), and only monitor (cannot change).</w:t>
      </w:r>
    </w:p>
    <w:p>
      <w:pPr>
        <w:jc w:val="center"/>
      </w:pPr>
      <w:r>
        <w:drawing>
          <wp:inline xmlns:a="http://schemas.openxmlformats.org/drawingml/2006/main" xmlns:pic="http://schemas.openxmlformats.org/drawingml/2006/picture">
            <wp:extent cx="5943600" cy="4049823"/>
            <wp:docPr id="9" name="Picture 9"/>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943600" cy="4049823"/>
                    </a:xfrm>
                    <a:prstGeom prst="rect"/>
                  </pic:spPr>
                </pic:pic>
              </a:graphicData>
            </a:graphic>
          </wp:inline>
        </w:drawing>
      </w:r>
    </w:p>
    <w:p>
      <w:pPr>
        <w:spacing w:before="0" w:after="240" w:line="276" w:lineRule="auto"/>
        <w:jc w:val="center"/>
      </w:pPr>
      <w:r>
        <w:rPr>
          <w:rFonts w:ascii="Calibri" w:hAnsi="Calibri"/>
          <w:i/>
          <w:color w:val="666666"/>
          <w:sz w:val="18"/>
        </w:rPr>
        <w:t>Exhibit: PLMA's strategy should focus energy on the Control zone, invest in the Influence zone, and build monitoring for the rest.</w:t>
      </w:r>
    </w:p>
    <w:p>
      <w:pPr>
        <w:pStyle w:val="Heading2"/>
        <w:spacing w:before="280" w:after="120" w:line="276" w:lineRule="auto"/>
      </w:pPr>
      <w:r>
        <w:t>5.1 What PLMA Cannot Control</w:t>
      </w:r>
    </w:p>
    <w:p>
      <w:pPr>
        <w:spacing w:before="0" w:after="160" w:line="300" w:lineRule="auto"/>
      </w:pPr>
      <w:r>
        <w:rPr>
          <w:rFonts w:ascii="Calibri" w:hAnsi="Calibri"/>
          <w:b w:val="0"/>
          <w:i w:val="0"/>
          <w:sz w:val="21"/>
        </w:rPr>
        <w:t>These factors shape the operating environment but are beyond PLMA's direct action:</w:t>
      </w:r>
    </w:p>
    <w:p>
      <w:pPr>
        <w:pStyle w:val="ListBullet"/>
        <w:spacing w:before="0" w:after="80" w:line="288" w:lineRule="auto"/>
      </w:pPr>
      <w:r>
        <w:rPr>
          <w:rFonts w:ascii="Calibri" w:hAnsi="Calibri"/>
          <w:b/>
          <w:color w:val="003A70"/>
          <w:sz w:val="21"/>
        </w:rPr>
        <w:t xml:space="preserve">Commodity prices: </w:t>
      </w:r>
      <w:r>
        <w:rPr>
          <w:rFonts w:ascii="Calibri" w:hAnsi="Calibri"/>
          <w:color w:val="333333"/>
          <w:sz w:val="21"/>
        </w:rPr>
        <w:t>Cattle prices are set by global supply/demand. PLMA can hedge exposure but cannot influence the price level.</w:t>
      </w:r>
    </w:p>
    <w:p>
      <w:pPr>
        <w:pStyle w:val="ListBullet"/>
        <w:spacing w:before="0" w:after="80" w:line="288" w:lineRule="auto"/>
      </w:pPr>
      <w:r>
        <w:rPr>
          <w:rFonts w:ascii="Calibri" w:hAnsi="Calibri"/>
          <w:b/>
          <w:color w:val="003A70"/>
          <w:sz w:val="21"/>
        </w:rPr>
        <w:t xml:space="preserve">Federal Reserve policy: </w:t>
      </w:r>
      <w:r>
        <w:rPr>
          <w:rFonts w:ascii="Calibri" w:hAnsi="Calibri"/>
          <w:color w:val="333333"/>
          <w:sz w:val="21"/>
        </w:rPr>
        <w:t>Interest rates affect buyer leverage, working capital cost, and farmland values. Monitor and plan; cannot change.</w:t>
      </w:r>
    </w:p>
    <w:p>
      <w:pPr>
        <w:pStyle w:val="ListBullet"/>
        <w:spacing w:before="0" w:after="80" w:line="288" w:lineRule="auto"/>
      </w:pPr>
      <w:r>
        <w:rPr>
          <w:rFonts w:ascii="Calibri" w:hAnsi="Calibri"/>
          <w:b/>
          <w:color w:val="003A70"/>
          <w:sz w:val="21"/>
        </w:rPr>
        <w:t xml:space="preserve">Weather and drought: </w:t>
      </w:r>
      <w:r>
        <w:rPr>
          <w:rFonts w:ascii="Calibri" w:hAnsi="Calibri"/>
          <w:color w:val="333333"/>
          <w:sz w:val="21"/>
        </w:rPr>
        <w:t>Regional weather patterns drive herd liquidation, basis volatility, and production migration. Monitor and diversify geographically.</w:t>
      </w:r>
    </w:p>
    <w:p>
      <w:pPr>
        <w:pStyle w:val="ListBullet"/>
        <w:spacing w:before="0" w:after="80" w:line="288" w:lineRule="auto"/>
      </w:pPr>
      <w:r>
        <w:rPr>
          <w:rFonts w:ascii="Calibri" w:hAnsi="Calibri"/>
          <w:b/>
          <w:color w:val="003A70"/>
          <w:sz w:val="21"/>
        </w:rPr>
        <w:t xml:space="preserve">Packer consolidation: </w:t>
      </w:r>
      <w:r>
        <w:rPr>
          <w:rFonts w:ascii="Calibri" w:hAnsi="Calibri"/>
          <w:color w:val="333333"/>
          <w:sz w:val="21"/>
        </w:rPr>
        <w:t>Big-4 concentration is a regulatory and antitrust issue. PLMA can advocate but cannot reverse market structure.</w:t>
      </w:r>
    </w:p>
    <w:p>
      <w:pPr>
        <w:pStyle w:val="ListBullet"/>
        <w:spacing w:before="0" w:after="80" w:line="288" w:lineRule="auto"/>
      </w:pPr>
      <w:r>
        <w:rPr>
          <w:rFonts w:ascii="Calibri" w:hAnsi="Calibri"/>
          <w:b/>
          <w:color w:val="003A70"/>
          <w:sz w:val="21"/>
        </w:rPr>
        <w:t xml:space="preserve">Demographic trends: </w:t>
      </w:r>
      <w:r>
        <w:rPr>
          <w:rFonts w:ascii="Calibri" w:hAnsi="Calibri"/>
          <w:color w:val="333333"/>
          <w:sz w:val="21"/>
        </w:rPr>
        <w:t>The aging of the rancher population is a national phenomenon. PLMA can capture the next generation but cannot reverse the trend.</w:t>
      </w:r>
    </w:p>
    <w:p>
      <w:pPr>
        <w:pStyle w:val="Heading2"/>
        <w:spacing w:before="280" w:after="120" w:line="276" w:lineRule="auto"/>
      </w:pPr>
      <w:r>
        <w:t>5.2 What PLMA Can Control</w:t>
      </w:r>
    </w:p>
    <w:p>
      <w:pPr>
        <w:spacing w:before="0" w:after="160" w:line="300" w:lineRule="auto"/>
      </w:pPr>
      <w:r>
        <w:rPr>
          <w:rFonts w:ascii="Calibri" w:hAnsi="Calibri"/>
          <w:b w:val="0"/>
          <w:i w:val="0"/>
          <w:sz w:val="21"/>
        </w:rPr>
        <w:t>These are the high-leverage actions that form the core of the mitigation strategy:</w:t>
      </w:r>
    </w:p>
    <w:p>
      <w:pPr>
        <w:pStyle w:val="ListBullet"/>
        <w:spacing w:before="0" w:after="80" w:line="288" w:lineRule="auto"/>
      </w:pPr>
      <w:r>
        <w:rPr>
          <w:rFonts w:ascii="Calibri" w:hAnsi="Calibri"/>
          <w:b/>
          <w:color w:val="003A70"/>
          <w:sz w:val="21"/>
        </w:rPr>
        <w:t xml:space="preserve">Hedging program: </w:t>
      </w:r>
      <w:r>
        <w:rPr>
          <w:rFonts w:ascii="Calibri" w:hAnsi="Calibri"/>
          <w:color w:val="333333"/>
          <w:sz w:val="21"/>
        </w:rPr>
        <w:t>Direct action to hedge company-owned cattle and overlay member risk advisory.</w:t>
      </w:r>
    </w:p>
    <w:p>
      <w:pPr>
        <w:pStyle w:val="ListBullet"/>
        <w:spacing w:before="0" w:after="80" w:line="288" w:lineRule="auto"/>
      </w:pPr>
      <w:r>
        <w:rPr>
          <w:rFonts w:ascii="Calibri" w:hAnsi="Calibri"/>
          <w:b/>
          <w:color w:val="003A70"/>
          <w:sz w:val="21"/>
        </w:rPr>
        <w:t xml:space="preserve">Commission structure: </w:t>
      </w:r>
      <w:r>
        <w:rPr>
          <w:rFonts w:ascii="Calibri" w:hAnsi="Calibri"/>
          <w:color w:val="333333"/>
          <w:sz w:val="21"/>
        </w:rPr>
        <w:t>Reform from pure %-of-sale to blended model (floor/ceiling, fee-for-service, advisory tiers).</w:t>
      </w:r>
    </w:p>
    <w:p>
      <w:pPr>
        <w:pStyle w:val="ListBullet"/>
        <w:spacing w:before="0" w:after="80" w:line="288" w:lineRule="auto"/>
      </w:pPr>
      <w:r>
        <w:rPr>
          <w:rFonts w:ascii="Calibri" w:hAnsi="Calibri"/>
          <w:b/>
          <w:color w:val="003A70"/>
          <w:sz w:val="21"/>
        </w:rPr>
        <w:t xml:space="preserve">Credit terms: </w:t>
      </w:r>
      <w:r>
        <w:rPr>
          <w:rFonts w:ascii="Calibri" w:hAnsi="Calibri"/>
          <w:color w:val="333333"/>
          <w:sz w:val="21"/>
        </w:rPr>
        <w:t>Tiered limits and payment acceleration (cross-reference Report #1).</w:t>
      </w:r>
    </w:p>
    <w:p>
      <w:pPr>
        <w:pStyle w:val="ListBullet"/>
        <w:spacing w:before="0" w:after="80" w:line="288" w:lineRule="auto"/>
      </w:pPr>
      <w:r>
        <w:rPr>
          <w:rFonts w:ascii="Calibri" w:hAnsi="Calibri"/>
          <w:b/>
          <w:color w:val="003A70"/>
          <w:sz w:val="21"/>
        </w:rPr>
        <w:t xml:space="preserve">Digital investment: </w:t>
      </w:r>
      <w:r>
        <w:rPr>
          <w:rFonts w:ascii="Calibri" w:hAnsi="Calibri"/>
          <w:color w:val="333333"/>
          <w:sz w:val="21"/>
        </w:rPr>
        <w:t>Build digital auction capability, mobile experience, data platform (cross-reference Report #2).</w:t>
      </w:r>
    </w:p>
    <w:p>
      <w:pPr>
        <w:pStyle w:val="ListBullet"/>
        <w:spacing w:before="0" w:after="80" w:line="288" w:lineRule="auto"/>
      </w:pPr>
      <w:r>
        <w:rPr>
          <w:rFonts w:ascii="Calibri" w:hAnsi="Calibri"/>
          <w:b/>
          <w:color w:val="003A70"/>
          <w:sz w:val="21"/>
        </w:rPr>
        <w:t xml:space="preserve">Young rancher outreach: </w:t>
      </w:r>
      <w:r>
        <w:rPr>
          <w:rFonts w:ascii="Calibri" w:hAnsi="Calibri"/>
          <w:color w:val="333333"/>
          <w:sz w:val="21"/>
        </w:rPr>
        <w:t>Formal program, university partnerships, mentorship network.</w:t>
      </w:r>
    </w:p>
    <w:p>
      <w:pPr>
        <w:pStyle w:val="ListBullet"/>
        <w:spacing w:before="0" w:after="80" w:line="288" w:lineRule="auto"/>
      </w:pPr>
      <w:r>
        <w:rPr>
          <w:rFonts w:ascii="Calibri" w:hAnsi="Calibri"/>
          <w:b/>
          <w:color w:val="003A70"/>
          <w:sz w:val="21"/>
        </w:rPr>
        <w:t xml:space="preserve">Geographic expansion: </w:t>
      </w:r>
      <w:r>
        <w:rPr>
          <w:rFonts w:ascii="Calibri" w:hAnsi="Calibri"/>
          <w:color w:val="333333"/>
          <w:sz w:val="21"/>
        </w:rPr>
        <w:t>Enter underserved regions to diversify volume concentration.</w:t>
      </w:r>
    </w:p>
    <w:p>
      <w:pPr>
        <w:pStyle w:val="ListBullet"/>
        <w:spacing w:before="0" w:after="80" w:line="288" w:lineRule="auto"/>
      </w:pPr>
      <w:r>
        <w:rPr>
          <w:rFonts w:ascii="Calibri" w:hAnsi="Calibri"/>
          <w:b/>
          <w:color w:val="003A70"/>
          <w:sz w:val="21"/>
        </w:rPr>
        <w:t xml:space="preserve">Cost structure: </w:t>
      </w:r>
      <w:r>
        <w:rPr>
          <w:rFonts w:ascii="Calibri" w:hAnsi="Calibri"/>
          <w:color w:val="333333"/>
          <w:sz w:val="21"/>
        </w:rPr>
        <w:t>Operating leverage — ensure fixed costs are right-sized for a 20% volume decline scenario.</w:t>
      </w:r>
    </w:p>
    <w:p>
      <w:pPr>
        <w:pStyle w:val="Heading2"/>
        <w:spacing w:before="280" w:after="120" w:line="276" w:lineRule="auto"/>
      </w:pPr>
      <w:r>
        <w:t>5.3 What PLMA Can Influence</w:t>
      </w:r>
    </w:p>
    <w:p>
      <w:pPr>
        <w:spacing w:before="0" w:after="160" w:line="300" w:lineRule="auto"/>
      </w:pPr>
      <w:r>
        <w:rPr>
          <w:rFonts w:ascii="Calibri" w:hAnsi="Calibri"/>
          <w:b w:val="0"/>
          <w:i w:val="0"/>
          <w:sz w:val="21"/>
        </w:rPr>
        <w:t>These factors are not fully controllable but respond to sustained effort:</w:t>
      </w:r>
    </w:p>
    <w:p>
      <w:pPr>
        <w:pStyle w:val="ListBullet"/>
        <w:spacing w:before="0" w:after="80" w:line="288" w:lineRule="auto"/>
      </w:pPr>
      <w:r>
        <w:rPr>
          <w:rFonts w:ascii="Calibri" w:hAnsi="Calibri"/>
          <w:b/>
          <w:color w:val="003A70"/>
          <w:sz w:val="21"/>
        </w:rPr>
        <w:t xml:space="preserve">Buyer payment behavior: </w:t>
      </w:r>
      <w:r>
        <w:rPr>
          <w:rFonts w:ascii="Calibri" w:hAnsi="Calibri"/>
          <w:color w:val="333333"/>
          <w:sz w:val="21"/>
        </w:rPr>
        <w:t>Credit terms, incentives, and monitoring improve payment velocity.</w:t>
      </w:r>
    </w:p>
    <w:p>
      <w:pPr>
        <w:pStyle w:val="ListBullet"/>
        <w:spacing w:before="0" w:after="80" w:line="288" w:lineRule="auto"/>
      </w:pPr>
      <w:r>
        <w:rPr>
          <w:rFonts w:ascii="Calibri" w:hAnsi="Calibri"/>
          <w:b/>
          <w:color w:val="003A70"/>
          <w:sz w:val="21"/>
        </w:rPr>
        <w:t xml:space="preserve">Industry advocacy: </w:t>
      </w:r>
      <w:r>
        <w:rPr>
          <w:rFonts w:ascii="Calibri" w:hAnsi="Calibri"/>
          <w:color w:val="333333"/>
          <w:sz w:val="21"/>
        </w:rPr>
        <w:t>Through LMA and NCBA, PLMA can shape P&amp;SA enforcement, market transparency rules, and beginning farmer programs.</w:t>
      </w:r>
    </w:p>
    <w:p>
      <w:pPr>
        <w:pStyle w:val="ListBullet"/>
        <w:spacing w:before="0" w:after="80" w:line="288" w:lineRule="auto"/>
      </w:pPr>
      <w:r>
        <w:rPr>
          <w:rFonts w:ascii="Calibri" w:hAnsi="Calibri"/>
          <w:b/>
          <w:color w:val="003A70"/>
          <w:sz w:val="21"/>
        </w:rPr>
        <w:t xml:space="preserve">Cooperative partnerships: </w:t>
      </w:r>
      <w:r>
        <w:rPr>
          <w:rFonts w:ascii="Calibri" w:hAnsi="Calibri"/>
          <w:color w:val="333333"/>
          <w:sz w:val="21"/>
        </w:rPr>
        <w:t>Joint ventures, federated structures, and mutual aid agreements with peer cooperatives reduce isolation.</w:t>
      </w:r>
    </w:p>
    <w:p>
      <w:pPr>
        <w:pStyle w:val="ListBullet"/>
        <w:spacing w:before="0" w:after="80" w:line="288" w:lineRule="auto"/>
      </w:pPr>
      <w:r>
        <w:rPr>
          <w:rFonts w:ascii="Calibri" w:hAnsi="Calibri"/>
          <w:b/>
          <w:color w:val="003A70"/>
          <w:sz w:val="21"/>
        </w:rPr>
        <w:t xml:space="preserve">Talent pipeline: </w:t>
      </w:r>
      <w:r>
        <w:rPr>
          <w:rFonts w:ascii="Calibri" w:hAnsi="Calibri"/>
          <w:color w:val="333333"/>
          <w:sz w:val="21"/>
        </w:rPr>
        <w:t>University partnerships and employer brand investment attract talent over time.</w:t>
      </w:r>
    </w:p>
    <w:p>
      <w:r>
        <w:br w:type="page"/>
      </w:r>
    </w:p>
    <w:p>
      <w:pPr>
        <w:pStyle w:val="Heading1"/>
        <w:spacing w:before="0" w:after="240" w:line="276" w:lineRule="auto"/>
        <w:pBdr>
          <w:bottom w:val="single" w:sz="12" w:space="4" w:color="003A70"/>
        </w:pBdr>
      </w:pPr>
      <w:r>
        <w:t>6. Leading Indicators Dashboard</w:t>
      </w:r>
    </w:p>
    <w:p>
      <w:pPr>
        <w:spacing w:before="0" w:after="160" w:line="300" w:lineRule="auto"/>
      </w:pPr>
      <w:r>
        <w:rPr>
          <w:rFonts w:ascii="Calibri" w:hAnsi="Calibri"/>
          <w:b w:val="0"/>
          <w:i w:val="0"/>
          <w:sz w:val="21"/>
        </w:rPr>
        <w:t>Effective risk management requires systematic monitoring of leading indicators — not just lagging outcomes. This section defines the key metrics PLMA should track weekly/monthly across price, market share, and generational dimensions.</w:t>
      </w:r>
    </w:p>
    <w:p>
      <w:pPr>
        <w:jc w:val="center"/>
      </w:pPr>
      <w:r>
        <w:drawing>
          <wp:inline xmlns:a="http://schemas.openxmlformats.org/drawingml/2006/main" xmlns:pic="http://schemas.openxmlformats.org/drawingml/2006/picture">
            <wp:extent cx="5943600" cy="4545106"/>
            <wp:docPr id="10" name="Picture 10"/>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943600" cy="4545106"/>
                    </a:xfrm>
                    <a:prstGeom prst="rect"/>
                  </pic:spPr>
                </pic:pic>
              </a:graphicData>
            </a:graphic>
          </wp:inline>
        </w:drawing>
      </w:r>
    </w:p>
    <w:p>
      <w:pPr>
        <w:spacing w:before="0" w:after="240" w:line="276" w:lineRule="auto"/>
        <w:jc w:val="center"/>
      </w:pPr>
      <w:r>
        <w:rPr>
          <w:rFonts w:ascii="Calibri" w:hAnsi="Calibri"/>
          <w:i/>
          <w:color w:val="666666"/>
          <w:sz w:val="18"/>
        </w:rPr>
        <w:t>Exhibit: Illustrative dashboard showing current status. Amber/red indicators require escalation per governance protocols.</w:t>
      </w:r>
    </w:p>
    <w:p>
      <w:pPr>
        <w:pStyle w:val="Heading2"/>
        <w:spacing w:before="280" w:after="120" w:line="276" w:lineRule="auto"/>
      </w:pPr>
      <w:r>
        <w:t>6.1 Price Risk Indicators</w:t>
      </w:r>
    </w:p>
    <w:tbl>
      <w:tblPr>
        <w:tblW w:type="auto" w:w="0"/>
        <w:jc w:val="center"/>
        <w:tblLook w:firstColumn="1" w:firstRow="1" w:lastColumn="0" w:lastRow="0" w:noHBand="0" w:noVBand="1" w:val="04A0"/>
      </w:tblPr>
      <w:tblGrid>
        <w:gridCol w:w="2340"/>
        <w:gridCol w:w="2340"/>
        <w:gridCol w:w="2340"/>
        <w:gridCol w:w="2340"/>
      </w:tblGrid>
      <w:tr>
        <w:tc>
          <w:tcPr>
            <w:tcW w:type="dxa" w:w="2592"/>
            <w:shd w:val="clear" w:color="auto" w:fill="003A70"/>
            <w:vAlign w:val="center"/>
          </w:tcPr>
          <w:p>
            <w:r/>
            <w:r>
              <w:rPr>
                <w:rFonts w:ascii="Calibri" w:hAnsi="Calibri"/>
                <w:b/>
                <w:color w:val="FFFFFF"/>
                <w:sz w:val="19"/>
              </w:rPr>
              <w:t>Indicator</w:t>
            </w:r>
          </w:p>
        </w:tc>
        <w:tc>
          <w:tcPr>
            <w:tcW w:type="dxa" w:w="1440"/>
            <w:shd w:val="clear" w:color="auto" w:fill="003A70"/>
            <w:vAlign w:val="center"/>
          </w:tcPr>
          <w:p>
            <w:r/>
            <w:r>
              <w:rPr>
                <w:rFonts w:ascii="Calibri" w:hAnsi="Calibri"/>
                <w:b/>
                <w:color w:val="FFFFFF"/>
                <w:sz w:val="19"/>
              </w:rPr>
              <w:t>Frequency</w:t>
            </w:r>
          </w:p>
        </w:tc>
        <w:tc>
          <w:tcPr>
            <w:tcW w:type="dxa" w:w="2160"/>
            <w:shd w:val="clear" w:color="auto" w:fill="003A70"/>
            <w:vAlign w:val="center"/>
          </w:tcPr>
          <w:p>
            <w:r/>
            <w:r>
              <w:rPr>
                <w:rFonts w:ascii="Calibri" w:hAnsi="Calibri"/>
                <w:b/>
                <w:color w:val="FFFFFF"/>
                <w:sz w:val="19"/>
              </w:rPr>
              <w:t>Signal</w:t>
            </w:r>
          </w:p>
        </w:tc>
        <w:tc>
          <w:tcPr>
            <w:tcW w:type="dxa" w:w="2880"/>
            <w:shd w:val="clear" w:color="auto" w:fill="003A70"/>
            <w:vAlign w:val="center"/>
          </w:tcPr>
          <w:p>
            <w:r/>
            <w:r>
              <w:rPr>
                <w:rFonts w:ascii="Calibri" w:hAnsi="Calibri"/>
                <w:b/>
                <w:color w:val="FFFFFF"/>
                <w:sz w:val="19"/>
              </w:rPr>
              <w:t>Action Trigger</w:t>
            </w:r>
          </w:p>
        </w:tc>
      </w:tr>
      <w:tr>
        <w:tc>
          <w:tcPr>
            <w:tcW w:type="dxa" w:w="2592"/>
            <w:vAlign w:val="center"/>
          </w:tcPr>
          <w:p>
            <w:r/>
            <w:r>
              <w:rPr>
                <w:rFonts w:ascii="Calibri" w:hAnsi="Calibri"/>
                <w:color w:val="333333"/>
                <w:sz w:val="19"/>
              </w:rPr>
              <w:t>Cattle-on-Feed report</w:t>
            </w:r>
          </w:p>
        </w:tc>
        <w:tc>
          <w:tcPr>
            <w:tcW w:type="dxa" w:w="1440"/>
            <w:vAlign w:val="center"/>
          </w:tcPr>
          <w:p>
            <w:r/>
            <w:r>
              <w:rPr>
                <w:rFonts w:ascii="Calibri" w:hAnsi="Calibri"/>
                <w:color w:val="333333"/>
                <w:sz w:val="19"/>
              </w:rPr>
              <w:t>Monthly</w:t>
            </w:r>
          </w:p>
        </w:tc>
        <w:tc>
          <w:tcPr>
            <w:tcW w:type="dxa" w:w="2160"/>
            <w:vAlign w:val="center"/>
          </w:tcPr>
          <w:p>
            <w:r/>
            <w:r>
              <w:rPr>
                <w:rFonts w:ascii="Calibri" w:hAnsi="Calibri"/>
                <w:color w:val="333333"/>
                <w:sz w:val="19"/>
              </w:rPr>
              <w:t>YoY placement trends</w:t>
            </w:r>
          </w:p>
        </w:tc>
        <w:tc>
          <w:tcPr>
            <w:tcW w:type="dxa" w:w="2880"/>
            <w:vAlign w:val="center"/>
          </w:tcPr>
          <w:p>
            <w:r/>
            <w:r>
              <w:rPr>
                <w:rFonts w:ascii="Calibri" w:hAnsi="Calibri"/>
                <w:color w:val="333333"/>
                <w:sz w:val="19"/>
              </w:rPr>
              <w:t>&gt;105% of year-ago triggers review</w:t>
            </w:r>
          </w:p>
        </w:tc>
      </w:tr>
      <w:tr>
        <w:tc>
          <w:tcPr>
            <w:tcW w:type="dxa" w:w="2592"/>
            <w:shd w:val="clear" w:color="auto" w:fill="F2F2F2"/>
            <w:vAlign w:val="center"/>
          </w:tcPr>
          <w:p>
            <w:r/>
            <w:r>
              <w:rPr>
                <w:rFonts w:ascii="Calibri" w:hAnsi="Calibri"/>
                <w:color w:val="333333"/>
                <w:sz w:val="19"/>
              </w:rPr>
              <w:t>Placement/Marketing ratio</w:t>
            </w:r>
          </w:p>
        </w:tc>
        <w:tc>
          <w:tcPr>
            <w:tcW w:type="dxa" w:w="1440"/>
            <w:shd w:val="clear" w:color="auto" w:fill="F2F2F2"/>
            <w:vAlign w:val="center"/>
          </w:tcPr>
          <w:p>
            <w:r/>
            <w:r>
              <w:rPr>
                <w:rFonts w:ascii="Calibri" w:hAnsi="Calibri"/>
                <w:color w:val="333333"/>
                <w:sz w:val="19"/>
              </w:rPr>
              <w:t>Monthly</w:t>
            </w:r>
          </w:p>
        </w:tc>
        <w:tc>
          <w:tcPr>
            <w:tcW w:type="dxa" w:w="2160"/>
            <w:shd w:val="clear" w:color="auto" w:fill="F2F2F2"/>
            <w:vAlign w:val="center"/>
          </w:tcPr>
          <w:p>
            <w:r/>
            <w:r>
              <w:rPr>
                <w:rFonts w:ascii="Calibri" w:hAnsi="Calibri"/>
                <w:color w:val="333333"/>
                <w:sz w:val="19"/>
              </w:rPr>
              <w:t>Supply pipeline buildup</w:t>
            </w:r>
          </w:p>
        </w:tc>
        <w:tc>
          <w:tcPr>
            <w:tcW w:type="dxa" w:w="2880"/>
            <w:shd w:val="clear" w:color="auto" w:fill="F2F2F2"/>
            <w:vAlign w:val="center"/>
          </w:tcPr>
          <w:p>
            <w:r/>
            <w:r>
              <w:rPr>
                <w:rFonts w:ascii="Calibri" w:hAnsi="Calibri"/>
                <w:color w:val="333333"/>
                <w:sz w:val="19"/>
              </w:rPr>
              <w:t>&gt;1.10 for 3 consecutive months</w:t>
            </w:r>
          </w:p>
        </w:tc>
      </w:tr>
      <w:tr>
        <w:tc>
          <w:tcPr>
            <w:tcW w:type="dxa" w:w="2592"/>
            <w:vAlign w:val="center"/>
          </w:tcPr>
          <w:p>
            <w:r/>
            <w:r>
              <w:rPr>
                <w:rFonts w:ascii="Calibri" w:hAnsi="Calibri"/>
                <w:color w:val="333333"/>
                <w:sz w:val="19"/>
              </w:rPr>
              <w:t>CME futures curve structure</w:t>
            </w:r>
          </w:p>
        </w:tc>
        <w:tc>
          <w:tcPr>
            <w:tcW w:type="dxa" w:w="1440"/>
            <w:vAlign w:val="center"/>
          </w:tcPr>
          <w:p>
            <w:r/>
            <w:r>
              <w:rPr>
                <w:rFonts w:ascii="Calibri" w:hAnsi="Calibri"/>
                <w:color w:val="333333"/>
                <w:sz w:val="19"/>
              </w:rPr>
              <w:t>Weekly</w:t>
            </w:r>
          </w:p>
        </w:tc>
        <w:tc>
          <w:tcPr>
            <w:tcW w:type="dxa" w:w="2160"/>
            <w:vAlign w:val="center"/>
          </w:tcPr>
          <w:p>
            <w:r/>
            <w:r>
              <w:rPr>
                <w:rFonts w:ascii="Calibri" w:hAnsi="Calibri"/>
                <w:color w:val="333333"/>
                <w:sz w:val="19"/>
              </w:rPr>
              <w:t>Contango vs. backwardation</w:t>
            </w:r>
          </w:p>
        </w:tc>
        <w:tc>
          <w:tcPr>
            <w:tcW w:type="dxa" w:w="2880"/>
            <w:vAlign w:val="center"/>
          </w:tcPr>
          <w:p>
            <w:r/>
            <w:r>
              <w:rPr>
                <w:rFonts w:ascii="Calibri" w:hAnsi="Calibri"/>
                <w:color w:val="333333"/>
                <w:sz w:val="19"/>
              </w:rPr>
              <w:t>Shift to contango = bearish signal</w:t>
            </w:r>
          </w:p>
        </w:tc>
      </w:tr>
      <w:tr>
        <w:tc>
          <w:tcPr>
            <w:tcW w:type="dxa" w:w="2592"/>
            <w:shd w:val="clear" w:color="auto" w:fill="F2F2F2"/>
            <w:vAlign w:val="center"/>
          </w:tcPr>
          <w:p>
            <w:r/>
            <w:r>
              <w:rPr>
                <w:rFonts w:ascii="Calibri" w:hAnsi="Calibri"/>
                <w:color w:val="333333"/>
                <w:sz w:val="19"/>
              </w:rPr>
              <w:t>Feeder cattle basis</w:t>
            </w:r>
          </w:p>
        </w:tc>
        <w:tc>
          <w:tcPr>
            <w:tcW w:type="dxa" w:w="1440"/>
            <w:shd w:val="clear" w:color="auto" w:fill="F2F2F2"/>
            <w:vAlign w:val="center"/>
          </w:tcPr>
          <w:p>
            <w:r/>
            <w:r>
              <w:rPr>
                <w:rFonts w:ascii="Calibri" w:hAnsi="Calibri"/>
                <w:color w:val="333333"/>
                <w:sz w:val="19"/>
              </w:rPr>
              <w:t>Weekly</w:t>
            </w:r>
          </w:p>
        </w:tc>
        <w:tc>
          <w:tcPr>
            <w:tcW w:type="dxa" w:w="2160"/>
            <w:shd w:val="clear" w:color="auto" w:fill="F2F2F2"/>
            <w:vAlign w:val="center"/>
          </w:tcPr>
          <w:p>
            <w:r/>
            <w:r>
              <w:rPr>
                <w:rFonts w:ascii="Calibri" w:hAnsi="Calibri"/>
                <w:color w:val="333333"/>
                <w:sz w:val="19"/>
              </w:rPr>
              <w:t>Regional price dislocation</w:t>
            </w:r>
          </w:p>
        </w:tc>
        <w:tc>
          <w:tcPr>
            <w:tcW w:type="dxa" w:w="2880"/>
            <w:shd w:val="clear" w:color="auto" w:fill="F2F2F2"/>
            <w:vAlign w:val="center"/>
          </w:tcPr>
          <w:p>
            <w:r/>
            <w:r>
              <w:rPr>
                <w:rFonts w:ascii="Calibri" w:hAnsi="Calibri"/>
                <w:color w:val="333333"/>
                <w:sz w:val="19"/>
              </w:rPr>
              <w:t>&gt;$5 deviation from 5yr avg</w:t>
            </w:r>
          </w:p>
        </w:tc>
      </w:tr>
      <w:tr>
        <w:tc>
          <w:tcPr>
            <w:tcW w:type="dxa" w:w="2592"/>
            <w:vAlign w:val="center"/>
          </w:tcPr>
          <w:p>
            <w:r/>
            <w:r>
              <w:rPr>
                <w:rFonts w:ascii="Calibri" w:hAnsi="Calibri"/>
                <w:color w:val="333333"/>
                <w:sz w:val="19"/>
              </w:rPr>
              <w:t>Packer capacity utilization</w:t>
            </w:r>
          </w:p>
        </w:tc>
        <w:tc>
          <w:tcPr>
            <w:tcW w:type="dxa" w:w="1440"/>
            <w:vAlign w:val="center"/>
          </w:tcPr>
          <w:p>
            <w:r/>
            <w:r>
              <w:rPr>
                <w:rFonts w:ascii="Calibri" w:hAnsi="Calibri"/>
                <w:color w:val="333333"/>
                <w:sz w:val="19"/>
              </w:rPr>
              <w:t>Monthly</w:t>
            </w:r>
          </w:p>
        </w:tc>
        <w:tc>
          <w:tcPr>
            <w:tcW w:type="dxa" w:w="2160"/>
            <w:vAlign w:val="center"/>
          </w:tcPr>
          <w:p>
            <w:r/>
            <w:r>
              <w:rPr>
                <w:rFonts w:ascii="Calibri" w:hAnsi="Calibri"/>
                <w:color w:val="333333"/>
                <w:sz w:val="19"/>
              </w:rPr>
              <w:t>Processing bottleneck</w:t>
            </w:r>
          </w:p>
        </w:tc>
        <w:tc>
          <w:tcPr>
            <w:tcW w:type="dxa" w:w="2880"/>
            <w:vAlign w:val="center"/>
          </w:tcPr>
          <w:p>
            <w:r/>
            <w:r>
              <w:rPr>
                <w:rFonts w:ascii="Calibri" w:hAnsi="Calibri"/>
                <w:color w:val="333333"/>
                <w:sz w:val="19"/>
              </w:rPr>
              <w:t>&lt;85% signals margin pressure</w:t>
            </w:r>
          </w:p>
        </w:tc>
      </w:tr>
    </w:tbl>
    <w:p>
      <w:pPr>
        <w:spacing w:before="0" w:after="160" w:line="288" w:lineRule="auto"/>
      </w:pPr>
      <w:r>
        <w:rPr>
          <w:rFonts w:ascii="Calibri" w:hAnsi="Calibri"/>
          <w:b w:val="0"/>
          <w:i w:val="0"/>
        </w:rPr>
      </w:r>
    </w:p>
    <w:p>
      <w:pPr>
        <w:pStyle w:val="Heading2"/>
        <w:spacing w:before="280" w:after="120" w:line="276" w:lineRule="auto"/>
      </w:pPr>
      <w:r>
        <w:t>6.2 Market Share Indicators</w:t>
      </w:r>
    </w:p>
    <w:tbl>
      <w:tblPr>
        <w:tblW w:type="auto" w:w="0"/>
        <w:jc w:val="center"/>
        <w:tblLook w:firstColumn="1" w:firstRow="1" w:lastColumn="0" w:lastRow="0" w:noHBand="0" w:noVBand="1" w:val="04A0"/>
      </w:tblPr>
      <w:tblGrid>
        <w:gridCol w:w="2340"/>
        <w:gridCol w:w="2340"/>
        <w:gridCol w:w="2340"/>
        <w:gridCol w:w="2340"/>
      </w:tblGrid>
      <w:tr>
        <w:tc>
          <w:tcPr>
            <w:tcW w:type="dxa" w:w="2592"/>
            <w:shd w:val="clear" w:color="auto" w:fill="003A70"/>
            <w:vAlign w:val="center"/>
          </w:tcPr>
          <w:p>
            <w:r/>
            <w:r>
              <w:rPr>
                <w:rFonts w:ascii="Calibri" w:hAnsi="Calibri"/>
                <w:b/>
                <w:color w:val="FFFFFF"/>
                <w:sz w:val="19"/>
              </w:rPr>
              <w:t>Indicator</w:t>
            </w:r>
          </w:p>
        </w:tc>
        <w:tc>
          <w:tcPr>
            <w:tcW w:type="dxa" w:w="1440"/>
            <w:shd w:val="clear" w:color="auto" w:fill="003A70"/>
            <w:vAlign w:val="center"/>
          </w:tcPr>
          <w:p>
            <w:r/>
            <w:r>
              <w:rPr>
                <w:rFonts w:ascii="Calibri" w:hAnsi="Calibri"/>
                <w:b/>
                <w:color w:val="FFFFFF"/>
                <w:sz w:val="19"/>
              </w:rPr>
              <w:t>Frequency</w:t>
            </w:r>
          </w:p>
        </w:tc>
        <w:tc>
          <w:tcPr>
            <w:tcW w:type="dxa" w:w="2160"/>
            <w:shd w:val="clear" w:color="auto" w:fill="003A70"/>
            <w:vAlign w:val="center"/>
          </w:tcPr>
          <w:p>
            <w:r/>
            <w:r>
              <w:rPr>
                <w:rFonts w:ascii="Calibri" w:hAnsi="Calibri"/>
                <w:b/>
                <w:color w:val="FFFFFF"/>
                <w:sz w:val="19"/>
              </w:rPr>
              <w:t>Signal</w:t>
            </w:r>
          </w:p>
        </w:tc>
        <w:tc>
          <w:tcPr>
            <w:tcW w:type="dxa" w:w="2880"/>
            <w:shd w:val="clear" w:color="auto" w:fill="003A70"/>
            <w:vAlign w:val="center"/>
          </w:tcPr>
          <w:p>
            <w:r/>
            <w:r>
              <w:rPr>
                <w:rFonts w:ascii="Calibri" w:hAnsi="Calibri"/>
                <w:b/>
                <w:color w:val="FFFFFF"/>
                <w:sz w:val="19"/>
              </w:rPr>
              <w:t>Action Trigger</w:t>
            </w:r>
          </w:p>
        </w:tc>
      </w:tr>
      <w:tr>
        <w:tc>
          <w:tcPr>
            <w:tcW w:type="dxa" w:w="2592"/>
            <w:vAlign w:val="center"/>
          </w:tcPr>
          <w:p>
            <w:r/>
            <w:r>
              <w:rPr>
                <w:rFonts w:ascii="Calibri" w:hAnsi="Calibri"/>
                <w:color w:val="333333"/>
                <w:sz w:val="19"/>
              </w:rPr>
              <w:t>Transaction volume (YTD vs plan)</w:t>
            </w:r>
          </w:p>
        </w:tc>
        <w:tc>
          <w:tcPr>
            <w:tcW w:type="dxa" w:w="1440"/>
            <w:vAlign w:val="center"/>
          </w:tcPr>
          <w:p>
            <w:r/>
            <w:r>
              <w:rPr>
                <w:rFonts w:ascii="Calibri" w:hAnsi="Calibri"/>
                <w:color w:val="333333"/>
                <w:sz w:val="19"/>
              </w:rPr>
              <w:t>Monthly</w:t>
            </w:r>
          </w:p>
        </w:tc>
        <w:tc>
          <w:tcPr>
            <w:tcW w:type="dxa" w:w="2160"/>
            <w:vAlign w:val="center"/>
          </w:tcPr>
          <w:p>
            <w:r/>
            <w:r>
              <w:rPr>
                <w:rFonts w:ascii="Calibri" w:hAnsi="Calibri"/>
                <w:color w:val="333333"/>
                <w:sz w:val="19"/>
              </w:rPr>
              <w:t>Volume trajectory</w:t>
            </w:r>
          </w:p>
        </w:tc>
        <w:tc>
          <w:tcPr>
            <w:tcW w:type="dxa" w:w="2880"/>
            <w:vAlign w:val="center"/>
          </w:tcPr>
          <w:p>
            <w:r/>
            <w:r>
              <w:rPr>
                <w:rFonts w:ascii="Calibri" w:hAnsi="Calibri"/>
                <w:color w:val="333333"/>
                <w:sz w:val="19"/>
              </w:rPr>
              <w:t>&gt;5% below plan for 2 months</w:t>
            </w:r>
          </w:p>
        </w:tc>
      </w:tr>
      <w:tr>
        <w:tc>
          <w:tcPr>
            <w:tcW w:type="dxa" w:w="2592"/>
            <w:shd w:val="clear" w:color="auto" w:fill="F2F2F2"/>
            <w:vAlign w:val="center"/>
          </w:tcPr>
          <w:p>
            <w:r/>
            <w:r>
              <w:rPr>
                <w:rFonts w:ascii="Calibri" w:hAnsi="Calibri"/>
                <w:color w:val="333333"/>
                <w:sz w:val="19"/>
              </w:rPr>
              <w:t>Member retention (12m rolling)</w:t>
            </w:r>
          </w:p>
        </w:tc>
        <w:tc>
          <w:tcPr>
            <w:tcW w:type="dxa" w:w="1440"/>
            <w:shd w:val="clear" w:color="auto" w:fill="F2F2F2"/>
            <w:vAlign w:val="center"/>
          </w:tcPr>
          <w:p>
            <w:r/>
            <w:r>
              <w:rPr>
                <w:rFonts w:ascii="Calibri" w:hAnsi="Calibri"/>
                <w:color w:val="333333"/>
                <w:sz w:val="19"/>
              </w:rPr>
              <w:t>Monthly</w:t>
            </w:r>
          </w:p>
        </w:tc>
        <w:tc>
          <w:tcPr>
            <w:tcW w:type="dxa" w:w="2160"/>
            <w:shd w:val="clear" w:color="auto" w:fill="F2F2F2"/>
            <w:vAlign w:val="center"/>
          </w:tcPr>
          <w:p>
            <w:r/>
            <w:r>
              <w:rPr>
                <w:rFonts w:ascii="Calibri" w:hAnsi="Calibri"/>
                <w:color w:val="333333"/>
                <w:sz w:val="19"/>
              </w:rPr>
              <w:t>Relationship health</w:t>
            </w:r>
          </w:p>
        </w:tc>
        <w:tc>
          <w:tcPr>
            <w:tcW w:type="dxa" w:w="2880"/>
            <w:shd w:val="clear" w:color="auto" w:fill="F2F2F2"/>
            <w:vAlign w:val="center"/>
          </w:tcPr>
          <w:p>
            <w:r/>
            <w:r>
              <w:rPr>
                <w:rFonts w:ascii="Calibri" w:hAnsi="Calibri"/>
                <w:color w:val="333333"/>
                <w:sz w:val="19"/>
              </w:rPr>
              <w:t>&lt;90% triggers retention campaign</w:t>
            </w:r>
          </w:p>
        </w:tc>
      </w:tr>
      <w:tr>
        <w:tc>
          <w:tcPr>
            <w:tcW w:type="dxa" w:w="2592"/>
            <w:vAlign w:val="center"/>
          </w:tcPr>
          <w:p>
            <w:r/>
            <w:r>
              <w:rPr>
                <w:rFonts w:ascii="Calibri" w:hAnsi="Calibri"/>
                <w:color w:val="333333"/>
                <w:sz w:val="19"/>
              </w:rPr>
              <w:t>New member acquisitions</w:t>
            </w:r>
          </w:p>
        </w:tc>
        <w:tc>
          <w:tcPr>
            <w:tcW w:type="dxa" w:w="1440"/>
            <w:vAlign w:val="center"/>
          </w:tcPr>
          <w:p>
            <w:r/>
            <w:r>
              <w:rPr>
                <w:rFonts w:ascii="Calibri" w:hAnsi="Calibri"/>
                <w:color w:val="333333"/>
                <w:sz w:val="19"/>
              </w:rPr>
              <w:t>Monthly</w:t>
            </w:r>
          </w:p>
        </w:tc>
        <w:tc>
          <w:tcPr>
            <w:tcW w:type="dxa" w:w="2160"/>
            <w:vAlign w:val="center"/>
          </w:tcPr>
          <w:p>
            <w:r/>
            <w:r>
              <w:rPr>
                <w:rFonts w:ascii="Calibri" w:hAnsi="Calibri"/>
                <w:color w:val="333333"/>
                <w:sz w:val="19"/>
              </w:rPr>
              <w:t>Growth pipeline</w:t>
            </w:r>
          </w:p>
        </w:tc>
        <w:tc>
          <w:tcPr>
            <w:tcW w:type="dxa" w:w="2880"/>
            <w:vAlign w:val="center"/>
          </w:tcPr>
          <w:p>
            <w:r/>
            <w:r>
              <w:rPr>
                <w:rFonts w:ascii="Calibri" w:hAnsi="Calibri"/>
                <w:color w:val="333333"/>
                <w:sz w:val="19"/>
              </w:rPr>
              <w:t>&lt;80% of annual target pace</w:t>
            </w:r>
          </w:p>
        </w:tc>
      </w:tr>
      <w:tr>
        <w:tc>
          <w:tcPr>
            <w:tcW w:type="dxa" w:w="2592"/>
            <w:shd w:val="clear" w:color="auto" w:fill="F2F2F2"/>
            <w:vAlign w:val="center"/>
          </w:tcPr>
          <w:p>
            <w:r/>
            <w:r>
              <w:rPr>
                <w:rFonts w:ascii="Calibri" w:hAnsi="Calibri"/>
                <w:color w:val="333333"/>
                <w:sz w:val="19"/>
              </w:rPr>
              <w:t>Digital competitor penetration</w:t>
            </w:r>
          </w:p>
        </w:tc>
        <w:tc>
          <w:tcPr>
            <w:tcW w:type="dxa" w:w="1440"/>
            <w:shd w:val="clear" w:color="auto" w:fill="F2F2F2"/>
            <w:vAlign w:val="center"/>
          </w:tcPr>
          <w:p>
            <w:r/>
            <w:r>
              <w:rPr>
                <w:rFonts w:ascii="Calibri" w:hAnsi="Calibri"/>
                <w:color w:val="333333"/>
                <w:sz w:val="19"/>
              </w:rPr>
              <w:t>Quarterly</w:t>
            </w:r>
          </w:p>
        </w:tc>
        <w:tc>
          <w:tcPr>
            <w:tcW w:type="dxa" w:w="2160"/>
            <w:shd w:val="clear" w:color="auto" w:fill="F2F2F2"/>
            <w:vAlign w:val="center"/>
          </w:tcPr>
          <w:p>
            <w:r/>
            <w:r>
              <w:rPr>
                <w:rFonts w:ascii="Calibri" w:hAnsi="Calibri"/>
                <w:color w:val="333333"/>
                <w:sz w:val="19"/>
              </w:rPr>
              <w:t>Disintermediation speed</w:t>
            </w:r>
          </w:p>
        </w:tc>
        <w:tc>
          <w:tcPr>
            <w:tcW w:type="dxa" w:w="2880"/>
            <w:shd w:val="clear" w:color="auto" w:fill="F2F2F2"/>
            <w:vAlign w:val="center"/>
          </w:tcPr>
          <w:p>
            <w:r/>
            <w:r>
              <w:rPr>
                <w:rFonts w:ascii="Calibri" w:hAnsi="Calibri"/>
                <w:color w:val="333333"/>
                <w:sz w:val="19"/>
              </w:rPr>
              <w:t>&gt;35% triggers defensive action</w:t>
            </w:r>
          </w:p>
        </w:tc>
      </w:tr>
      <w:tr>
        <w:tc>
          <w:tcPr>
            <w:tcW w:type="dxa" w:w="2592"/>
            <w:vAlign w:val="center"/>
          </w:tcPr>
          <w:p>
            <w:r/>
            <w:r>
              <w:rPr>
                <w:rFonts w:ascii="Calibri" w:hAnsi="Calibri"/>
                <w:color w:val="333333"/>
                <w:sz w:val="19"/>
              </w:rPr>
              <w:t>Top-10 member concentration</w:t>
            </w:r>
          </w:p>
        </w:tc>
        <w:tc>
          <w:tcPr>
            <w:tcW w:type="dxa" w:w="1440"/>
            <w:vAlign w:val="center"/>
          </w:tcPr>
          <w:p>
            <w:r/>
            <w:r>
              <w:rPr>
                <w:rFonts w:ascii="Calibri" w:hAnsi="Calibri"/>
                <w:color w:val="333333"/>
                <w:sz w:val="19"/>
              </w:rPr>
              <w:t>Quarterly</w:t>
            </w:r>
          </w:p>
        </w:tc>
        <w:tc>
          <w:tcPr>
            <w:tcW w:type="dxa" w:w="2160"/>
            <w:vAlign w:val="center"/>
          </w:tcPr>
          <w:p>
            <w:r/>
            <w:r>
              <w:rPr>
                <w:rFonts w:ascii="Calibri" w:hAnsi="Calibri"/>
                <w:color w:val="333333"/>
                <w:sz w:val="19"/>
              </w:rPr>
              <w:t>Dependency risk</w:t>
            </w:r>
          </w:p>
        </w:tc>
        <w:tc>
          <w:tcPr>
            <w:tcW w:type="dxa" w:w="2880"/>
            <w:vAlign w:val="center"/>
          </w:tcPr>
          <w:p>
            <w:r/>
            <w:r>
              <w:rPr>
                <w:rFonts w:ascii="Calibri" w:hAnsi="Calibri"/>
                <w:color w:val="333333"/>
                <w:sz w:val="19"/>
              </w:rPr>
              <w:t>&gt;40% of volume</w:t>
            </w:r>
          </w:p>
        </w:tc>
      </w:tr>
    </w:tbl>
    <w:p>
      <w:pPr>
        <w:spacing w:before="0" w:after="160" w:line="288" w:lineRule="auto"/>
      </w:pPr>
      <w:r>
        <w:rPr>
          <w:rFonts w:ascii="Calibri" w:hAnsi="Calibri"/>
          <w:b w:val="0"/>
          <w:i w:val="0"/>
        </w:rPr>
      </w:r>
    </w:p>
    <w:p>
      <w:pPr>
        <w:pStyle w:val="Heading2"/>
        <w:spacing w:before="280" w:after="120" w:line="276" w:lineRule="auto"/>
      </w:pPr>
      <w:r>
        <w:t>6.3 Generational Indicators</w:t>
      </w:r>
    </w:p>
    <w:tbl>
      <w:tblPr>
        <w:tblW w:type="auto" w:w="0"/>
        <w:jc w:val="center"/>
        <w:tblLook w:firstColumn="1" w:firstRow="1" w:lastColumn="0" w:lastRow="0" w:noHBand="0" w:noVBand="1" w:val="04A0"/>
      </w:tblPr>
      <w:tblGrid>
        <w:gridCol w:w="2340"/>
        <w:gridCol w:w="2340"/>
        <w:gridCol w:w="2340"/>
        <w:gridCol w:w="2340"/>
      </w:tblGrid>
      <w:tr>
        <w:tc>
          <w:tcPr>
            <w:tcW w:type="dxa" w:w="2592"/>
            <w:shd w:val="clear" w:color="auto" w:fill="003A70"/>
            <w:vAlign w:val="center"/>
          </w:tcPr>
          <w:p>
            <w:r/>
            <w:r>
              <w:rPr>
                <w:rFonts w:ascii="Calibri" w:hAnsi="Calibri"/>
                <w:b/>
                <w:color w:val="FFFFFF"/>
                <w:sz w:val="19"/>
              </w:rPr>
              <w:t>Indicator</w:t>
            </w:r>
          </w:p>
        </w:tc>
        <w:tc>
          <w:tcPr>
            <w:tcW w:type="dxa" w:w="1440"/>
            <w:shd w:val="clear" w:color="auto" w:fill="003A70"/>
            <w:vAlign w:val="center"/>
          </w:tcPr>
          <w:p>
            <w:r/>
            <w:r>
              <w:rPr>
                <w:rFonts w:ascii="Calibri" w:hAnsi="Calibri"/>
                <w:b/>
                <w:color w:val="FFFFFF"/>
                <w:sz w:val="19"/>
              </w:rPr>
              <w:t>Frequency</w:t>
            </w:r>
          </w:p>
        </w:tc>
        <w:tc>
          <w:tcPr>
            <w:tcW w:type="dxa" w:w="2160"/>
            <w:shd w:val="clear" w:color="auto" w:fill="003A70"/>
            <w:vAlign w:val="center"/>
          </w:tcPr>
          <w:p>
            <w:r/>
            <w:r>
              <w:rPr>
                <w:rFonts w:ascii="Calibri" w:hAnsi="Calibri"/>
                <w:b/>
                <w:color w:val="FFFFFF"/>
                <w:sz w:val="19"/>
              </w:rPr>
              <w:t>Signal</w:t>
            </w:r>
          </w:p>
        </w:tc>
        <w:tc>
          <w:tcPr>
            <w:tcW w:type="dxa" w:w="2880"/>
            <w:shd w:val="clear" w:color="auto" w:fill="003A70"/>
            <w:vAlign w:val="center"/>
          </w:tcPr>
          <w:p>
            <w:r/>
            <w:r>
              <w:rPr>
                <w:rFonts w:ascii="Calibri" w:hAnsi="Calibri"/>
                <w:b/>
                <w:color w:val="FFFFFF"/>
                <w:sz w:val="19"/>
              </w:rPr>
              <w:t>Action Trigger</w:t>
            </w:r>
          </w:p>
        </w:tc>
      </w:tr>
      <w:tr>
        <w:tc>
          <w:tcPr>
            <w:tcW w:type="dxa" w:w="2592"/>
            <w:vAlign w:val="center"/>
          </w:tcPr>
          <w:p>
            <w:r/>
            <w:r>
              <w:rPr>
                <w:rFonts w:ascii="Calibri" w:hAnsi="Calibri"/>
                <w:color w:val="333333"/>
                <w:sz w:val="19"/>
              </w:rPr>
              <w:t>Average member age</w:t>
            </w:r>
          </w:p>
        </w:tc>
        <w:tc>
          <w:tcPr>
            <w:tcW w:type="dxa" w:w="1440"/>
            <w:vAlign w:val="center"/>
          </w:tcPr>
          <w:p>
            <w:r/>
            <w:r>
              <w:rPr>
                <w:rFonts w:ascii="Calibri" w:hAnsi="Calibri"/>
                <w:color w:val="333333"/>
                <w:sz w:val="19"/>
              </w:rPr>
              <w:t>Annually</w:t>
            </w:r>
          </w:p>
        </w:tc>
        <w:tc>
          <w:tcPr>
            <w:tcW w:type="dxa" w:w="2160"/>
            <w:vAlign w:val="center"/>
          </w:tcPr>
          <w:p>
            <w:r/>
            <w:r>
              <w:rPr>
                <w:rFonts w:ascii="Calibri" w:hAnsi="Calibri"/>
                <w:color w:val="333333"/>
                <w:sz w:val="19"/>
              </w:rPr>
              <w:t>Aging trajectory</w:t>
            </w:r>
          </w:p>
        </w:tc>
        <w:tc>
          <w:tcPr>
            <w:tcW w:type="dxa" w:w="2880"/>
            <w:vAlign w:val="center"/>
          </w:tcPr>
          <w:p>
            <w:r/>
            <w:r>
              <w:rPr>
                <w:rFonts w:ascii="Calibri" w:hAnsi="Calibri"/>
                <w:color w:val="333333"/>
                <w:sz w:val="19"/>
              </w:rPr>
              <w:t>&gt;60 triggers acceleration</w:t>
            </w:r>
          </w:p>
        </w:tc>
      </w:tr>
      <w:tr>
        <w:tc>
          <w:tcPr>
            <w:tcW w:type="dxa" w:w="2592"/>
            <w:shd w:val="clear" w:color="auto" w:fill="F2F2F2"/>
            <w:vAlign w:val="center"/>
          </w:tcPr>
          <w:p>
            <w:r/>
            <w:r>
              <w:rPr>
                <w:rFonts w:ascii="Calibri" w:hAnsi="Calibri"/>
                <w:color w:val="333333"/>
                <w:sz w:val="19"/>
              </w:rPr>
              <w:t>Young Rancher Program enrollment</w:t>
            </w:r>
          </w:p>
        </w:tc>
        <w:tc>
          <w:tcPr>
            <w:tcW w:type="dxa" w:w="1440"/>
            <w:shd w:val="clear" w:color="auto" w:fill="F2F2F2"/>
            <w:vAlign w:val="center"/>
          </w:tcPr>
          <w:p>
            <w:r/>
            <w:r>
              <w:rPr>
                <w:rFonts w:ascii="Calibri" w:hAnsi="Calibri"/>
                <w:color w:val="333333"/>
                <w:sz w:val="19"/>
              </w:rPr>
              <w:t>Monthly</w:t>
            </w:r>
          </w:p>
        </w:tc>
        <w:tc>
          <w:tcPr>
            <w:tcW w:type="dxa" w:w="2160"/>
            <w:shd w:val="clear" w:color="auto" w:fill="F2F2F2"/>
            <w:vAlign w:val="center"/>
          </w:tcPr>
          <w:p>
            <w:r/>
            <w:r>
              <w:rPr>
                <w:rFonts w:ascii="Calibri" w:hAnsi="Calibri"/>
                <w:color w:val="333333"/>
                <w:sz w:val="19"/>
              </w:rPr>
              <w:t>Pipeline health</w:t>
            </w:r>
          </w:p>
        </w:tc>
        <w:tc>
          <w:tcPr>
            <w:tcW w:type="dxa" w:w="2880"/>
            <w:shd w:val="clear" w:color="auto" w:fill="F2F2F2"/>
            <w:vAlign w:val="center"/>
          </w:tcPr>
          <w:p>
            <w:r/>
            <w:r>
              <w:rPr>
                <w:rFonts w:ascii="Calibri" w:hAnsi="Calibri"/>
                <w:color w:val="333333"/>
                <w:sz w:val="19"/>
              </w:rPr>
              <w:t>&lt;100/yr by Year 2</w:t>
            </w:r>
          </w:p>
        </w:tc>
      </w:tr>
      <w:tr>
        <w:tc>
          <w:tcPr>
            <w:tcW w:type="dxa" w:w="2592"/>
            <w:vAlign w:val="center"/>
          </w:tcPr>
          <w:p>
            <w:r/>
            <w:r>
              <w:rPr>
                <w:rFonts w:ascii="Calibri" w:hAnsi="Calibri"/>
                <w:color w:val="333333"/>
                <w:sz w:val="19"/>
              </w:rPr>
              <w:t>Succession transfers completed</w:t>
            </w:r>
          </w:p>
        </w:tc>
        <w:tc>
          <w:tcPr>
            <w:tcW w:type="dxa" w:w="1440"/>
            <w:vAlign w:val="center"/>
          </w:tcPr>
          <w:p>
            <w:r/>
            <w:r>
              <w:rPr>
                <w:rFonts w:ascii="Calibri" w:hAnsi="Calibri"/>
                <w:color w:val="333333"/>
                <w:sz w:val="19"/>
              </w:rPr>
              <w:t>Quarterly</w:t>
            </w:r>
          </w:p>
        </w:tc>
        <w:tc>
          <w:tcPr>
            <w:tcW w:type="dxa" w:w="2160"/>
            <w:vAlign w:val="center"/>
          </w:tcPr>
          <w:p>
            <w:r/>
            <w:r>
              <w:rPr>
                <w:rFonts w:ascii="Calibri" w:hAnsi="Calibri"/>
                <w:color w:val="333333"/>
                <w:sz w:val="19"/>
              </w:rPr>
              <w:t>Retention through transfer</w:t>
            </w:r>
          </w:p>
        </w:tc>
        <w:tc>
          <w:tcPr>
            <w:tcW w:type="dxa" w:w="2880"/>
            <w:vAlign w:val="center"/>
          </w:tcPr>
          <w:p>
            <w:r/>
            <w:r>
              <w:rPr>
                <w:rFonts w:ascii="Calibri" w:hAnsi="Calibri"/>
                <w:color w:val="333333"/>
                <w:sz w:val="19"/>
              </w:rPr>
              <w:t>&lt;30% retention rate</w:t>
            </w:r>
          </w:p>
        </w:tc>
      </w:tr>
      <w:tr>
        <w:tc>
          <w:tcPr>
            <w:tcW w:type="dxa" w:w="2592"/>
            <w:shd w:val="clear" w:color="auto" w:fill="F2F2F2"/>
            <w:vAlign w:val="center"/>
          </w:tcPr>
          <w:p>
            <w:r/>
            <w:r>
              <w:rPr>
                <w:rFonts w:ascii="Calibri" w:hAnsi="Calibri"/>
                <w:color w:val="333333"/>
                <w:sz w:val="19"/>
              </w:rPr>
              <w:t>University partnership engagement</w:t>
            </w:r>
          </w:p>
        </w:tc>
        <w:tc>
          <w:tcPr>
            <w:tcW w:type="dxa" w:w="1440"/>
            <w:shd w:val="clear" w:color="auto" w:fill="F2F2F2"/>
            <w:vAlign w:val="center"/>
          </w:tcPr>
          <w:p>
            <w:r/>
            <w:r>
              <w:rPr>
                <w:rFonts w:ascii="Calibri" w:hAnsi="Calibri"/>
                <w:color w:val="333333"/>
                <w:sz w:val="19"/>
              </w:rPr>
              <w:t>Quarterly</w:t>
            </w:r>
          </w:p>
        </w:tc>
        <w:tc>
          <w:tcPr>
            <w:tcW w:type="dxa" w:w="2160"/>
            <w:shd w:val="clear" w:color="auto" w:fill="F2F2F2"/>
            <w:vAlign w:val="center"/>
          </w:tcPr>
          <w:p>
            <w:r/>
            <w:r>
              <w:rPr>
                <w:rFonts w:ascii="Calibri" w:hAnsi="Calibri"/>
                <w:color w:val="333333"/>
                <w:sz w:val="19"/>
              </w:rPr>
              <w:t>Pipeline development</w:t>
            </w:r>
          </w:p>
        </w:tc>
        <w:tc>
          <w:tcPr>
            <w:tcW w:type="dxa" w:w="2880"/>
            <w:shd w:val="clear" w:color="auto" w:fill="F2F2F2"/>
            <w:vAlign w:val="center"/>
          </w:tcPr>
          <w:p>
            <w:r/>
            <w:r>
              <w:rPr>
                <w:rFonts w:ascii="Calibri" w:hAnsi="Calibri"/>
                <w:color w:val="333333"/>
                <w:sz w:val="19"/>
              </w:rPr>
              <w:t>&lt;3 active partnerships</w:t>
            </w:r>
          </w:p>
        </w:tc>
      </w:tr>
    </w:tbl>
    <w:p>
      <w:pPr>
        <w:spacing w:before="0" w:after="160" w:line="288" w:lineRule="auto"/>
      </w:pPr>
      <w:r>
        <w:rPr>
          <w:rFonts w:ascii="Calibri" w:hAnsi="Calibri"/>
          <w:b w:val="0"/>
          <w:i w:val="0"/>
        </w:rPr>
      </w:r>
    </w:p>
    <w:p>
      <w:r>
        <w:br w:type="page"/>
      </w:r>
    </w:p>
    <w:p>
      <w:pPr>
        <w:pStyle w:val="Heading1"/>
        <w:spacing w:before="0" w:after="240" w:line="276" w:lineRule="auto"/>
        <w:pBdr>
          <w:bottom w:val="single" w:sz="12" w:space="4" w:color="003A70"/>
        </w:pBdr>
      </w:pPr>
      <w:r>
        <w:t>7. Mitigation Strategy &amp; Implementation Roadmap</w:t>
      </w:r>
    </w:p>
    <w:p>
      <w:pPr>
        <w:spacing w:before="0" w:after="160" w:line="300" w:lineRule="auto"/>
      </w:pPr>
      <w:r>
        <w:rPr>
          <w:rFonts w:ascii="Calibri" w:hAnsi="Calibri"/>
          <w:b w:val="0"/>
          <w:i w:val="0"/>
          <w:sz w:val="21"/>
        </w:rPr>
        <w:t>The mitigation strategy addresses all three risk pillars — price, market share, and generational succession — through a unified Three Horizons framework consistent with Reports #1 and #2.</w:t>
      </w:r>
    </w:p>
    <w:p>
      <w:pPr>
        <w:pStyle w:val="Heading2"/>
        <w:spacing w:before="280" w:after="120" w:line="276" w:lineRule="auto"/>
      </w:pPr>
      <w:r>
        <w:t>7.1 Price Risk Mitigation Toolkit</w:t>
      </w:r>
    </w:p>
    <w:p>
      <w:pPr>
        <w:pStyle w:val="Heading3"/>
        <w:spacing w:before="200" w:after="80" w:line="276" w:lineRule="auto"/>
      </w:pPr>
      <w:r>
        <w:t>7.1.1 Hedging Overlay on Company-Owned Cattle</w:t>
      </w:r>
    </w:p>
    <w:tbl>
      <w:tblPr>
        <w:tblW w:type="auto" w:w="0"/>
        <w:tblLook w:firstColumn="1" w:firstRow="1" w:lastColumn="0" w:lastRow="0" w:noHBand="0" w:noVBand="1" w:val="04A0"/>
      </w:tblPr>
      <w:tblGrid>
        <w:gridCol w:w="9360"/>
      </w:tblGrid>
      <w:tr>
        <w:tc>
          <w:tcPr>
            <w:tcW w:type="dxa" w:w="9360"/>
            <w:shd w:val="clear" w:color="auto" w:fill="E8D5F0"/>
            <w:tcBorders>
              <w:top w:val="single" w:sz="4" w:color="68217A" w:space="0"/>
              <w:left w:val="single" w:sz="36" w:color="68217A" w:space="0"/>
              <w:bottom w:val="single" w:sz="4" w:color="68217A" w:space="0"/>
              <w:right w:val="single" w:sz="4" w:color="68217A" w:space="0"/>
            </w:tcBorders>
          </w:tcPr>
          <w:p>
            <w:pPr>
              <w:spacing w:before="0" w:after="60" w:line="276" w:lineRule="auto"/>
            </w:pPr>
            <w:r/>
            <w:r>
              <w:rPr>
                <w:rFonts w:ascii="Calibri" w:hAnsi="Calibri"/>
                <w:b/>
                <w:color w:val="68217A"/>
                <w:sz w:val="18"/>
              </w:rPr>
              <w:t>CONNECTION TO REPORT #1</w:t>
            </w:r>
          </w:p>
          <w:p>
            <w:pPr>
              <w:spacing w:before="0" w:after="80" w:line="288" w:lineRule="auto"/>
            </w:pPr>
            <w:r>
              <w:rPr>
                <w:rFonts w:ascii="Calibri" w:hAnsi="Calibri"/>
                <w:color w:val="333333"/>
                <w:sz w:val="20"/>
              </w:rPr>
              <w:t>Report #1 recommended a hedging program for the consignment-to-settlement window (Section 6.2). This report extends that program to cover company-owned inventory specifically. Costs here are ADDITIVE — the $300K hedging build-out covers additional positions and basis management infrastructure beyond Report #1's $150K hedging setup.</w:t>
            </w:r>
          </w:p>
        </w:tc>
      </w:tr>
    </w:tbl>
    <w:p>
      <w:pPr>
        <w:spacing w:before="0" w:after="160" w:line="288" w:lineRule="auto"/>
      </w:pPr>
      <w:r>
        <w:rPr>
          <w:rFonts w:ascii="Calibri" w:hAnsi="Calibri"/>
          <w:b w:val="0"/>
          <w:i w:val="0"/>
        </w:rPr>
      </w:r>
    </w:p>
    <w:p>
      <w:pPr>
        <w:spacing w:before="0" w:after="160" w:line="300" w:lineRule="auto"/>
      </w:pPr>
      <w:r>
        <w:rPr>
          <w:rFonts w:ascii="Calibri" w:hAnsi="Calibri"/>
          <w:b w:val="0"/>
          <w:i w:val="0"/>
          <w:sz w:val="21"/>
        </w:rPr>
        <w:t>Implement systematic hedge coverage of 60-80% of company-owned cattle inventory. Use CME live cattle and feeder cattle futures with option overlays for basis protection. Target: reduce mark-to-market exposure from $4M (unhedged) to &lt;$1M in a 20% decline.</w:t>
      </w:r>
    </w:p>
    <w:p>
      <w:pPr>
        <w:pStyle w:val="Heading3"/>
        <w:spacing w:before="200" w:after="80" w:line="276" w:lineRule="auto"/>
      </w:pPr>
      <w:r>
        <w:t>7.1.2 Commission Structure Reform</w:t>
      </w:r>
    </w:p>
    <w:p>
      <w:pPr>
        <w:spacing w:before="0" w:after="160" w:line="300" w:lineRule="auto"/>
      </w:pPr>
      <w:r>
        <w:rPr>
          <w:rFonts w:ascii="Calibri" w:hAnsi="Calibri"/>
          <w:b w:val="0"/>
          <w:i w:val="0"/>
          <w:sz w:val="21"/>
        </w:rPr>
        <w:t>Move from pure percentage-of-sale commission to a blended model:</w:t>
      </w:r>
    </w:p>
    <w:p>
      <w:pPr>
        <w:pStyle w:val="ListBullet"/>
        <w:spacing w:before="0" w:after="80" w:line="288" w:lineRule="auto"/>
      </w:pPr>
      <w:r>
        <w:rPr>
          <w:rFonts w:ascii="Calibri" w:hAnsi="Calibri"/>
          <w:b/>
          <w:color w:val="003A70"/>
          <w:sz w:val="21"/>
        </w:rPr>
        <w:t xml:space="preserve">Floor commission: </w:t>
      </w:r>
      <w:r>
        <w:rPr>
          <w:rFonts w:ascii="Calibri" w:hAnsi="Calibri"/>
          <w:color w:val="333333"/>
          <w:sz w:val="21"/>
        </w:rPr>
        <w:t>Minimum per-head fee that provides revenue stability even in price declines.</w:t>
      </w:r>
    </w:p>
    <w:p>
      <w:pPr>
        <w:pStyle w:val="ListBullet"/>
        <w:spacing w:before="0" w:after="80" w:line="288" w:lineRule="auto"/>
      </w:pPr>
      <w:r>
        <w:rPr>
          <w:rFonts w:ascii="Calibri" w:hAnsi="Calibri"/>
          <w:b/>
          <w:color w:val="003A70"/>
          <w:sz w:val="21"/>
        </w:rPr>
        <w:t xml:space="preserve">Tiered commission: </w:t>
      </w:r>
      <w:r>
        <w:rPr>
          <w:rFonts w:ascii="Calibri" w:hAnsi="Calibri"/>
          <w:color w:val="333333"/>
          <w:sz w:val="21"/>
        </w:rPr>
        <w:t>Lower % rate on high-value cattle (incentivizes volume at peak prices).</w:t>
      </w:r>
    </w:p>
    <w:p>
      <w:pPr>
        <w:pStyle w:val="ListBullet"/>
        <w:spacing w:before="0" w:after="80" w:line="288" w:lineRule="auto"/>
      </w:pPr>
      <w:r>
        <w:rPr>
          <w:rFonts w:ascii="Calibri" w:hAnsi="Calibri"/>
          <w:b/>
          <w:color w:val="003A70"/>
          <w:sz w:val="21"/>
        </w:rPr>
        <w:t xml:space="preserve">Fee-for-service: </w:t>
      </w:r>
      <w:r>
        <w:rPr>
          <w:rFonts w:ascii="Calibri" w:hAnsi="Calibri"/>
          <w:color w:val="333333"/>
          <w:sz w:val="21"/>
        </w:rPr>
        <w:t>Unbundled advisory, hedging, and credit facilitation services priced separately.</w:t>
      </w:r>
    </w:p>
    <w:p>
      <w:pPr>
        <w:pStyle w:val="ListBullet"/>
        <w:spacing w:before="0" w:after="80" w:line="288" w:lineRule="auto"/>
      </w:pPr>
      <w:r>
        <w:rPr>
          <w:rFonts w:ascii="Calibri" w:hAnsi="Calibri"/>
          <w:b/>
          <w:color w:val="003A70"/>
          <w:sz w:val="21"/>
        </w:rPr>
        <w:t xml:space="preserve">Subscription model: </w:t>
      </w:r>
      <w:r>
        <w:rPr>
          <w:rFonts w:ascii="Calibri" w:hAnsi="Calibri"/>
          <w:color w:val="333333"/>
          <w:sz w:val="21"/>
        </w:rPr>
        <w:t>Fixed annual member fee for base services + variable commission on transactions.</w:t>
      </w:r>
    </w:p>
    <w:p>
      <w:pPr>
        <w:pStyle w:val="Heading3"/>
        <w:spacing w:before="200" w:after="80" w:line="276" w:lineRule="auto"/>
      </w:pPr>
      <w:r>
        <w:t>7.1.3 Working Capital Stress Testing</w:t>
      </w:r>
    </w:p>
    <w:p>
      <w:pPr>
        <w:spacing w:before="0" w:after="160" w:line="300" w:lineRule="auto"/>
      </w:pPr>
      <w:r>
        <w:rPr>
          <w:rFonts w:ascii="Calibri" w:hAnsi="Calibri"/>
          <w:b w:val="0"/>
          <w:i w:val="0"/>
          <w:sz w:val="21"/>
        </w:rPr>
        <w:t>Conduct quarterly stress tests of PLMA's working capital against three scenarios (10%, 20%, 30% price decline) to ensure liquidity is adequate to sustain operations during a 12-24 month correction period.</w:t>
      </w:r>
    </w:p>
    <w:p>
      <w:pPr>
        <w:pStyle w:val="Heading2"/>
        <w:spacing w:before="280" w:after="120" w:line="276" w:lineRule="auto"/>
      </w:pPr>
      <w:r>
        <w:t>7.2 Market Share Defense &amp; Growth</w:t>
      </w:r>
    </w:p>
    <w:p>
      <w:pPr>
        <w:pStyle w:val="Heading3"/>
        <w:spacing w:before="200" w:after="80" w:line="276" w:lineRule="auto"/>
      </w:pPr>
      <w:r>
        <w:t>7.2.1 Digital Platform</w:t>
      </w:r>
    </w:p>
    <w:p>
      <w:pPr>
        <w:spacing w:before="0" w:after="160" w:line="300" w:lineRule="auto"/>
      </w:pPr>
      <w:r>
        <w:rPr>
          <w:rFonts w:ascii="Calibri" w:hAnsi="Calibri"/>
          <w:b w:val="0"/>
          <w:i w:val="0"/>
          <w:sz w:val="21"/>
        </w:rPr>
        <w:t>Cross-reference Report #2, Section 5.5: digital auction platform, mobile-first member experience, online sale capability. This is the single most important market share defense investment.</w:t>
      </w:r>
    </w:p>
    <w:p>
      <w:pPr>
        <w:pStyle w:val="Heading3"/>
        <w:spacing w:before="200" w:after="80" w:line="276" w:lineRule="auto"/>
      </w:pPr>
      <w:r>
        <w:t>7.2.2 Geographic Expansion</w:t>
      </w:r>
    </w:p>
    <w:p>
      <w:pPr>
        <w:spacing w:before="0" w:after="160" w:line="300" w:lineRule="auto"/>
      </w:pPr>
      <w:r>
        <w:rPr>
          <w:rFonts w:ascii="Calibri" w:hAnsi="Calibri"/>
          <w:b w:val="0"/>
          <w:i w:val="0"/>
          <w:sz w:val="21"/>
        </w:rPr>
        <w:t>Evaluate expansion into 1-2 underserved regions within Year 2-3, targeting areas where auction market closures have created service gaps. Approaches: greenfield branch, partnership with existing regional cooperative, or acquisition.</w:t>
      </w:r>
    </w:p>
    <w:p>
      <w:pPr>
        <w:pStyle w:val="Heading3"/>
        <w:spacing w:before="200" w:after="80" w:line="276" w:lineRule="auto"/>
      </w:pPr>
      <w:r>
        <w:t>7.2.3 Value-Added Services</w:t>
      </w:r>
    </w:p>
    <w:p>
      <w:pPr>
        <w:spacing w:before="0" w:after="160" w:line="300" w:lineRule="auto"/>
      </w:pPr>
      <w:r>
        <w:rPr>
          <w:rFonts w:ascii="Calibri" w:hAnsi="Calibri"/>
          <w:b w:val="0"/>
          <w:i w:val="0"/>
          <w:sz w:val="21"/>
        </w:rPr>
        <w:t>Launch fee-based advisory services: risk management advisory, hedging education, insurance brokerage, and market intelligence subscriptions. These services (i) generate non-commission revenue, (ii) deepen member relationships, and (iii) create switching costs.</w:t>
      </w:r>
    </w:p>
    <w:p>
      <w:pPr>
        <w:pStyle w:val="Heading3"/>
        <w:spacing w:before="200" w:after="80" w:line="276" w:lineRule="auto"/>
      </w:pPr>
      <w:r>
        <w:t>7.2.4 Cooperative Partnerships / M&amp;A</w:t>
      </w:r>
    </w:p>
    <w:p>
      <w:pPr>
        <w:spacing w:before="0" w:after="160" w:line="300" w:lineRule="auto"/>
      </w:pPr>
      <w:r>
        <w:rPr>
          <w:rFonts w:ascii="Calibri" w:hAnsi="Calibri"/>
          <w:b w:val="0"/>
          <w:i w:val="0"/>
          <w:sz w:val="21"/>
        </w:rPr>
        <w:t>Evaluate strategic partnerships or acquisitions of 1-2 smaller regional cooperatives in Years 3-5. Target: cooperatives with complementary geographic footprints and aging leadership (natural succession opportunity).</w:t>
      </w:r>
    </w:p>
    <w:p>
      <w:pPr>
        <w:pStyle w:val="Heading2"/>
        <w:spacing w:before="280" w:after="120" w:line="276" w:lineRule="auto"/>
      </w:pPr>
      <w:r>
        <w:t>7.3 Generational Succession Playbook</w:t>
      </w:r>
    </w:p>
    <w:p>
      <w:pPr>
        <w:pStyle w:val="Heading3"/>
        <w:spacing w:before="200" w:after="80" w:line="276" w:lineRule="auto"/>
      </w:pPr>
      <w:r>
        <w:t>7.3.1 Young Rancher Program (Formal)</w:t>
      </w:r>
    </w:p>
    <w:p>
      <w:pPr>
        <w:spacing w:before="0" w:after="160" w:line="300" w:lineRule="auto"/>
      </w:pPr>
      <w:r>
        <w:rPr>
          <w:rFonts w:ascii="Calibri" w:hAnsi="Calibri"/>
          <w:b w:val="0"/>
          <w:i w:val="0"/>
          <w:sz w:val="21"/>
        </w:rPr>
        <w:t>Launch a branded Young Rancher Program with: (i) dedicated staff (1 FTE), (ii) regional events (livestock judging, field days, networking), (iii) educational content (risk management, marketing, finance), (iv) trial membership (reduced first-year commission), (v) mentorship matching with experienced members.</w:t>
      </w:r>
    </w:p>
    <w:p>
      <w:pPr>
        <w:spacing w:before="0" w:after="160" w:line="300" w:lineRule="auto"/>
      </w:pPr>
      <w:r>
        <w:rPr>
          <w:rFonts w:ascii="Calibri" w:hAnsi="Calibri"/>
          <w:b w:val="0"/>
          <w:i w:val="0"/>
          <w:sz w:val="21"/>
        </w:rPr>
        <w:t>Target: 150-200 new young rancher relationships per year by Year 3. At $15-25K lifetime commission value per relationship, this generates $2.25-5.0M in future revenue pipeline annually.</w:t>
      </w:r>
    </w:p>
    <w:p>
      <w:pPr>
        <w:pStyle w:val="Heading3"/>
        <w:spacing w:before="200" w:after="80" w:line="276" w:lineRule="auto"/>
      </w:pPr>
      <w:r>
        <w:t>7.3.2 Estate Transition Liaison Service</w:t>
      </w:r>
    </w:p>
    <w:p>
      <w:pPr>
        <w:spacing w:before="0" w:after="160" w:line="300" w:lineRule="auto"/>
      </w:pPr>
      <w:r>
        <w:rPr>
          <w:rFonts w:ascii="Calibri" w:hAnsi="Calibri"/>
          <w:b w:val="0"/>
          <w:i w:val="0"/>
          <w:sz w:val="21"/>
        </w:rPr>
        <w:t>Proactive outreach to members approaching retirement age (65+) to facilitate: (i) introduction to estate planning resources, (ii) identification of successor operators, (iii) continuity of PLMA marketing relationship through the transition, (iv) warm handoff from retiring member to successor. Target: increase succession retention rate from ~29% to 55% within 5 years.</w:t>
      </w:r>
    </w:p>
    <w:p>
      <w:pPr>
        <w:pStyle w:val="Heading3"/>
        <w:spacing w:before="200" w:after="80" w:line="276" w:lineRule="auto"/>
      </w:pPr>
      <w:r>
        <w:t>7.3.3 Next-Gen Digital Experience</w:t>
      </w:r>
    </w:p>
    <w:p>
      <w:pPr>
        <w:spacing w:before="0" w:after="160" w:line="300" w:lineRule="auto"/>
      </w:pPr>
      <w:r>
        <w:rPr>
          <w:rFonts w:ascii="Calibri" w:hAnsi="Calibri"/>
          <w:b w:val="0"/>
          <w:i w:val="0"/>
          <w:sz w:val="21"/>
        </w:rPr>
        <w:t>Young producers expect digital-first interaction: mobile auction participation, real-time market data, instant settlement, electronic documentation, and social media engagement. This is the generation that will judge PLMA by its app, not its auction ring.</w:t>
      </w:r>
    </w:p>
    <w:p>
      <w:pPr>
        <w:pStyle w:val="Heading3"/>
        <w:spacing w:before="200" w:after="80" w:line="276" w:lineRule="auto"/>
      </w:pPr>
      <w:r>
        <w:t>7.3.4 University / Extension Partnerships</w:t>
      </w:r>
    </w:p>
    <w:p>
      <w:pPr>
        <w:spacing w:before="0" w:after="160" w:line="300" w:lineRule="auto"/>
      </w:pPr>
      <w:r>
        <w:rPr>
          <w:rFonts w:ascii="Calibri" w:hAnsi="Calibri"/>
          <w:b w:val="0"/>
          <w:i w:val="0"/>
          <w:sz w:val="21"/>
        </w:rPr>
        <w:t>Target 5+ land-grant university partnerships within 3 years: KSU, TAMU, UNL, SDSU, CSU, OSU. Sponsor livestock judging teams, host guest lectures, fund cooperative-focused research, and establish internship programs.</w:t>
      </w:r>
    </w:p>
    <w:p>
      <w:pPr>
        <w:pStyle w:val="Heading2"/>
        <w:spacing w:before="280" w:after="120" w:line="276" w:lineRule="auto"/>
      </w:pPr>
      <w:r>
        <w:t>7.4 1-Year / 5-Year / 10-Year Plans</w:t>
      </w:r>
    </w:p>
    <w:p>
      <w:pPr>
        <w:jc w:val="center"/>
      </w:pPr>
      <w:r>
        <w:drawing>
          <wp:inline xmlns:a="http://schemas.openxmlformats.org/drawingml/2006/main" xmlns:pic="http://schemas.openxmlformats.org/drawingml/2006/picture">
            <wp:extent cx="5943600" cy="4139520"/>
            <wp:docPr id="11" name="Picture 11"/>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943600" cy="4139520"/>
                    </a:xfrm>
                    <a:prstGeom prst="rect"/>
                  </pic:spPr>
                </pic:pic>
              </a:graphicData>
            </a:graphic>
          </wp:inline>
        </w:drawing>
      </w:r>
    </w:p>
    <w:p>
      <w:pPr>
        <w:spacing w:before="0" w:after="240" w:line="276" w:lineRule="auto"/>
        <w:jc w:val="center"/>
      </w:pPr>
      <w:r>
        <w:rPr>
          <w:rFonts w:ascii="Calibri" w:hAnsi="Calibri"/>
          <w:i/>
          <w:color w:val="666666"/>
          <w:sz w:val="18"/>
        </w:rPr>
        <w:t>Exhibit: 13 workstreams across 10 years, structured by McKinsey Three Horizons.</w:t>
      </w:r>
    </w:p>
    <w:p>
      <w:pPr>
        <w:pStyle w:val="Heading3"/>
        <w:spacing w:before="200" w:after="80" w:line="276" w:lineRule="auto"/>
      </w:pPr>
      <w:r>
        <w:t>Year 1 — Foundation</w:t>
      </w:r>
    </w:p>
    <w:p>
      <w:pPr>
        <w:pStyle w:val="ListBullet"/>
        <w:spacing w:before="0" w:after="60" w:line="288" w:lineRule="auto"/>
      </w:pPr>
      <w:r>
        <w:rPr>
          <w:rFonts w:ascii="Calibri" w:hAnsi="Calibri"/>
          <w:color w:val="333333"/>
          <w:sz w:val="21"/>
        </w:rPr>
        <w:t>Launch hedging program for company-owned cattle (Month 3)</w:t>
      </w:r>
    </w:p>
    <w:p>
      <w:pPr>
        <w:pStyle w:val="ListBullet"/>
        <w:spacing w:before="0" w:after="60" w:line="288" w:lineRule="auto"/>
      </w:pPr>
      <w:r>
        <w:rPr>
          <w:rFonts w:ascii="Calibri" w:hAnsi="Calibri"/>
          <w:color w:val="333333"/>
          <w:sz w:val="21"/>
        </w:rPr>
        <w:t>Commission structure analysis and pilot (Months 1-12)</w:t>
      </w:r>
    </w:p>
    <w:p>
      <w:pPr>
        <w:pStyle w:val="ListBullet"/>
        <w:spacing w:before="0" w:after="60" w:line="288" w:lineRule="auto"/>
      </w:pPr>
      <w:r>
        <w:rPr>
          <w:rFonts w:ascii="Calibri" w:hAnsi="Calibri"/>
          <w:color w:val="333333"/>
          <w:sz w:val="21"/>
        </w:rPr>
        <w:t>Deploy leading indicator dashboard (Month 6)</w:t>
      </w:r>
    </w:p>
    <w:p>
      <w:pPr>
        <w:pStyle w:val="ListBullet"/>
        <w:spacing w:before="0" w:after="60" w:line="288" w:lineRule="auto"/>
      </w:pPr>
      <w:r>
        <w:rPr>
          <w:rFonts w:ascii="Calibri" w:hAnsi="Calibri"/>
          <w:color w:val="333333"/>
          <w:sz w:val="21"/>
        </w:rPr>
        <w:t>Launch Young Rancher Program (Month 6)</w:t>
      </w:r>
    </w:p>
    <w:p>
      <w:pPr>
        <w:pStyle w:val="ListBullet"/>
        <w:spacing w:before="0" w:after="60" w:line="288" w:lineRule="auto"/>
      </w:pPr>
      <w:r>
        <w:rPr>
          <w:rFonts w:ascii="Calibri" w:hAnsi="Calibri"/>
          <w:color w:val="333333"/>
          <w:sz w:val="21"/>
        </w:rPr>
        <w:t>Hire dedicated program staff (Month 3)</w:t>
      </w:r>
    </w:p>
    <w:p>
      <w:pPr>
        <w:pStyle w:val="ListBullet"/>
        <w:spacing w:before="0" w:after="60" w:line="288" w:lineRule="auto"/>
      </w:pPr>
      <w:r>
        <w:rPr>
          <w:rFonts w:ascii="Calibri" w:hAnsi="Calibri"/>
          <w:color w:val="333333"/>
          <w:sz w:val="21"/>
        </w:rPr>
        <w:t>Initiate 2 university partnerships (Month 9)</w:t>
      </w:r>
    </w:p>
    <w:p>
      <w:pPr>
        <w:pStyle w:val="Heading3"/>
        <w:spacing w:before="200" w:after="80" w:line="276" w:lineRule="auto"/>
      </w:pPr>
      <w:r>
        <w:t>5-Year Targets</w:t>
      </w:r>
    </w:p>
    <w:p>
      <w:pPr>
        <w:pStyle w:val="ListBullet"/>
        <w:spacing w:before="0" w:after="60" w:line="288" w:lineRule="auto"/>
      </w:pPr>
      <w:r>
        <w:rPr>
          <w:rFonts w:ascii="Calibri" w:hAnsi="Calibri"/>
          <w:color w:val="333333"/>
          <w:sz w:val="21"/>
        </w:rPr>
        <w:t>Geographic expansion: 1-2 new regions operational</w:t>
      </w:r>
    </w:p>
    <w:p>
      <w:pPr>
        <w:pStyle w:val="ListBullet"/>
        <w:spacing w:before="0" w:after="60" w:line="288" w:lineRule="auto"/>
      </w:pPr>
      <w:r>
        <w:rPr>
          <w:rFonts w:ascii="Calibri" w:hAnsi="Calibri"/>
          <w:color w:val="333333"/>
          <w:sz w:val="21"/>
        </w:rPr>
        <w:t>Advisory services generating $1.2M+/year in fee revenue</w:t>
      </w:r>
    </w:p>
    <w:p>
      <w:pPr>
        <w:pStyle w:val="ListBullet"/>
        <w:spacing w:before="0" w:after="60" w:line="288" w:lineRule="auto"/>
      </w:pPr>
      <w:r>
        <w:rPr>
          <w:rFonts w:ascii="Calibri" w:hAnsi="Calibri"/>
          <w:color w:val="333333"/>
          <w:sz w:val="21"/>
        </w:rPr>
        <w:t>Young Rancher Program: 500+ cumulative enrollees</w:t>
      </w:r>
    </w:p>
    <w:p>
      <w:pPr>
        <w:pStyle w:val="ListBullet"/>
        <w:spacing w:before="0" w:after="60" w:line="288" w:lineRule="auto"/>
      </w:pPr>
      <w:r>
        <w:rPr>
          <w:rFonts w:ascii="Calibri" w:hAnsi="Calibri"/>
          <w:color w:val="333333"/>
          <w:sz w:val="21"/>
        </w:rPr>
        <w:t>Succession retention rate: &gt;55% (from ~29% baseline)</w:t>
      </w:r>
    </w:p>
    <w:p>
      <w:pPr>
        <w:pStyle w:val="ListBullet"/>
        <w:spacing w:before="0" w:after="60" w:line="288" w:lineRule="auto"/>
      </w:pPr>
      <w:r>
        <w:rPr>
          <w:rFonts w:ascii="Calibri" w:hAnsi="Calibri"/>
          <w:color w:val="333333"/>
          <w:sz w:val="21"/>
        </w:rPr>
        <w:t>Digital platform live with hybrid auction capability</w:t>
      </w:r>
    </w:p>
    <w:p>
      <w:pPr>
        <w:pStyle w:val="ListBullet"/>
        <w:spacing w:before="0" w:after="60" w:line="288" w:lineRule="auto"/>
      </w:pPr>
      <w:r>
        <w:rPr>
          <w:rFonts w:ascii="Calibri" w:hAnsi="Calibri"/>
          <w:color w:val="333333"/>
          <w:sz w:val="21"/>
        </w:rPr>
        <w:t>Member age trend stabilized (avg age growth slowed)</w:t>
      </w:r>
    </w:p>
    <w:p>
      <w:pPr>
        <w:pStyle w:val="Heading3"/>
        <w:spacing w:before="200" w:after="80" w:line="276" w:lineRule="auto"/>
      </w:pPr>
      <w:r>
        <w:t>10-Year Vision</w:t>
      </w:r>
    </w:p>
    <w:p>
      <w:pPr>
        <w:pStyle w:val="ListBullet"/>
        <w:spacing w:before="0" w:after="60" w:line="288" w:lineRule="auto"/>
      </w:pPr>
      <w:r>
        <w:rPr>
          <w:rFonts w:ascii="Calibri" w:hAnsi="Calibri"/>
          <w:color w:val="333333"/>
          <w:sz w:val="21"/>
        </w:rPr>
        <w:t>15-20% of revenue from non-commission sources</w:t>
      </w:r>
    </w:p>
    <w:p>
      <w:pPr>
        <w:pStyle w:val="ListBullet"/>
        <w:spacing w:before="0" w:after="60" w:line="288" w:lineRule="auto"/>
      </w:pPr>
      <w:r>
        <w:rPr>
          <w:rFonts w:ascii="Calibri" w:hAnsi="Calibri"/>
          <w:color w:val="333333"/>
          <w:sz w:val="21"/>
        </w:rPr>
        <w:t>1-2 strategic cooperative acquisitions completed</w:t>
      </w:r>
    </w:p>
    <w:p>
      <w:pPr>
        <w:pStyle w:val="ListBullet"/>
        <w:spacing w:before="0" w:after="60" w:line="288" w:lineRule="auto"/>
      </w:pPr>
      <w:r>
        <w:rPr>
          <w:rFonts w:ascii="Calibri" w:hAnsi="Calibri"/>
          <w:color w:val="333333"/>
          <w:sz w:val="21"/>
        </w:rPr>
        <w:t>Young rancher cohort represents &gt;20% of active members</w:t>
      </w:r>
    </w:p>
    <w:p>
      <w:pPr>
        <w:pStyle w:val="ListBullet"/>
        <w:spacing w:before="0" w:after="60" w:line="288" w:lineRule="auto"/>
      </w:pPr>
      <w:r>
        <w:rPr>
          <w:rFonts w:ascii="Calibri" w:hAnsi="Calibri"/>
          <w:color w:val="333333"/>
          <w:sz w:val="21"/>
        </w:rPr>
        <w:t>PLMA is the reference cooperative for next-gen engagement</w:t>
      </w:r>
    </w:p>
    <w:p>
      <w:pPr>
        <w:pStyle w:val="ListBullet"/>
        <w:spacing w:before="0" w:after="60" w:line="288" w:lineRule="auto"/>
      </w:pPr>
      <w:r>
        <w:rPr>
          <w:rFonts w:ascii="Calibri" w:hAnsi="Calibri"/>
          <w:color w:val="333333"/>
          <w:sz w:val="21"/>
        </w:rPr>
        <w:t>Commission structure fully modernized (blended model)</w:t>
      </w:r>
    </w:p>
    <w:p>
      <w:r>
        <w:br w:type="page"/>
      </w:r>
    </w:p>
    <w:p>
      <w:pPr>
        <w:pStyle w:val="Heading1"/>
        <w:spacing w:before="0" w:after="240" w:line="276" w:lineRule="auto"/>
        <w:pBdr>
          <w:bottom w:val="single" w:sz="12" w:space="4" w:color="003A70"/>
        </w:pBdr>
      </w:pPr>
      <w:r>
        <w:t>8. Financial Model</w:t>
      </w:r>
    </w:p>
    <w:p>
      <w:pPr>
        <w:pStyle w:val="Heading2"/>
        <w:spacing w:before="280" w:after="120" w:line="276" w:lineRule="auto"/>
      </w:pPr>
      <w:r>
        <w:t>8.1 Commission Revenue Scenarios</w:t>
      </w:r>
    </w:p>
    <w:p>
      <w:pPr>
        <w:jc w:val="center"/>
      </w:pPr>
      <w:r>
        <w:drawing>
          <wp:inline xmlns:a="http://schemas.openxmlformats.org/drawingml/2006/main" xmlns:pic="http://schemas.openxmlformats.org/drawingml/2006/picture">
            <wp:extent cx="5943600" cy="3677691"/>
            <wp:docPr id="12" name="Picture 12"/>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943600" cy="3677691"/>
                    </a:xfrm>
                    <a:prstGeom prst="rect"/>
                  </pic:spPr>
                </pic:pic>
              </a:graphicData>
            </a:graphic>
          </wp:inline>
        </w:drawing>
      </w:r>
    </w:p>
    <w:p>
      <w:pPr>
        <w:spacing w:before="0" w:after="240" w:line="276" w:lineRule="auto"/>
        <w:jc w:val="center"/>
      </w:pPr>
      <w:r>
        <w:rPr>
          <w:rFonts w:ascii="Calibri" w:hAnsi="Calibri"/>
          <w:i/>
          <w:color w:val="666666"/>
          <w:sz w:val="18"/>
        </w:rPr>
        <w:t>Exhibit: With mitigation, PLMA stabilizes revenue even under base-case price decline — a $8M+/yr gap vs. unmitigated by Year 5.</w:t>
      </w:r>
    </w:p>
    <w:p>
      <w:pPr>
        <w:pStyle w:val="Heading2"/>
        <w:spacing w:before="280" w:after="120" w:line="276" w:lineRule="auto"/>
      </w:pPr>
      <w:r>
        <w:t>8.2 Program Costs</w:t>
      </w:r>
    </w:p>
    <w:tbl>
      <w:tblPr>
        <w:tblW w:type="auto" w:w="0"/>
        <w:jc w:val="center"/>
        <w:tblLook w:firstColumn="1" w:firstRow="1" w:lastColumn="0" w:lastRow="0" w:noHBand="0" w:noVBand="1" w:val="04A0"/>
      </w:tblPr>
      <w:tblGrid>
        <w:gridCol w:w="4680"/>
        <w:gridCol w:w="4680"/>
      </w:tblGrid>
      <w:tr>
        <w:tc>
          <w:tcPr>
            <w:tcW w:type="dxa" w:w="6480"/>
            <w:shd w:val="clear" w:color="auto" w:fill="003A70"/>
            <w:vAlign w:val="center"/>
          </w:tcPr>
          <w:p>
            <w:r/>
            <w:r>
              <w:rPr>
                <w:rFonts w:ascii="Calibri" w:hAnsi="Calibri"/>
                <w:b/>
                <w:color w:val="FFFFFF"/>
                <w:sz w:val="19"/>
              </w:rPr>
              <w:t>Year 1 Investment</w:t>
            </w:r>
          </w:p>
        </w:tc>
        <w:tc>
          <w:tcPr>
            <w:tcW w:type="dxa" w:w="2160"/>
            <w:shd w:val="clear" w:color="auto" w:fill="003A70"/>
            <w:vAlign w:val="center"/>
          </w:tcPr>
          <w:p>
            <w:r/>
            <w:r>
              <w:rPr>
                <w:rFonts w:ascii="Calibri" w:hAnsi="Calibri"/>
                <w:b/>
                <w:color w:val="FFFFFF"/>
                <w:sz w:val="19"/>
              </w:rPr>
              <w:t>Amount</w:t>
            </w:r>
          </w:p>
        </w:tc>
      </w:tr>
      <w:tr>
        <w:tc>
          <w:tcPr>
            <w:tcW w:type="dxa" w:w="6480"/>
            <w:vAlign w:val="center"/>
          </w:tcPr>
          <w:p>
            <w:r/>
            <w:r>
              <w:rPr>
                <w:rFonts w:ascii="Calibri" w:hAnsi="Calibri"/>
                <w:color w:val="333333"/>
                <w:sz w:val="19"/>
              </w:rPr>
              <w:t>Hedging program build-out</w:t>
            </w:r>
          </w:p>
        </w:tc>
        <w:tc>
          <w:tcPr>
            <w:tcW w:type="dxa" w:w="2160"/>
            <w:vAlign w:val="center"/>
          </w:tcPr>
          <w:p>
            <w:r/>
            <w:r>
              <w:rPr>
                <w:rFonts w:ascii="Calibri" w:hAnsi="Calibri"/>
                <w:color w:val="333333"/>
                <w:sz w:val="19"/>
              </w:rPr>
              <w:t>$300K</w:t>
            </w:r>
          </w:p>
        </w:tc>
      </w:tr>
      <w:tr>
        <w:tc>
          <w:tcPr>
            <w:tcW w:type="dxa" w:w="6480"/>
            <w:shd w:val="clear" w:color="auto" w:fill="F2F2F2"/>
            <w:vAlign w:val="center"/>
          </w:tcPr>
          <w:p>
            <w:r/>
            <w:r>
              <w:rPr>
                <w:rFonts w:ascii="Calibri" w:hAnsi="Calibri"/>
                <w:color w:val="333333"/>
                <w:sz w:val="19"/>
              </w:rPr>
              <w:t>Commission structure analysis &amp; implementation</w:t>
            </w:r>
          </w:p>
        </w:tc>
        <w:tc>
          <w:tcPr>
            <w:tcW w:type="dxa" w:w="2160"/>
            <w:shd w:val="clear" w:color="auto" w:fill="F2F2F2"/>
            <w:vAlign w:val="center"/>
          </w:tcPr>
          <w:p>
            <w:r/>
            <w:r>
              <w:rPr>
                <w:rFonts w:ascii="Calibri" w:hAnsi="Calibri"/>
                <w:color w:val="333333"/>
                <w:sz w:val="19"/>
              </w:rPr>
              <w:t>$250K</w:t>
            </w:r>
          </w:p>
        </w:tc>
      </w:tr>
      <w:tr>
        <w:tc>
          <w:tcPr>
            <w:tcW w:type="dxa" w:w="6480"/>
            <w:vAlign w:val="center"/>
          </w:tcPr>
          <w:p>
            <w:r/>
            <w:r>
              <w:rPr>
                <w:rFonts w:ascii="Calibri" w:hAnsi="Calibri"/>
                <w:color w:val="333333"/>
                <w:sz w:val="19"/>
              </w:rPr>
              <w:t>Market share defense (digital, geographic)</w:t>
            </w:r>
          </w:p>
        </w:tc>
        <w:tc>
          <w:tcPr>
            <w:tcW w:type="dxa" w:w="2160"/>
            <w:vAlign w:val="center"/>
          </w:tcPr>
          <w:p>
            <w:r/>
            <w:r>
              <w:rPr>
                <w:rFonts w:ascii="Calibri" w:hAnsi="Calibri"/>
                <w:color w:val="333333"/>
                <w:sz w:val="19"/>
              </w:rPr>
              <w:t>$800K</w:t>
            </w:r>
          </w:p>
        </w:tc>
      </w:tr>
      <w:tr>
        <w:tc>
          <w:tcPr>
            <w:tcW w:type="dxa" w:w="6480"/>
            <w:shd w:val="clear" w:color="auto" w:fill="F2F2F2"/>
            <w:vAlign w:val="center"/>
          </w:tcPr>
          <w:p>
            <w:r/>
            <w:r>
              <w:rPr>
                <w:rFonts w:ascii="Calibri" w:hAnsi="Calibri"/>
                <w:color w:val="333333"/>
                <w:sz w:val="19"/>
              </w:rPr>
              <w:t>Young Rancher Program launch</w:t>
            </w:r>
          </w:p>
        </w:tc>
        <w:tc>
          <w:tcPr>
            <w:tcW w:type="dxa" w:w="2160"/>
            <w:shd w:val="clear" w:color="auto" w:fill="F2F2F2"/>
            <w:vAlign w:val="center"/>
          </w:tcPr>
          <w:p>
            <w:r/>
            <w:r>
              <w:rPr>
                <w:rFonts w:ascii="Calibri" w:hAnsi="Calibri"/>
                <w:color w:val="333333"/>
                <w:sz w:val="19"/>
              </w:rPr>
              <w:t>$400K</w:t>
            </w:r>
          </w:p>
        </w:tc>
      </w:tr>
      <w:tr>
        <w:tc>
          <w:tcPr>
            <w:tcW w:type="dxa" w:w="6480"/>
            <w:vAlign w:val="center"/>
          </w:tcPr>
          <w:p>
            <w:r/>
            <w:r>
              <w:rPr>
                <w:rFonts w:ascii="Calibri" w:hAnsi="Calibri"/>
                <w:color w:val="333333"/>
                <w:sz w:val="19"/>
              </w:rPr>
              <w:t>Revenue diversification (advisory services)</w:t>
            </w:r>
          </w:p>
        </w:tc>
        <w:tc>
          <w:tcPr>
            <w:tcW w:type="dxa" w:w="2160"/>
            <w:vAlign w:val="center"/>
          </w:tcPr>
          <w:p>
            <w:r/>
            <w:r>
              <w:rPr>
                <w:rFonts w:ascii="Calibri" w:hAnsi="Calibri"/>
                <w:color w:val="333333"/>
                <w:sz w:val="19"/>
              </w:rPr>
              <w:t>$500K</w:t>
            </w:r>
          </w:p>
        </w:tc>
      </w:tr>
      <w:tr>
        <w:tc>
          <w:tcPr>
            <w:tcW w:type="dxa" w:w="6480"/>
            <w:shd w:val="clear" w:color="auto" w:fill="F2F2F2"/>
            <w:vAlign w:val="center"/>
          </w:tcPr>
          <w:p>
            <w:r/>
            <w:r>
              <w:rPr>
                <w:rFonts w:ascii="Calibri" w:hAnsi="Calibri"/>
                <w:color w:val="333333"/>
                <w:sz w:val="19"/>
              </w:rPr>
              <w:t>Leading indicator dashboard &amp; analytics</w:t>
            </w:r>
          </w:p>
        </w:tc>
        <w:tc>
          <w:tcPr>
            <w:tcW w:type="dxa" w:w="2160"/>
            <w:shd w:val="clear" w:color="auto" w:fill="F2F2F2"/>
            <w:vAlign w:val="center"/>
          </w:tcPr>
          <w:p>
            <w:r/>
            <w:r>
              <w:rPr>
                <w:rFonts w:ascii="Calibri" w:hAnsi="Calibri"/>
                <w:color w:val="333333"/>
                <w:sz w:val="19"/>
              </w:rPr>
              <w:t>$250K</w:t>
            </w:r>
          </w:p>
        </w:tc>
      </w:tr>
      <w:tr>
        <w:tc>
          <w:tcPr>
            <w:tcW w:type="dxa" w:w="6480"/>
            <w:vAlign w:val="center"/>
          </w:tcPr>
          <w:p>
            <w:r/>
            <w:r>
              <w:rPr>
                <w:rFonts w:ascii="Calibri" w:hAnsi="Calibri"/>
                <w:color w:val="333333"/>
                <w:sz w:val="19"/>
              </w:rPr>
              <w:t>Change management &amp; training</w:t>
            </w:r>
          </w:p>
        </w:tc>
        <w:tc>
          <w:tcPr>
            <w:tcW w:type="dxa" w:w="2160"/>
            <w:vAlign w:val="center"/>
          </w:tcPr>
          <w:p>
            <w:r/>
            <w:r>
              <w:rPr>
                <w:rFonts w:ascii="Calibri" w:hAnsi="Calibri"/>
                <w:color w:val="333333"/>
                <w:sz w:val="19"/>
              </w:rPr>
              <w:t>$300K</w:t>
            </w:r>
          </w:p>
        </w:tc>
      </w:tr>
      <w:tr>
        <w:tc>
          <w:tcPr>
            <w:tcW w:type="dxa" w:w="6480"/>
            <w:shd w:val="clear" w:color="auto" w:fill="F2F2F2"/>
            <w:vAlign w:val="center"/>
          </w:tcPr>
          <w:p>
            <w:r/>
            <w:r>
              <w:rPr>
                <w:rFonts w:ascii="Calibri" w:hAnsi="Calibri"/>
                <w:color w:val="333333"/>
                <w:sz w:val="19"/>
              </w:rPr>
              <w:t>**TOTAL Year 1**</w:t>
            </w:r>
          </w:p>
        </w:tc>
        <w:tc>
          <w:tcPr>
            <w:tcW w:type="dxa" w:w="2160"/>
            <w:shd w:val="clear" w:color="auto" w:fill="F2F2F2"/>
            <w:vAlign w:val="center"/>
          </w:tcPr>
          <w:p>
            <w:r/>
            <w:r>
              <w:rPr>
                <w:rFonts w:ascii="Calibri" w:hAnsi="Calibri"/>
                <w:color w:val="333333"/>
                <w:sz w:val="19"/>
              </w:rPr>
              <w:t>$2800K</w:t>
            </w:r>
          </w:p>
        </w:tc>
      </w:tr>
    </w:tbl>
    <w:p>
      <w:pPr>
        <w:spacing w:before="0" w:after="160" w:line="288" w:lineRule="auto"/>
      </w:pPr>
      <w:r>
        <w:rPr>
          <w:rFonts w:ascii="Calibri" w:hAnsi="Calibri"/>
          <w:b w:val="0"/>
          <w:i w:val="0"/>
        </w:rPr>
      </w:r>
    </w:p>
    <w:tbl>
      <w:tblPr>
        <w:tblW w:type="auto" w:w="0"/>
        <w:jc w:val="center"/>
        <w:tblLook w:firstColumn="1" w:firstRow="1" w:lastColumn="0" w:lastRow="0" w:noHBand="0" w:noVBand="1" w:val="04A0"/>
      </w:tblPr>
      <w:tblGrid>
        <w:gridCol w:w="4680"/>
        <w:gridCol w:w="4680"/>
      </w:tblGrid>
      <w:tr>
        <w:tc>
          <w:tcPr>
            <w:tcW w:type="dxa" w:w="6480"/>
            <w:shd w:val="clear" w:color="auto" w:fill="003A70"/>
            <w:vAlign w:val="center"/>
          </w:tcPr>
          <w:p>
            <w:r/>
            <w:r>
              <w:rPr>
                <w:rFonts w:ascii="Calibri" w:hAnsi="Calibri"/>
                <w:b/>
                <w:color w:val="FFFFFF"/>
                <w:sz w:val="19"/>
              </w:rPr>
              <w:t>Ongoing Annual Cost (Year 2+)</w:t>
            </w:r>
          </w:p>
        </w:tc>
        <w:tc>
          <w:tcPr>
            <w:tcW w:type="dxa" w:w="2160"/>
            <w:shd w:val="clear" w:color="auto" w:fill="003A70"/>
            <w:vAlign w:val="center"/>
          </w:tcPr>
          <w:p>
            <w:r/>
            <w:r>
              <w:rPr>
                <w:rFonts w:ascii="Calibri" w:hAnsi="Calibri"/>
                <w:b/>
                <w:color w:val="FFFFFF"/>
                <w:sz w:val="19"/>
              </w:rPr>
              <w:t>Amount</w:t>
            </w:r>
          </w:p>
        </w:tc>
      </w:tr>
      <w:tr>
        <w:tc>
          <w:tcPr>
            <w:tcW w:type="dxa" w:w="6480"/>
            <w:vAlign w:val="center"/>
          </w:tcPr>
          <w:p>
            <w:r/>
            <w:r>
              <w:rPr>
                <w:rFonts w:ascii="Calibri" w:hAnsi="Calibri"/>
                <w:color w:val="333333"/>
                <w:sz w:val="19"/>
              </w:rPr>
              <w:t>Hedging operations &amp; advisory</w:t>
            </w:r>
          </w:p>
        </w:tc>
        <w:tc>
          <w:tcPr>
            <w:tcW w:type="dxa" w:w="2160"/>
            <w:vAlign w:val="center"/>
          </w:tcPr>
          <w:p>
            <w:r/>
            <w:r>
              <w:rPr>
                <w:rFonts w:ascii="Calibri" w:hAnsi="Calibri"/>
                <w:color w:val="333333"/>
                <w:sz w:val="19"/>
              </w:rPr>
              <w:t>$200K</w:t>
            </w:r>
          </w:p>
        </w:tc>
      </w:tr>
      <w:tr>
        <w:tc>
          <w:tcPr>
            <w:tcW w:type="dxa" w:w="6480"/>
            <w:shd w:val="clear" w:color="auto" w:fill="F2F2F2"/>
            <w:vAlign w:val="center"/>
          </w:tcPr>
          <w:p>
            <w:r/>
            <w:r>
              <w:rPr>
                <w:rFonts w:ascii="Calibri" w:hAnsi="Calibri"/>
                <w:color w:val="333333"/>
                <w:sz w:val="19"/>
              </w:rPr>
              <w:t>Commission structure management</w:t>
            </w:r>
          </w:p>
        </w:tc>
        <w:tc>
          <w:tcPr>
            <w:tcW w:type="dxa" w:w="2160"/>
            <w:shd w:val="clear" w:color="auto" w:fill="F2F2F2"/>
            <w:vAlign w:val="center"/>
          </w:tcPr>
          <w:p>
            <w:r/>
            <w:r>
              <w:rPr>
                <w:rFonts w:ascii="Calibri" w:hAnsi="Calibri"/>
                <w:color w:val="333333"/>
                <w:sz w:val="19"/>
              </w:rPr>
              <w:t>$100K</w:t>
            </w:r>
          </w:p>
        </w:tc>
      </w:tr>
      <w:tr>
        <w:tc>
          <w:tcPr>
            <w:tcW w:type="dxa" w:w="6480"/>
            <w:vAlign w:val="center"/>
          </w:tcPr>
          <w:p>
            <w:r/>
            <w:r>
              <w:rPr>
                <w:rFonts w:ascii="Calibri" w:hAnsi="Calibri"/>
                <w:color w:val="333333"/>
                <w:sz w:val="19"/>
              </w:rPr>
              <w:t>Market share programs (ongoing)</w:t>
            </w:r>
          </w:p>
        </w:tc>
        <w:tc>
          <w:tcPr>
            <w:tcW w:type="dxa" w:w="2160"/>
            <w:vAlign w:val="center"/>
          </w:tcPr>
          <w:p>
            <w:r/>
            <w:r>
              <w:rPr>
                <w:rFonts w:ascii="Calibri" w:hAnsi="Calibri"/>
                <w:color w:val="333333"/>
                <w:sz w:val="19"/>
              </w:rPr>
              <w:t>$450K</w:t>
            </w:r>
          </w:p>
        </w:tc>
      </w:tr>
      <w:tr>
        <w:tc>
          <w:tcPr>
            <w:tcW w:type="dxa" w:w="6480"/>
            <w:shd w:val="clear" w:color="auto" w:fill="F2F2F2"/>
            <w:vAlign w:val="center"/>
          </w:tcPr>
          <w:p>
            <w:r/>
            <w:r>
              <w:rPr>
                <w:rFonts w:ascii="Calibri" w:hAnsi="Calibri"/>
                <w:color w:val="333333"/>
                <w:sz w:val="19"/>
              </w:rPr>
              <w:t>Young Rancher Program (annual)</w:t>
            </w:r>
          </w:p>
        </w:tc>
        <w:tc>
          <w:tcPr>
            <w:tcW w:type="dxa" w:w="2160"/>
            <w:shd w:val="clear" w:color="auto" w:fill="F2F2F2"/>
            <w:vAlign w:val="center"/>
          </w:tcPr>
          <w:p>
            <w:r/>
            <w:r>
              <w:rPr>
                <w:rFonts w:ascii="Calibri" w:hAnsi="Calibri"/>
                <w:color w:val="333333"/>
                <w:sz w:val="19"/>
              </w:rPr>
              <w:t>$400K</w:t>
            </w:r>
          </w:p>
        </w:tc>
      </w:tr>
      <w:tr>
        <w:tc>
          <w:tcPr>
            <w:tcW w:type="dxa" w:w="6480"/>
            <w:vAlign w:val="center"/>
          </w:tcPr>
          <w:p>
            <w:r/>
            <w:r>
              <w:rPr>
                <w:rFonts w:ascii="Calibri" w:hAnsi="Calibri"/>
                <w:color w:val="333333"/>
                <w:sz w:val="19"/>
              </w:rPr>
              <w:t>Advisory services delivery</w:t>
            </w:r>
          </w:p>
        </w:tc>
        <w:tc>
          <w:tcPr>
            <w:tcW w:type="dxa" w:w="2160"/>
            <w:vAlign w:val="center"/>
          </w:tcPr>
          <w:p>
            <w:r/>
            <w:r>
              <w:rPr>
                <w:rFonts w:ascii="Calibri" w:hAnsi="Calibri"/>
                <w:color w:val="333333"/>
                <w:sz w:val="19"/>
              </w:rPr>
              <w:t>$350K</w:t>
            </w:r>
          </w:p>
        </w:tc>
      </w:tr>
      <w:tr>
        <w:tc>
          <w:tcPr>
            <w:tcW w:type="dxa" w:w="6480"/>
            <w:shd w:val="clear" w:color="auto" w:fill="F2F2F2"/>
            <w:vAlign w:val="center"/>
          </w:tcPr>
          <w:p>
            <w:r/>
            <w:r>
              <w:rPr>
                <w:rFonts w:ascii="Calibri" w:hAnsi="Calibri"/>
                <w:color w:val="333333"/>
                <w:sz w:val="19"/>
              </w:rPr>
              <w:t>Dashboard &amp; analytics operations</w:t>
            </w:r>
          </w:p>
        </w:tc>
        <w:tc>
          <w:tcPr>
            <w:tcW w:type="dxa" w:w="2160"/>
            <w:shd w:val="clear" w:color="auto" w:fill="F2F2F2"/>
            <w:vAlign w:val="center"/>
          </w:tcPr>
          <w:p>
            <w:r/>
            <w:r>
              <w:rPr>
                <w:rFonts w:ascii="Calibri" w:hAnsi="Calibri"/>
                <w:color w:val="333333"/>
                <w:sz w:val="19"/>
              </w:rPr>
              <w:t>$150K</w:t>
            </w:r>
          </w:p>
        </w:tc>
      </w:tr>
      <w:tr>
        <w:tc>
          <w:tcPr>
            <w:tcW w:type="dxa" w:w="6480"/>
            <w:vAlign w:val="center"/>
          </w:tcPr>
          <w:p>
            <w:r/>
            <w:r>
              <w:rPr>
                <w:rFonts w:ascii="Calibri" w:hAnsi="Calibri"/>
                <w:color w:val="333333"/>
                <w:sz w:val="19"/>
              </w:rPr>
              <w:t>Change management (ongoing)</w:t>
            </w:r>
          </w:p>
        </w:tc>
        <w:tc>
          <w:tcPr>
            <w:tcW w:type="dxa" w:w="2160"/>
            <w:vAlign w:val="center"/>
          </w:tcPr>
          <w:p>
            <w:r/>
            <w:r>
              <w:rPr>
                <w:rFonts w:ascii="Calibri" w:hAnsi="Calibri"/>
                <w:color w:val="333333"/>
                <w:sz w:val="19"/>
              </w:rPr>
              <w:t>$150K</w:t>
            </w:r>
          </w:p>
        </w:tc>
      </w:tr>
      <w:tr>
        <w:tc>
          <w:tcPr>
            <w:tcW w:type="dxa" w:w="6480"/>
            <w:shd w:val="clear" w:color="auto" w:fill="F2F2F2"/>
            <w:vAlign w:val="center"/>
          </w:tcPr>
          <w:p>
            <w:r/>
            <w:r>
              <w:rPr>
                <w:rFonts w:ascii="Calibri" w:hAnsi="Calibri"/>
                <w:color w:val="333333"/>
                <w:sz w:val="19"/>
              </w:rPr>
              <w:t>**TOTAL Ongoing**</w:t>
            </w:r>
          </w:p>
        </w:tc>
        <w:tc>
          <w:tcPr>
            <w:tcW w:type="dxa" w:w="2160"/>
            <w:shd w:val="clear" w:color="auto" w:fill="F2F2F2"/>
            <w:vAlign w:val="center"/>
          </w:tcPr>
          <w:p>
            <w:r/>
            <w:r>
              <w:rPr>
                <w:rFonts w:ascii="Calibri" w:hAnsi="Calibri"/>
                <w:color w:val="333333"/>
                <w:sz w:val="19"/>
              </w:rPr>
              <w:t>$1800K</w:t>
            </w:r>
          </w:p>
        </w:tc>
      </w:tr>
    </w:tbl>
    <w:p>
      <w:pPr>
        <w:spacing w:before="0" w:after="160" w:line="288" w:lineRule="auto"/>
      </w:pPr>
      <w:r>
        <w:rPr>
          <w:rFonts w:ascii="Calibri" w:hAnsi="Calibri"/>
          <w:b w:val="0"/>
          <w:i w:val="0"/>
        </w:rPr>
      </w:r>
    </w:p>
    <w:p>
      <w:pPr>
        <w:pStyle w:val="Heading2"/>
        <w:spacing w:before="280" w:after="120" w:line="276" w:lineRule="auto"/>
      </w:pPr>
      <w:r>
        <w:t>8.3 Annual Benefits</w:t>
      </w:r>
    </w:p>
    <w:tbl>
      <w:tblPr>
        <w:tblW w:type="auto" w:w="0"/>
        <w:jc w:val="center"/>
        <w:tblLook w:firstColumn="1" w:firstRow="1" w:lastColumn="0" w:lastRow="0" w:noHBand="0" w:noVBand="1" w:val="04A0"/>
      </w:tblPr>
      <w:tblGrid>
        <w:gridCol w:w="4680"/>
        <w:gridCol w:w="4680"/>
      </w:tblGrid>
      <w:tr>
        <w:tc>
          <w:tcPr>
            <w:tcW w:type="dxa" w:w="6480"/>
            <w:shd w:val="clear" w:color="auto" w:fill="003A70"/>
            <w:vAlign w:val="center"/>
          </w:tcPr>
          <w:p>
            <w:r/>
            <w:r>
              <w:rPr>
                <w:rFonts w:ascii="Calibri" w:hAnsi="Calibri"/>
                <w:b/>
                <w:color w:val="FFFFFF"/>
                <w:sz w:val="19"/>
              </w:rPr>
              <w:t>Benefit Category</w:t>
            </w:r>
          </w:p>
        </w:tc>
        <w:tc>
          <w:tcPr>
            <w:tcW w:type="dxa" w:w="2160"/>
            <w:shd w:val="clear" w:color="auto" w:fill="003A70"/>
            <w:vAlign w:val="center"/>
          </w:tcPr>
          <w:p>
            <w:r/>
            <w:r>
              <w:rPr>
                <w:rFonts w:ascii="Calibri" w:hAnsi="Calibri"/>
                <w:b/>
                <w:color w:val="FFFFFF"/>
                <w:sz w:val="19"/>
              </w:rPr>
              <w:t>Annual Value</w:t>
            </w:r>
          </w:p>
        </w:tc>
      </w:tr>
      <w:tr>
        <w:tc>
          <w:tcPr>
            <w:tcW w:type="dxa" w:w="6480"/>
            <w:vAlign w:val="center"/>
          </w:tcPr>
          <w:p>
            <w:r/>
            <w:r>
              <w:rPr>
                <w:rFonts w:ascii="Calibri" w:hAnsi="Calibri"/>
                <w:color w:val="333333"/>
                <w:sz w:val="19"/>
              </w:rPr>
              <w:t>Revenue protection (hedging avoided losses)</w:t>
            </w:r>
          </w:p>
        </w:tc>
        <w:tc>
          <w:tcPr>
            <w:tcW w:type="dxa" w:w="2160"/>
            <w:vAlign w:val="center"/>
          </w:tcPr>
          <w:p>
            <w:r/>
            <w:r>
              <w:rPr>
                <w:rFonts w:ascii="Calibri" w:hAnsi="Calibri"/>
                <w:color w:val="333333"/>
                <w:sz w:val="19"/>
              </w:rPr>
              <w:t>$1500K</w:t>
            </w:r>
          </w:p>
        </w:tc>
      </w:tr>
      <w:tr>
        <w:tc>
          <w:tcPr>
            <w:tcW w:type="dxa" w:w="6480"/>
            <w:shd w:val="clear" w:color="auto" w:fill="F2F2F2"/>
            <w:vAlign w:val="center"/>
          </w:tcPr>
          <w:p>
            <w:r/>
            <w:r>
              <w:rPr>
                <w:rFonts w:ascii="Calibri" w:hAnsi="Calibri"/>
                <w:color w:val="333333"/>
                <w:sz w:val="19"/>
              </w:rPr>
              <w:t>Market share defense (prevented erosion)</w:t>
            </w:r>
          </w:p>
        </w:tc>
        <w:tc>
          <w:tcPr>
            <w:tcW w:type="dxa" w:w="2160"/>
            <w:shd w:val="clear" w:color="auto" w:fill="F2F2F2"/>
            <w:vAlign w:val="center"/>
          </w:tcPr>
          <w:p>
            <w:r/>
            <w:r>
              <w:rPr>
                <w:rFonts w:ascii="Calibri" w:hAnsi="Calibri"/>
                <w:color w:val="333333"/>
                <w:sz w:val="19"/>
              </w:rPr>
              <w:t>$1800K</w:t>
            </w:r>
          </w:p>
        </w:tc>
      </w:tr>
      <w:tr>
        <w:tc>
          <w:tcPr>
            <w:tcW w:type="dxa" w:w="6480"/>
            <w:vAlign w:val="center"/>
          </w:tcPr>
          <w:p>
            <w:r/>
            <w:r>
              <w:rPr>
                <w:rFonts w:ascii="Calibri" w:hAnsi="Calibri"/>
                <w:color w:val="333333"/>
                <w:sz w:val="19"/>
              </w:rPr>
              <w:t>Young Rancher Program (new relationships)</w:t>
            </w:r>
          </w:p>
        </w:tc>
        <w:tc>
          <w:tcPr>
            <w:tcW w:type="dxa" w:w="2160"/>
            <w:vAlign w:val="center"/>
          </w:tcPr>
          <w:p>
            <w:r/>
            <w:r>
              <w:rPr>
                <w:rFonts w:ascii="Calibri" w:hAnsi="Calibri"/>
                <w:color w:val="333333"/>
                <w:sz w:val="19"/>
              </w:rPr>
              <w:t>$800K</w:t>
            </w:r>
          </w:p>
        </w:tc>
      </w:tr>
      <w:tr>
        <w:tc>
          <w:tcPr>
            <w:tcW w:type="dxa" w:w="6480"/>
            <w:shd w:val="clear" w:color="auto" w:fill="F2F2F2"/>
            <w:vAlign w:val="center"/>
          </w:tcPr>
          <w:p>
            <w:r/>
            <w:r>
              <w:rPr>
                <w:rFonts w:ascii="Calibri" w:hAnsi="Calibri"/>
                <w:color w:val="333333"/>
                <w:sz w:val="19"/>
              </w:rPr>
              <w:t>Advisory service fee revenue</w:t>
            </w:r>
          </w:p>
        </w:tc>
        <w:tc>
          <w:tcPr>
            <w:tcW w:type="dxa" w:w="2160"/>
            <w:shd w:val="clear" w:color="auto" w:fill="F2F2F2"/>
            <w:vAlign w:val="center"/>
          </w:tcPr>
          <w:p>
            <w:r/>
            <w:r>
              <w:rPr>
                <w:rFonts w:ascii="Calibri" w:hAnsi="Calibri"/>
                <w:color w:val="333333"/>
                <w:sz w:val="19"/>
              </w:rPr>
              <w:t>$1200K</w:t>
            </w:r>
          </w:p>
        </w:tc>
      </w:tr>
      <w:tr>
        <w:tc>
          <w:tcPr>
            <w:tcW w:type="dxa" w:w="6480"/>
            <w:vAlign w:val="center"/>
          </w:tcPr>
          <w:p>
            <w:r/>
            <w:r>
              <w:rPr>
                <w:rFonts w:ascii="Calibri" w:hAnsi="Calibri"/>
                <w:color w:val="333333"/>
                <w:sz w:val="19"/>
              </w:rPr>
              <w:t>Commission structure optimization</w:t>
            </w:r>
          </w:p>
        </w:tc>
        <w:tc>
          <w:tcPr>
            <w:tcW w:type="dxa" w:w="2160"/>
            <w:vAlign w:val="center"/>
          </w:tcPr>
          <w:p>
            <w:r/>
            <w:r>
              <w:rPr>
                <w:rFonts w:ascii="Calibri" w:hAnsi="Calibri"/>
                <w:color w:val="333333"/>
                <w:sz w:val="19"/>
              </w:rPr>
              <w:t>$700K</w:t>
            </w:r>
          </w:p>
        </w:tc>
      </w:tr>
      <w:tr>
        <w:tc>
          <w:tcPr>
            <w:tcW w:type="dxa" w:w="6480"/>
            <w:shd w:val="clear" w:color="auto" w:fill="F2F2F2"/>
            <w:vAlign w:val="center"/>
          </w:tcPr>
          <w:p>
            <w:r/>
            <w:r>
              <w:rPr>
                <w:rFonts w:ascii="Calibri" w:hAnsi="Calibri"/>
                <w:color w:val="333333"/>
                <w:sz w:val="19"/>
              </w:rPr>
              <w:t>Inventory hedging gain (expected value)</w:t>
            </w:r>
          </w:p>
        </w:tc>
        <w:tc>
          <w:tcPr>
            <w:tcW w:type="dxa" w:w="2160"/>
            <w:shd w:val="clear" w:color="auto" w:fill="F2F2F2"/>
            <w:vAlign w:val="center"/>
          </w:tcPr>
          <w:p>
            <w:r/>
            <w:r>
              <w:rPr>
                <w:rFonts w:ascii="Calibri" w:hAnsi="Calibri"/>
                <w:color w:val="333333"/>
                <w:sz w:val="19"/>
              </w:rPr>
              <w:t>$500K</w:t>
            </w:r>
          </w:p>
        </w:tc>
      </w:tr>
      <w:tr>
        <w:tc>
          <w:tcPr>
            <w:tcW w:type="dxa" w:w="6480"/>
            <w:vAlign w:val="center"/>
          </w:tcPr>
          <w:p>
            <w:r/>
            <w:r>
              <w:rPr>
                <w:rFonts w:ascii="Calibri" w:hAnsi="Calibri"/>
                <w:color w:val="333333"/>
                <w:sz w:val="19"/>
              </w:rPr>
              <w:t>**TOTAL Annual Benefit**</w:t>
            </w:r>
          </w:p>
        </w:tc>
        <w:tc>
          <w:tcPr>
            <w:tcW w:type="dxa" w:w="2160"/>
            <w:vAlign w:val="center"/>
          </w:tcPr>
          <w:p>
            <w:r/>
            <w:r>
              <w:rPr>
                <w:rFonts w:ascii="Calibri" w:hAnsi="Calibri"/>
                <w:color w:val="333333"/>
                <w:sz w:val="19"/>
              </w:rPr>
              <w:t>$6500K</w:t>
            </w:r>
          </w:p>
        </w:tc>
      </w:tr>
    </w:tbl>
    <w:p>
      <w:pPr>
        <w:spacing w:before="0" w:after="160" w:line="288" w:lineRule="auto"/>
      </w:pPr>
      <w:r>
        <w:rPr>
          <w:rFonts w:ascii="Calibri" w:hAnsi="Calibri"/>
          <w:b w:val="0"/>
          <w:i w:val="0"/>
        </w:rPr>
      </w:r>
    </w:p>
    <w:p>
      <w:pPr>
        <w:pStyle w:val="Heading2"/>
        <w:spacing w:before="280" w:after="120" w:line="276" w:lineRule="auto"/>
      </w:pPr>
      <w:r>
        <w:t>8.4 10-Year Cash Flows &amp; NPV</w:t>
      </w:r>
    </w:p>
    <w:tbl>
      <w:tblPr>
        <w:tblW w:type="auto" w:w="0"/>
        <w:jc w:val="center"/>
        <w:tblLook w:firstColumn="1" w:firstRow="1" w:lastColumn="0" w:lastRow="0" w:noHBand="0" w:noVBand="1" w:val="04A0"/>
      </w:tblPr>
      <w:tblGrid>
        <w:gridCol w:w="1872"/>
        <w:gridCol w:w="1872"/>
        <w:gridCol w:w="1872"/>
        <w:gridCol w:w="1872"/>
        <w:gridCol w:w="1872"/>
      </w:tblGrid>
      <w:tr>
        <w:tc>
          <w:tcPr>
            <w:tcW w:type="dxa" w:w="1296"/>
            <w:shd w:val="clear" w:color="auto" w:fill="003A70"/>
            <w:vAlign w:val="center"/>
          </w:tcPr>
          <w:p>
            <w:r/>
            <w:r>
              <w:rPr>
                <w:rFonts w:ascii="Calibri" w:hAnsi="Calibri"/>
                <w:b/>
                <w:color w:val="FFFFFF"/>
                <w:sz w:val="19"/>
              </w:rPr>
              <w:t>Year</w:t>
            </w:r>
          </w:p>
        </w:tc>
        <w:tc>
          <w:tcPr>
            <w:tcW w:type="dxa" w:w="1584"/>
            <w:shd w:val="clear" w:color="auto" w:fill="003A70"/>
            <w:vAlign w:val="center"/>
          </w:tcPr>
          <w:p>
            <w:r/>
            <w:r>
              <w:rPr>
                <w:rFonts w:ascii="Calibri" w:hAnsi="Calibri"/>
                <w:b/>
                <w:color w:val="FFFFFF"/>
                <w:sz w:val="19"/>
              </w:rPr>
              <w:t>Cost</w:t>
            </w:r>
          </w:p>
        </w:tc>
        <w:tc>
          <w:tcPr>
            <w:tcW w:type="dxa" w:w="1584"/>
            <w:shd w:val="clear" w:color="auto" w:fill="003A70"/>
            <w:vAlign w:val="center"/>
          </w:tcPr>
          <w:p>
            <w:r/>
            <w:r>
              <w:rPr>
                <w:rFonts w:ascii="Calibri" w:hAnsi="Calibri"/>
                <w:b/>
                <w:color w:val="FFFFFF"/>
                <w:sz w:val="19"/>
              </w:rPr>
              <w:t>Benefit</w:t>
            </w:r>
          </w:p>
        </w:tc>
        <w:tc>
          <w:tcPr>
            <w:tcW w:type="dxa" w:w="1584"/>
            <w:shd w:val="clear" w:color="auto" w:fill="003A70"/>
            <w:vAlign w:val="center"/>
          </w:tcPr>
          <w:p>
            <w:r/>
            <w:r>
              <w:rPr>
                <w:rFonts w:ascii="Calibri" w:hAnsi="Calibri"/>
                <w:b/>
                <w:color w:val="FFFFFF"/>
                <w:sz w:val="19"/>
              </w:rPr>
              <w:t>Net CF</w:t>
            </w:r>
          </w:p>
        </w:tc>
        <w:tc>
          <w:tcPr>
            <w:tcW w:type="dxa" w:w="1872"/>
            <w:shd w:val="clear" w:color="auto" w:fill="003A70"/>
            <w:vAlign w:val="center"/>
          </w:tcPr>
          <w:p>
            <w:r/>
            <w:r>
              <w:rPr>
                <w:rFonts w:ascii="Calibri" w:hAnsi="Calibri"/>
                <w:b/>
                <w:color w:val="FFFFFF"/>
                <w:sz w:val="19"/>
              </w:rPr>
              <w:t>Cumulative</w:t>
            </w:r>
          </w:p>
        </w:tc>
      </w:tr>
      <w:tr>
        <w:tc>
          <w:tcPr>
            <w:tcW w:type="dxa" w:w="1296"/>
            <w:vAlign w:val="center"/>
          </w:tcPr>
          <w:p>
            <w:r/>
            <w:r>
              <w:rPr>
                <w:rFonts w:ascii="Calibri" w:hAnsi="Calibri"/>
                <w:color w:val="333333"/>
                <w:sz w:val="19"/>
              </w:rPr>
              <w:t>Year 1</w:t>
            </w:r>
          </w:p>
        </w:tc>
        <w:tc>
          <w:tcPr>
            <w:tcW w:type="dxa" w:w="1584"/>
            <w:vAlign w:val="center"/>
          </w:tcPr>
          <w:p>
            <w:r/>
            <w:r>
              <w:rPr>
                <w:rFonts w:ascii="Calibri" w:hAnsi="Calibri"/>
                <w:color w:val="333333"/>
                <w:sz w:val="19"/>
              </w:rPr>
              <w:t>$2800K</w:t>
            </w:r>
          </w:p>
        </w:tc>
        <w:tc>
          <w:tcPr>
            <w:tcW w:type="dxa" w:w="1584"/>
            <w:vAlign w:val="center"/>
          </w:tcPr>
          <w:p>
            <w:r/>
            <w:r>
              <w:rPr>
                <w:rFonts w:ascii="Calibri" w:hAnsi="Calibri"/>
                <w:color w:val="333333"/>
                <w:sz w:val="19"/>
              </w:rPr>
              <w:t>$2600K</w:t>
            </w:r>
          </w:p>
        </w:tc>
        <w:tc>
          <w:tcPr>
            <w:tcW w:type="dxa" w:w="1584"/>
            <w:vAlign w:val="center"/>
          </w:tcPr>
          <w:p>
            <w:r/>
            <w:r>
              <w:rPr>
                <w:rFonts w:ascii="Calibri" w:hAnsi="Calibri"/>
                <w:color w:val="333333"/>
                <w:sz w:val="19"/>
              </w:rPr>
              <w:t>$-200K</w:t>
            </w:r>
          </w:p>
        </w:tc>
        <w:tc>
          <w:tcPr>
            <w:tcW w:type="dxa" w:w="1872"/>
            <w:vAlign w:val="center"/>
          </w:tcPr>
          <w:p>
            <w:r/>
            <w:r>
              <w:rPr>
                <w:rFonts w:ascii="Calibri" w:hAnsi="Calibri"/>
                <w:color w:val="333333"/>
                <w:sz w:val="19"/>
              </w:rPr>
              <w:t>$-200K</w:t>
            </w:r>
          </w:p>
        </w:tc>
      </w:tr>
      <w:tr>
        <w:tc>
          <w:tcPr>
            <w:tcW w:type="dxa" w:w="1296"/>
            <w:shd w:val="clear" w:color="auto" w:fill="F2F2F2"/>
            <w:vAlign w:val="center"/>
          </w:tcPr>
          <w:p>
            <w:r/>
            <w:r>
              <w:rPr>
                <w:rFonts w:ascii="Calibri" w:hAnsi="Calibri"/>
                <w:color w:val="333333"/>
                <w:sz w:val="19"/>
              </w:rPr>
              <w:t>Year 2</w:t>
            </w:r>
          </w:p>
        </w:tc>
        <w:tc>
          <w:tcPr>
            <w:tcW w:type="dxa" w:w="1584"/>
            <w:shd w:val="clear" w:color="auto" w:fill="F2F2F2"/>
            <w:vAlign w:val="center"/>
          </w:tcPr>
          <w:p>
            <w:r/>
            <w:r>
              <w:rPr>
                <w:rFonts w:ascii="Calibri" w:hAnsi="Calibri"/>
                <w:color w:val="333333"/>
                <w:sz w:val="19"/>
              </w:rPr>
              <w:t>$1800K</w:t>
            </w:r>
          </w:p>
        </w:tc>
        <w:tc>
          <w:tcPr>
            <w:tcW w:type="dxa" w:w="1584"/>
            <w:shd w:val="clear" w:color="auto" w:fill="F2F2F2"/>
            <w:vAlign w:val="center"/>
          </w:tcPr>
          <w:p>
            <w:r/>
            <w:r>
              <w:rPr>
                <w:rFonts w:ascii="Calibri" w:hAnsi="Calibri"/>
                <w:color w:val="333333"/>
                <w:sz w:val="19"/>
              </w:rPr>
              <w:t>$5200K</w:t>
            </w:r>
          </w:p>
        </w:tc>
        <w:tc>
          <w:tcPr>
            <w:tcW w:type="dxa" w:w="1584"/>
            <w:shd w:val="clear" w:color="auto" w:fill="F2F2F2"/>
            <w:vAlign w:val="center"/>
          </w:tcPr>
          <w:p>
            <w:r/>
            <w:r>
              <w:rPr>
                <w:rFonts w:ascii="Calibri" w:hAnsi="Calibri"/>
                <w:color w:val="333333"/>
                <w:sz w:val="19"/>
              </w:rPr>
              <w:t>$3400K</w:t>
            </w:r>
          </w:p>
        </w:tc>
        <w:tc>
          <w:tcPr>
            <w:tcW w:type="dxa" w:w="1872"/>
            <w:shd w:val="clear" w:color="auto" w:fill="F2F2F2"/>
            <w:vAlign w:val="center"/>
          </w:tcPr>
          <w:p>
            <w:r/>
            <w:r>
              <w:rPr>
                <w:rFonts w:ascii="Calibri" w:hAnsi="Calibri"/>
                <w:color w:val="333333"/>
                <w:sz w:val="19"/>
              </w:rPr>
              <w:t>$3200K</w:t>
            </w:r>
          </w:p>
        </w:tc>
      </w:tr>
      <w:tr>
        <w:tc>
          <w:tcPr>
            <w:tcW w:type="dxa" w:w="1296"/>
            <w:vAlign w:val="center"/>
          </w:tcPr>
          <w:p>
            <w:r/>
            <w:r>
              <w:rPr>
                <w:rFonts w:ascii="Calibri" w:hAnsi="Calibri"/>
                <w:color w:val="333333"/>
                <w:sz w:val="19"/>
              </w:rPr>
              <w:t>Year 3</w:t>
            </w:r>
          </w:p>
        </w:tc>
        <w:tc>
          <w:tcPr>
            <w:tcW w:type="dxa" w:w="1584"/>
            <w:vAlign w:val="center"/>
          </w:tcPr>
          <w:p>
            <w:r/>
            <w:r>
              <w:rPr>
                <w:rFonts w:ascii="Calibri" w:hAnsi="Calibri"/>
                <w:color w:val="333333"/>
                <w:sz w:val="19"/>
              </w:rPr>
              <w:t>$1800K</w:t>
            </w:r>
          </w:p>
        </w:tc>
        <w:tc>
          <w:tcPr>
            <w:tcW w:type="dxa" w:w="1584"/>
            <w:vAlign w:val="center"/>
          </w:tcPr>
          <w:p>
            <w:r/>
            <w:r>
              <w:rPr>
                <w:rFonts w:ascii="Calibri" w:hAnsi="Calibri"/>
                <w:color w:val="333333"/>
                <w:sz w:val="19"/>
              </w:rPr>
              <w:t>$6500K</w:t>
            </w:r>
          </w:p>
        </w:tc>
        <w:tc>
          <w:tcPr>
            <w:tcW w:type="dxa" w:w="1584"/>
            <w:vAlign w:val="center"/>
          </w:tcPr>
          <w:p>
            <w:r/>
            <w:r>
              <w:rPr>
                <w:rFonts w:ascii="Calibri" w:hAnsi="Calibri"/>
                <w:color w:val="333333"/>
                <w:sz w:val="19"/>
              </w:rPr>
              <w:t>$4700K</w:t>
            </w:r>
          </w:p>
        </w:tc>
        <w:tc>
          <w:tcPr>
            <w:tcW w:type="dxa" w:w="1872"/>
            <w:vAlign w:val="center"/>
          </w:tcPr>
          <w:p>
            <w:r/>
            <w:r>
              <w:rPr>
                <w:rFonts w:ascii="Calibri" w:hAnsi="Calibri"/>
                <w:color w:val="333333"/>
                <w:sz w:val="19"/>
              </w:rPr>
              <w:t>$7900K</w:t>
            </w:r>
          </w:p>
        </w:tc>
      </w:tr>
      <w:tr>
        <w:tc>
          <w:tcPr>
            <w:tcW w:type="dxa" w:w="1296"/>
            <w:shd w:val="clear" w:color="auto" w:fill="F2F2F2"/>
            <w:vAlign w:val="center"/>
          </w:tcPr>
          <w:p>
            <w:r/>
            <w:r>
              <w:rPr>
                <w:rFonts w:ascii="Calibri" w:hAnsi="Calibri"/>
                <w:color w:val="333333"/>
                <w:sz w:val="19"/>
              </w:rPr>
              <w:t>Year 4</w:t>
            </w:r>
          </w:p>
        </w:tc>
        <w:tc>
          <w:tcPr>
            <w:tcW w:type="dxa" w:w="1584"/>
            <w:shd w:val="clear" w:color="auto" w:fill="F2F2F2"/>
            <w:vAlign w:val="center"/>
          </w:tcPr>
          <w:p>
            <w:r/>
            <w:r>
              <w:rPr>
                <w:rFonts w:ascii="Calibri" w:hAnsi="Calibri"/>
                <w:color w:val="333333"/>
                <w:sz w:val="19"/>
              </w:rPr>
              <w:t>$1800K</w:t>
            </w:r>
          </w:p>
        </w:tc>
        <w:tc>
          <w:tcPr>
            <w:tcW w:type="dxa" w:w="1584"/>
            <w:shd w:val="clear" w:color="auto" w:fill="F2F2F2"/>
            <w:vAlign w:val="center"/>
          </w:tcPr>
          <w:p>
            <w:r/>
            <w:r>
              <w:rPr>
                <w:rFonts w:ascii="Calibri" w:hAnsi="Calibri"/>
                <w:color w:val="333333"/>
                <w:sz w:val="19"/>
              </w:rPr>
              <w:t>$6500K</w:t>
            </w:r>
          </w:p>
        </w:tc>
        <w:tc>
          <w:tcPr>
            <w:tcW w:type="dxa" w:w="1584"/>
            <w:shd w:val="clear" w:color="auto" w:fill="F2F2F2"/>
            <w:vAlign w:val="center"/>
          </w:tcPr>
          <w:p>
            <w:r/>
            <w:r>
              <w:rPr>
                <w:rFonts w:ascii="Calibri" w:hAnsi="Calibri"/>
                <w:color w:val="333333"/>
                <w:sz w:val="19"/>
              </w:rPr>
              <w:t>$4700K</w:t>
            </w:r>
          </w:p>
        </w:tc>
        <w:tc>
          <w:tcPr>
            <w:tcW w:type="dxa" w:w="1872"/>
            <w:shd w:val="clear" w:color="auto" w:fill="F2F2F2"/>
            <w:vAlign w:val="center"/>
          </w:tcPr>
          <w:p>
            <w:r/>
            <w:r>
              <w:rPr>
                <w:rFonts w:ascii="Calibri" w:hAnsi="Calibri"/>
                <w:color w:val="333333"/>
                <w:sz w:val="19"/>
              </w:rPr>
              <w:t>$12600K</w:t>
            </w:r>
          </w:p>
        </w:tc>
      </w:tr>
      <w:tr>
        <w:tc>
          <w:tcPr>
            <w:tcW w:type="dxa" w:w="1296"/>
            <w:vAlign w:val="center"/>
          </w:tcPr>
          <w:p>
            <w:r/>
            <w:r>
              <w:rPr>
                <w:rFonts w:ascii="Calibri" w:hAnsi="Calibri"/>
                <w:color w:val="333333"/>
                <w:sz w:val="19"/>
              </w:rPr>
              <w:t>Year 5</w:t>
            </w:r>
          </w:p>
        </w:tc>
        <w:tc>
          <w:tcPr>
            <w:tcW w:type="dxa" w:w="1584"/>
            <w:vAlign w:val="center"/>
          </w:tcPr>
          <w:p>
            <w:r/>
            <w:r>
              <w:rPr>
                <w:rFonts w:ascii="Calibri" w:hAnsi="Calibri"/>
                <w:color w:val="333333"/>
                <w:sz w:val="19"/>
              </w:rPr>
              <w:t>$1800K</w:t>
            </w:r>
          </w:p>
        </w:tc>
        <w:tc>
          <w:tcPr>
            <w:tcW w:type="dxa" w:w="1584"/>
            <w:vAlign w:val="center"/>
          </w:tcPr>
          <w:p>
            <w:r/>
            <w:r>
              <w:rPr>
                <w:rFonts w:ascii="Calibri" w:hAnsi="Calibri"/>
                <w:color w:val="333333"/>
                <w:sz w:val="19"/>
              </w:rPr>
              <w:t>$6500K</w:t>
            </w:r>
          </w:p>
        </w:tc>
        <w:tc>
          <w:tcPr>
            <w:tcW w:type="dxa" w:w="1584"/>
            <w:vAlign w:val="center"/>
          </w:tcPr>
          <w:p>
            <w:r/>
            <w:r>
              <w:rPr>
                <w:rFonts w:ascii="Calibri" w:hAnsi="Calibri"/>
                <w:color w:val="333333"/>
                <w:sz w:val="19"/>
              </w:rPr>
              <w:t>$4700K</w:t>
            </w:r>
          </w:p>
        </w:tc>
        <w:tc>
          <w:tcPr>
            <w:tcW w:type="dxa" w:w="1872"/>
            <w:vAlign w:val="center"/>
          </w:tcPr>
          <w:p>
            <w:r/>
            <w:r>
              <w:rPr>
                <w:rFonts w:ascii="Calibri" w:hAnsi="Calibri"/>
                <w:color w:val="333333"/>
                <w:sz w:val="19"/>
              </w:rPr>
              <w:t>$17300K</w:t>
            </w:r>
          </w:p>
        </w:tc>
      </w:tr>
      <w:tr>
        <w:tc>
          <w:tcPr>
            <w:tcW w:type="dxa" w:w="1296"/>
            <w:shd w:val="clear" w:color="auto" w:fill="F2F2F2"/>
            <w:vAlign w:val="center"/>
          </w:tcPr>
          <w:p>
            <w:r/>
            <w:r>
              <w:rPr>
                <w:rFonts w:ascii="Calibri" w:hAnsi="Calibri"/>
                <w:color w:val="333333"/>
                <w:sz w:val="19"/>
              </w:rPr>
              <w:t>Year 6</w:t>
            </w:r>
          </w:p>
        </w:tc>
        <w:tc>
          <w:tcPr>
            <w:tcW w:type="dxa" w:w="1584"/>
            <w:shd w:val="clear" w:color="auto" w:fill="F2F2F2"/>
            <w:vAlign w:val="center"/>
          </w:tcPr>
          <w:p>
            <w:r/>
            <w:r>
              <w:rPr>
                <w:rFonts w:ascii="Calibri" w:hAnsi="Calibri"/>
                <w:color w:val="333333"/>
                <w:sz w:val="19"/>
              </w:rPr>
              <w:t>$1800K</w:t>
            </w:r>
          </w:p>
        </w:tc>
        <w:tc>
          <w:tcPr>
            <w:tcW w:type="dxa" w:w="1584"/>
            <w:shd w:val="clear" w:color="auto" w:fill="F2F2F2"/>
            <w:vAlign w:val="center"/>
          </w:tcPr>
          <w:p>
            <w:r/>
            <w:r>
              <w:rPr>
                <w:rFonts w:ascii="Calibri" w:hAnsi="Calibri"/>
                <w:color w:val="333333"/>
                <w:sz w:val="19"/>
              </w:rPr>
              <w:t>$6500K</w:t>
            </w:r>
          </w:p>
        </w:tc>
        <w:tc>
          <w:tcPr>
            <w:tcW w:type="dxa" w:w="1584"/>
            <w:shd w:val="clear" w:color="auto" w:fill="F2F2F2"/>
            <w:vAlign w:val="center"/>
          </w:tcPr>
          <w:p>
            <w:r/>
            <w:r>
              <w:rPr>
                <w:rFonts w:ascii="Calibri" w:hAnsi="Calibri"/>
                <w:color w:val="333333"/>
                <w:sz w:val="19"/>
              </w:rPr>
              <w:t>$4700K</w:t>
            </w:r>
          </w:p>
        </w:tc>
        <w:tc>
          <w:tcPr>
            <w:tcW w:type="dxa" w:w="1872"/>
            <w:shd w:val="clear" w:color="auto" w:fill="F2F2F2"/>
            <w:vAlign w:val="center"/>
          </w:tcPr>
          <w:p>
            <w:r/>
            <w:r>
              <w:rPr>
                <w:rFonts w:ascii="Calibri" w:hAnsi="Calibri"/>
                <w:color w:val="333333"/>
                <w:sz w:val="19"/>
              </w:rPr>
              <w:t>$22000K</w:t>
            </w:r>
          </w:p>
        </w:tc>
      </w:tr>
      <w:tr>
        <w:tc>
          <w:tcPr>
            <w:tcW w:type="dxa" w:w="1296"/>
            <w:vAlign w:val="center"/>
          </w:tcPr>
          <w:p>
            <w:r/>
            <w:r>
              <w:rPr>
                <w:rFonts w:ascii="Calibri" w:hAnsi="Calibri"/>
                <w:color w:val="333333"/>
                <w:sz w:val="19"/>
              </w:rPr>
              <w:t>Year 7</w:t>
            </w:r>
          </w:p>
        </w:tc>
        <w:tc>
          <w:tcPr>
            <w:tcW w:type="dxa" w:w="1584"/>
            <w:vAlign w:val="center"/>
          </w:tcPr>
          <w:p>
            <w:r/>
            <w:r>
              <w:rPr>
                <w:rFonts w:ascii="Calibri" w:hAnsi="Calibri"/>
                <w:color w:val="333333"/>
                <w:sz w:val="19"/>
              </w:rPr>
              <w:t>$1800K</w:t>
            </w:r>
          </w:p>
        </w:tc>
        <w:tc>
          <w:tcPr>
            <w:tcW w:type="dxa" w:w="1584"/>
            <w:vAlign w:val="center"/>
          </w:tcPr>
          <w:p>
            <w:r/>
            <w:r>
              <w:rPr>
                <w:rFonts w:ascii="Calibri" w:hAnsi="Calibri"/>
                <w:color w:val="333333"/>
                <w:sz w:val="19"/>
              </w:rPr>
              <w:t>$6500K</w:t>
            </w:r>
          </w:p>
        </w:tc>
        <w:tc>
          <w:tcPr>
            <w:tcW w:type="dxa" w:w="1584"/>
            <w:vAlign w:val="center"/>
          </w:tcPr>
          <w:p>
            <w:r/>
            <w:r>
              <w:rPr>
                <w:rFonts w:ascii="Calibri" w:hAnsi="Calibri"/>
                <w:color w:val="333333"/>
                <w:sz w:val="19"/>
              </w:rPr>
              <w:t>$4700K</w:t>
            </w:r>
          </w:p>
        </w:tc>
        <w:tc>
          <w:tcPr>
            <w:tcW w:type="dxa" w:w="1872"/>
            <w:vAlign w:val="center"/>
          </w:tcPr>
          <w:p>
            <w:r/>
            <w:r>
              <w:rPr>
                <w:rFonts w:ascii="Calibri" w:hAnsi="Calibri"/>
                <w:color w:val="333333"/>
                <w:sz w:val="19"/>
              </w:rPr>
              <w:t>$26700K</w:t>
            </w:r>
          </w:p>
        </w:tc>
      </w:tr>
      <w:tr>
        <w:tc>
          <w:tcPr>
            <w:tcW w:type="dxa" w:w="1296"/>
            <w:shd w:val="clear" w:color="auto" w:fill="F2F2F2"/>
            <w:vAlign w:val="center"/>
          </w:tcPr>
          <w:p>
            <w:r/>
            <w:r>
              <w:rPr>
                <w:rFonts w:ascii="Calibri" w:hAnsi="Calibri"/>
                <w:color w:val="333333"/>
                <w:sz w:val="19"/>
              </w:rPr>
              <w:t>Year 8</w:t>
            </w:r>
          </w:p>
        </w:tc>
        <w:tc>
          <w:tcPr>
            <w:tcW w:type="dxa" w:w="1584"/>
            <w:shd w:val="clear" w:color="auto" w:fill="F2F2F2"/>
            <w:vAlign w:val="center"/>
          </w:tcPr>
          <w:p>
            <w:r/>
            <w:r>
              <w:rPr>
                <w:rFonts w:ascii="Calibri" w:hAnsi="Calibri"/>
                <w:color w:val="333333"/>
                <w:sz w:val="19"/>
              </w:rPr>
              <w:t>$1800K</w:t>
            </w:r>
          </w:p>
        </w:tc>
        <w:tc>
          <w:tcPr>
            <w:tcW w:type="dxa" w:w="1584"/>
            <w:shd w:val="clear" w:color="auto" w:fill="F2F2F2"/>
            <w:vAlign w:val="center"/>
          </w:tcPr>
          <w:p>
            <w:r/>
            <w:r>
              <w:rPr>
                <w:rFonts w:ascii="Calibri" w:hAnsi="Calibri"/>
                <w:color w:val="333333"/>
                <w:sz w:val="19"/>
              </w:rPr>
              <w:t>$6500K</w:t>
            </w:r>
          </w:p>
        </w:tc>
        <w:tc>
          <w:tcPr>
            <w:tcW w:type="dxa" w:w="1584"/>
            <w:shd w:val="clear" w:color="auto" w:fill="F2F2F2"/>
            <w:vAlign w:val="center"/>
          </w:tcPr>
          <w:p>
            <w:r/>
            <w:r>
              <w:rPr>
                <w:rFonts w:ascii="Calibri" w:hAnsi="Calibri"/>
                <w:color w:val="333333"/>
                <w:sz w:val="19"/>
              </w:rPr>
              <w:t>$4700K</w:t>
            </w:r>
          </w:p>
        </w:tc>
        <w:tc>
          <w:tcPr>
            <w:tcW w:type="dxa" w:w="1872"/>
            <w:shd w:val="clear" w:color="auto" w:fill="F2F2F2"/>
            <w:vAlign w:val="center"/>
          </w:tcPr>
          <w:p>
            <w:r/>
            <w:r>
              <w:rPr>
                <w:rFonts w:ascii="Calibri" w:hAnsi="Calibri"/>
                <w:color w:val="333333"/>
                <w:sz w:val="19"/>
              </w:rPr>
              <w:t>$31400K</w:t>
            </w:r>
          </w:p>
        </w:tc>
      </w:tr>
      <w:tr>
        <w:tc>
          <w:tcPr>
            <w:tcW w:type="dxa" w:w="1296"/>
            <w:vAlign w:val="center"/>
          </w:tcPr>
          <w:p>
            <w:r/>
            <w:r>
              <w:rPr>
                <w:rFonts w:ascii="Calibri" w:hAnsi="Calibri"/>
                <w:color w:val="333333"/>
                <w:sz w:val="19"/>
              </w:rPr>
              <w:t>Year 9</w:t>
            </w:r>
          </w:p>
        </w:tc>
        <w:tc>
          <w:tcPr>
            <w:tcW w:type="dxa" w:w="1584"/>
            <w:vAlign w:val="center"/>
          </w:tcPr>
          <w:p>
            <w:r/>
            <w:r>
              <w:rPr>
                <w:rFonts w:ascii="Calibri" w:hAnsi="Calibri"/>
                <w:color w:val="333333"/>
                <w:sz w:val="19"/>
              </w:rPr>
              <w:t>$1800K</w:t>
            </w:r>
          </w:p>
        </w:tc>
        <w:tc>
          <w:tcPr>
            <w:tcW w:type="dxa" w:w="1584"/>
            <w:vAlign w:val="center"/>
          </w:tcPr>
          <w:p>
            <w:r/>
            <w:r>
              <w:rPr>
                <w:rFonts w:ascii="Calibri" w:hAnsi="Calibri"/>
                <w:color w:val="333333"/>
                <w:sz w:val="19"/>
              </w:rPr>
              <w:t>$6500K</w:t>
            </w:r>
          </w:p>
        </w:tc>
        <w:tc>
          <w:tcPr>
            <w:tcW w:type="dxa" w:w="1584"/>
            <w:vAlign w:val="center"/>
          </w:tcPr>
          <w:p>
            <w:r/>
            <w:r>
              <w:rPr>
                <w:rFonts w:ascii="Calibri" w:hAnsi="Calibri"/>
                <w:color w:val="333333"/>
                <w:sz w:val="19"/>
              </w:rPr>
              <w:t>$4700K</w:t>
            </w:r>
          </w:p>
        </w:tc>
        <w:tc>
          <w:tcPr>
            <w:tcW w:type="dxa" w:w="1872"/>
            <w:vAlign w:val="center"/>
          </w:tcPr>
          <w:p>
            <w:r/>
            <w:r>
              <w:rPr>
                <w:rFonts w:ascii="Calibri" w:hAnsi="Calibri"/>
                <w:color w:val="333333"/>
                <w:sz w:val="19"/>
              </w:rPr>
              <w:t>$36100K</w:t>
            </w:r>
          </w:p>
        </w:tc>
      </w:tr>
      <w:tr>
        <w:tc>
          <w:tcPr>
            <w:tcW w:type="dxa" w:w="1296"/>
            <w:shd w:val="clear" w:color="auto" w:fill="F2F2F2"/>
            <w:vAlign w:val="center"/>
          </w:tcPr>
          <w:p>
            <w:r/>
            <w:r>
              <w:rPr>
                <w:rFonts w:ascii="Calibri" w:hAnsi="Calibri"/>
                <w:color w:val="333333"/>
                <w:sz w:val="19"/>
              </w:rPr>
              <w:t>Year 10</w:t>
            </w:r>
          </w:p>
        </w:tc>
        <w:tc>
          <w:tcPr>
            <w:tcW w:type="dxa" w:w="1584"/>
            <w:shd w:val="clear" w:color="auto" w:fill="F2F2F2"/>
            <w:vAlign w:val="center"/>
          </w:tcPr>
          <w:p>
            <w:r/>
            <w:r>
              <w:rPr>
                <w:rFonts w:ascii="Calibri" w:hAnsi="Calibri"/>
                <w:color w:val="333333"/>
                <w:sz w:val="19"/>
              </w:rPr>
              <w:t>$1800K</w:t>
            </w:r>
          </w:p>
        </w:tc>
        <w:tc>
          <w:tcPr>
            <w:tcW w:type="dxa" w:w="1584"/>
            <w:shd w:val="clear" w:color="auto" w:fill="F2F2F2"/>
            <w:vAlign w:val="center"/>
          </w:tcPr>
          <w:p>
            <w:r/>
            <w:r>
              <w:rPr>
                <w:rFonts w:ascii="Calibri" w:hAnsi="Calibri"/>
                <w:color w:val="333333"/>
                <w:sz w:val="19"/>
              </w:rPr>
              <w:t>$6500K</w:t>
            </w:r>
          </w:p>
        </w:tc>
        <w:tc>
          <w:tcPr>
            <w:tcW w:type="dxa" w:w="1584"/>
            <w:shd w:val="clear" w:color="auto" w:fill="F2F2F2"/>
            <w:vAlign w:val="center"/>
          </w:tcPr>
          <w:p>
            <w:r/>
            <w:r>
              <w:rPr>
                <w:rFonts w:ascii="Calibri" w:hAnsi="Calibri"/>
                <w:color w:val="333333"/>
                <w:sz w:val="19"/>
              </w:rPr>
              <w:t>$4700K</w:t>
            </w:r>
          </w:p>
        </w:tc>
        <w:tc>
          <w:tcPr>
            <w:tcW w:type="dxa" w:w="1872"/>
            <w:shd w:val="clear" w:color="auto" w:fill="F2F2F2"/>
            <w:vAlign w:val="center"/>
          </w:tcPr>
          <w:p>
            <w:r/>
            <w:r>
              <w:rPr>
                <w:rFonts w:ascii="Calibri" w:hAnsi="Calibri"/>
                <w:color w:val="333333"/>
                <w:sz w:val="19"/>
              </w:rPr>
              <w:t>$40800K</w:t>
            </w:r>
          </w:p>
        </w:tc>
      </w:tr>
    </w:tbl>
    <w:p>
      <w:pPr>
        <w:spacing w:before="0" w:after="160" w:line="288" w:lineRule="auto"/>
      </w:pPr>
      <w:r>
        <w:rPr>
          <w:rFonts w:ascii="Calibri" w:hAnsi="Calibri"/>
          <w:b w:val="0"/>
          <w:i w:val="0"/>
        </w:rPr>
      </w:r>
    </w:p>
    <w:p>
      <w:pPr>
        <w:spacing w:before="0" w:after="160" w:line="300" w:lineRule="auto"/>
      </w:pPr>
      <w:r>
        <w:rPr>
          <w:rFonts w:ascii="Calibri" w:hAnsi="Calibri"/>
          <w:b w:val="0"/>
          <w:i w:val="0"/>
          <w:sz w:val="21"/>
        </w:rPr>
        <w:t>10-Year NPV (8% discount): $25.9M | ROI: 215% | Payback: 13 months</w:t>
      </w:r>
    </w:p>
    <w:p>
      <w:pPr>
        <w:jc w:val="center"/>
      </w:pPr>
      <w:r>
        <w:drawing>
          <wp:inline xmlns:a="http://schemas.openxmlformats.org/drawingml/2006/main" xmlns:pic="http://schemas.openxmlformats.org/drawingml/2006/picture">
            <wp:extent cx="5943600" cy="3848349"/>
            <wp:docPr id="13" name="Picture 13"/>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943600" cy="3848349"/>
                    </a:xfrm>
                    <a:prstGeom prst="rect"/>
                  </pic:spPr>
                </pic:pic>
              </a:graphicData>
            </a:graphic>
          </wp:inline>
        </w:drawing>
      </w:r>
    </w:p>
    <w:p>
      <w:pPr>
        <w:spacing w:before="0" w:after="240" w:line="276" w:lineRule="auto"/>
        <w:jc w:val="center"/>
      </w:pPr>
      <w:r>
        <w:rPr>
          <w:rFonts w:ascii="Calibri" w:hAnsi="Calibri"/>
          <w:i/>
          <w:color w:val="666666"/>
          <w:sz w:val="18"/>
        </w:rPr>
        <w:t>Exhibit: Program breaks even during Year 2; cumulative 10-year net exceeds $37M nominally.</w:t>
      </w:r>
    </w:p>
    <w:p>
      <w:pPr>
        <w:pStyle w:val="Heading2"/>
        <w:spacing w:before="280" w:after="120" w:line="276" w:lineRule="auto"/>
      </w:pPr>
      <w:r>
        <w:t>8.5 Sensitivity Analysis</w:t>
      </w:r>
    </w:p>
    <w:p>
      <w:pPr>
        <w:jc w:val="center"/>
      </w:pPr>
      <w:r>
        <w:drawing>
          <wp:inline xmlns:a="http://schemas.openxmlformats.org/drawingml/2006/main" xmlns:pic="http://schemas.openxmlformats.org/drawingml/2006/picture">
            <wp:extent cx="5943600" cy="2761137"/>
            <wp:docPr id="14" name="Picture 14"/>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943600" cy="2761137"/>
                    </a:xfrm>
                    <a:prstGeom prst="rect"/>
                  </pic:spPr>
                </pic:pic>
              </a:graphicData>
            </a:graphic>
          </wp:inline>
        </w:drawing>
      </w:r>
    </w:p>
    <w:p>
      <w:pPr>
        <w:spacing w:before="0" w:after="240" w:line="276" w:lineRule="auto"/>
        <w:jc w:val="center"/>
      </w:pPr>
      <w:r>
        <w:rPr>
          <w:rFonts w:ascii="Calibri" w:hAnsi="Calibri"/>
          <w:i/>
          <w:color w:val="666666"/>
          <w:sz w:val="18"/>
        </w:rPr>
        <w:t>Exhibit: Benefit realization and cattle price severity are the top NPV drivers; program is robust across scenarios.</w:t>
      </w:r>
    </w:p>
    <w:tbl>
      <w:tblPr>
        <w:tblW w:type="auto" w:w="0"/>
        <w:tblLook w:firstColumn="1" w:firstRow="1" w:lastColumn="0" w:lastRow="0" w:noHBand="0" w:noVBand="1" w:val="04A0"/>
      </w:tblPr>
      <w:tblGrid>
        <w:gridCol w:w="9360"/>
      </w:tblGrid>
      <w:tr>
        <w:tc>
          <w:tcPr>
            <w:tcW w:type="dxa" w:w="9360"/>
            <w:shd w:val="clear" w:color="auto" w:fill="FFF4CE"/>
            <w:tcBorders>
              <w:top w:val="single" w:sz="4" w:color="FFB900" w:space="0"/>
              <w:left w:val="single" w:sz="36" w:color="FFB900" w:space="0"/>
              <w:bottom w:val="single" w:sz="4" w:color="FFB900" w:space="0"/>
              <w:right w:val="single" w:sz="4" w:color="FFB900" w:space="0"/>
            </w:tcBorders>
          </w:tcPr>
          <w:p>
            <w:pPr>
              <w:spacing w:before="0" w:after="60" w:line="276" w:lineRule="auto"/>
            </w:pPr>
            <w:r/>
            <w:r>
              <w:rPr>
                <w:rFonts w:ascii="Calibri" w:hAnsi="Calibri"/>
                <w:b/>
                <w:color w:val="FFB900"/>
                <w:sz w:val="18"/>
              </w:rPr>
              <w:t>ROBUSTNESS</w:t>
            </w:r>
          </w:p>
          <w:p>
            <w:pPr>
              <w:spacing w:before="0" w:after="80" w:line="288" w:lineRule="auto"/>
            </w:pPr>
            <w:r>
              <w:rPr>
                <w:rFonts w:ascii="Calibri" w:hAnsi="Calibri"/>
                <w:color w:val="333333"/>
                <w:sz w:val="20"/>
              </w:rPr>
              <w:t>The program maintains positive NPV across all tested sensitivity scenarios, including the most adverse combination. Even if benefits materialize at only 70% of estimate, NPV remains strongly positive. The investment case does not depend on optimistic assumptions.</w:t>
            </w:r>
          </w:p>
        </w:tc>
      </w:tr>
    </w:tbl>
    <w:p>
      <w:pPr>
        <w:spacing w:before="0" w:after="160" w:line="288" w:lineRule="auto"/>
      </w:pPr>
      <w:r>
        <w:rPr>
          <w:rFonts w:ascii="Calibri" w:hAnsi="Calibri"/>
          <w:b w:val="0"/>
          <w:i w:val="0"/>
        </w:rPr>
      </w:r>
    </w:p>
    <w:p>
      <w:r>
        <w:br w:type="page"/>
      </w:r>
    </w:p>
    <w:p>
      <w:pPr>
        <w:pStyle w:val="Heading1"/>
        <w:spacing w:before="0" w:after="240" w:line="276" w:lineRule="auto"/>
        <w:pBdr>
          <w:bottom w:val="single" w:sz="12" w:space="4" w:color="003A70"/>
        </w:pBdr>
      </w:pPr>
      <w:r>
        <w:t>9. Conclusion &amp; Next Steps</w:t>
      </w:r>
    </w:p>
    <w:tbl>
      <w:tblPr>
        <w:tblW w:type="auto" w:w="0"/>
        <w:tblLook w:firstColumn="1" w:firstRow="1" w:lastColumn="0" w:lastRow="0" w:noHBand="0" w:noVBand="1" w:val="04A0"/>
      </w:tblPr>
      <w:tblGrid>
        <w:gridCol w:w="9360"/>
      </w:tblGrid>
      <w:tr>
        <w:tc>
          <w:tcPr>
            <w:tcW w:type="dxa" w:w="9360"/>
            <w:shd w:val="clear" w:color="auto" w:fill="E8D5F0"/>
            <w:tcBorders>
              <w:top w:val="single" w:sz="4" w:color="68217A" w:space="0"/>
              <w:left w:val="single" w:sz="36" w:color="68217A" w:space="0"/>
              <w:bottom w:val="single" w:sz="4" w:color="68217A" w:space="0"/>
              <w:right w:val="single" w:sz="4" w:color="68217A" w:space="0"/>
            </w:tcBorders>
          </w:tcPr>
          <w:p>
            <w:pPr>
              <w:spacing w:before="0" w:after="60" w:line="276" w:lineRule="auto"/>
            </w:pPr>
            <w:r/>
            <w:r>
              <w:rPr>
                <w:rFonts w:ascii="Calibri" w:hAnsi="Calibri"/>
                <w:b/>
                <w:color w:val="68217A"/>
                <w:sz w:val="18"/>
              </w:rPr>
              <w:t>THREE REPORTS, ONE TRANSFORMATION</w:t>
            </w:r>
          </w:p>
          <w:p>
            <w:pPr>
              <w:spacing w:before="0" w:after="80" w:line="288" w:lineRule="auto"/>
            </w:pPr>
            <w:r>
              <w:rPr>
                <w:rFonts w:ascii="Calibri" w:hAnsi="Calibri"/>
                <w:color w:val="333333"/>
                <w:sz w:val="20"/>
              </w:rPr>
              <w:t>Reports #1, #2, and #3 are not three separate initiatives. They are three lenses on a single imperative: PLMA must modernize its risk management, technology, and market strategy to survive and thrive through a generational transition in the livestock industry. Credit risk (#1), tech transformation (#2), and price/market/succession risk (#3) share common governance, overlapping investments, and a unified Three Horizons roadmap.</w:t>
            </w:r>
          </w:p>
        </w:tc>
      </w:tr>
    </w:tbl>
    <w:p>
      <w:pPr>
        <w:spacing w:before="0" w:after="160" w:line="288" w:lineRule="auto"/>
      </w:pPr>
      <w:r>
        <w:rPr>
          <w:rFonts w:ascii="Calibri" w:hAnsi="Calibri"/>
          <w:b w:val="0"/>
          <w:i w:val="0"/>
        </w:rPr>
      </w:r>
    </w:p>
    <w:p>
      <w:pPr>
        <w:spacing w:before="0" w:after="160" w:line="300" w:lineRule="auto"/>
      </w:pPr>
      <w:r>
        <w:rPr>
          <w:rFonts w:ascii="Calibri" w:hAnsi="Calibri"/>
          <w:b w:val="0"/>
          <w:i w:val="0"/>
          <w:sz w:val="21"/>
        </w:rPr>
        <w:t>PLMA's leadership team faces three concurrent structural challenges: a cattle cycle peak that will compress revenue, market share erosion from digital disruption and consolidation, and a demographic cliff that threatens the member base. None of these risks is fatal on its own. But in combination, without mitigation, they compound into an existential challenge within 5-10 years.</w:t>
      </w:r>
    </w:p>
    <w:p>
      <w:pPr>
        <w:spacing w:before="0" w:after="160" w:line="300" w:lineRule="auto"/>
      </w:pPr>
      <w:r>
        <w:rPr>
          <w:rFonts w:ascii="Calibri" w:hAnsi="Calibri"/>
          <w:b w:val="0"/>
          <w:i w:val="0"/>
          <w:sz w:val="21"/>
        </w:rPr>
        <w:t>The recommended mitigation program — $2.8M Year 1, $1.8M ongoing — generates ~$26M in 10-year NPV and positions PLMA to emerge from the cattle cycle correction as a stronger, more diversified, and younger cooperative.</w:t>
      </w:r>
    </w:p>
    <w:p>
      <w:pPr>
        <w:pStyle w:val="Heading2"/>
        <w:spacing w:before="280" w:after="120" w:line="276" w:lineRule="auto"/>
      </w:pPr>
      <w:r>
        <w:t>9.1 Immediate Actions (First 90 Days)</w:t>
      </w:r>
    </w:p>
    <w:p>
      <w:pPr>
        <w:pStyle w:val="ListBullet"/>
        <w:spacing w:before="0" w:after="60" w:line="288" w:lineRule="auto"/>
      </w:pPr>
      <w:r>
        <w:rPr>
          <w:rFonts w:ascii="Calibri" w:hAnsi="Calibri"/>
          <w:color w:val="333333"/>
          <w:sz w:val="21"/>
        </w:rPr>
        <w:t>Week 1-2: CFO-led briefing on Report #3 findings; integrate with Reports #1 &amp; #2 action items</w:t>
      </w:r>
    </w:p>
    <w:p>
      <w:pPr>
        <w:pStyle w:val="ListBullet"/>
        <w:spacing w:before="0" w:after="60" w:line="288" w:lineRule="auto"/>
      </w:pPr>
      <w:r>
        <w:rPr>
          <w:rFonts w:ascii="Calibri" w:hAnsi="Calibri"/>
          <w:color w:val="333333"/>
          <w:sz w:val="21"/>
        </w:rPr>
        <w:t>Week 2-4: Board approval of Year 1 budget ($2.8M); integrate into unified transformation budget</w:t>
      </w:r>
    </w:p>
    <w:p>
      <w:pPr>
        <w:pStyle w:val="ListBullet"/>
        <w:spacing w:before="0" w:after="60" w:line="288" w:lineRule="auto"/>
      </w:pPr>
      <w:r>
        <w:rPr>
          <w:rFonts w:ascii="Calibri" w:hAnsi="Calibri"/>
          <w:color w:val="333333"/>
          <w:sz w:val="21"/>
        </w:rPr>
        <w:t>Week 4-6: Launch hedging program for company-owned cattle</w:t>
      </w:r>
    </w:p>
    <w:p>
      <w:pPr>
        <w:pStyle w:val="ListBullet"/>
        <w:spacing w:before="0" w:after="60" w:line="288" w:lineRule="auto"/>
      </w:pPr>
      <w:r>
        <w:rPr>
          <w:rFonts w:ascii="Calibri" w:hAnsi="Calibri"/>
          <w:color w:val="333333"/>
          <w:sz w:val="21"/>
        </w:rPr>
        <w:t>Week 4-8: Commission structure working group formed; begin analysis</w:t>
      </w:r>
    </w:p>
    <w:p>
      <w:pPr>
        <w:pStyle w:val="ListBullet"/>
        <w:spacing w:before="0" w:after="60" w:line="288" w:lineRule="auto"/>
      </w:pPr>
      <w:r>
        <w:rPr>
          <w:rFonts w:ascii="Calibri" w:hAnsi="Calibri"/>
          <w:color w:val="333333"/>
          <w:sz w:val="21"/>
        </w:rPr>
        <w:t>Week 6-10: Young Rancher Program staff hired; university outreach initiated</w:t>
      </w:r>
    </w:p>
    <w:p>
      <w:pPr>
        <w:pStyle w:val="ListBullet"/>
        <w:spacing w:before="0" w:after="60" w:line="288" w:lineRule="auto"/>
      </w:pPr>
      <w:r>
        <w:rPr>
          <w:rFonts w:ascii="Calibri" w:hAnsi="Calibri"/>
          <w:color w:val="333333"/>
          <w:sz w:val="21"/>
        </w:rPr>
        <w:t>Week 8-12: Leading indicator dashboard deployed (v1)</w:t>
      </w:r>
    </w:p>
    <w:p>
      <w:pPr>
        <w:pStyle w:val="ListBullet"/>
        <w:spacing w:before="0" w:after="60" w:line="288" w:lineRule="auto"/>
      </w:pPr>
      <w:r>
        <w:rPr>
          <w:rFonts w:ascii="Calibri" w:hAnsi="Calibri"/>
          <w:color w:val="333333"/>
          <w:sz w:val="21"/>
        </w:rPr>
        <w:t>Week 12: Integrated PMO operational covering all three report workstreams</w:t>
      </w:r>
    </w:p>
    <w:p>
      <w:pPr>
        <w:pStyle w:val="Heading2"/>
        <w:spacing w:before="280" w:after="120" w:line="276" w:lineRule="auto"/>
      </w:pPr>
      <w:r>
        <w:t>9.2 Integrated Budget Summary (All 3 Reports)</w:t>
      </w:r>
    </w:p>
    <w:tbl>
      <w:tblPr>
        <w:tblW w:type="auto" w:w="0"/>
        <w:jc w:val="center"/>
        <w:tblLook w:firstColumn="1" w:firstRow="1" w:lastColumn="0" w:lastRow="0" w:noHBand="0" w:noVBand="1" w:val="04A0"/>
      </w:tblPr>
      <w:tblGrid>
        <w:gridCol w:w="2340"/>
        <w:gridCol w:w="2340"/>
        <w:gridCol w:w="2340"/>
        <w:gridCol w:w="2340"/>
      </w:tblGrid>
      <w:tr>
        <w:tc>
          <w:tcPr>
            <w:tcW w:type="dxa" w:w="3600"/>
            <w:shd w:val="clear" w:color="auto" w:fill="003A70"/>
            <w:vAlign w:val="center"/>
          </w:tcPr>
          <w:p>
            <w:r/>
            <w:r>
              <w:rPr>
                <w:rFonts w:ascii="Calibri" w:hAnsi="Calibri"/>
                <w:b/>
                <w:color w:val="FFFFFF"/>
                <w:sz w:val="19"/>
              </w:rPr>
              <w:t>Report</w:t>
            </w:r>
          </w:p>
        </w:tc>
        <w:tc>
          <w:tcPr>
            <w:tcW w:type="dxa" w:w="1728"/>
            <w:shd w:val="clear" w:color="auto" w:fill="003A70"/>
            <w:vAlign w:val="center"/>
          </w:tcPr>
          <w:p>
            <w:r/>
            <w:r>
              <w:rPr>
                <w:rFonts w:ascii="Calibri" w:hAnsi="Calibri"/>
                <w:b/>
                <w:color w:val="FFFFFF"/>
                <w:sz w:val="19"/>
              </w:rPr>
              <w:t>Year 1 Cost</w:t>
            </w:r>
          </w:p>
        </w:tc>
        <w:tc>
          <w:tcPr>
            <w:tcW w:type="dxa" w:w="1728"/>
            <w:shd w:val="clear" w:color="auto" w:fill="003A70"/>
            <w:vAlign w:val="center"/>
          </w:tcPr>
          <w:p>
            <w:r/>
            <w:r>
              <w:rPr>
                <w:rFonts w:ascii="Calibri" w:hAnsi="Calibri"/>
                <w:b/>
                <w:color w:val="FFFFFF"/>
                <w:sz w:val="19"/>
              </w:rPr>
              <w:t>Ongoing/yr</w:t>
            </w:r>
          </w:p>
        </w:tc>
        <w:tc>
          <w:tcPr>
            <w:tcW w:type="dxa" w:w="1728"/>
            <w:shd w:val="clear" w:color="auto" w:fill="003A70"/>
            <w:vAlign w:val="center"/>
          </w:tcPr>
          <w:p>
            <w:r/>
            <w:r>
              <w:rPr>
                <w:rFonts w:ascii="Calibri" w:hAnsi="Calibri"/>
                <w:b/>
                <w:color w:val="FFFFFF"/>
                <w:sz w:val="19"/>
              </w:rPr>
              <w:t>10-yr NPV</w:t>
            </w:r>
          </w:p>
        </w:tc>
      </w:tr>
      <w:tr>
        <w:tc>
          <w:tcPr>
            <w:tcW w:type="dxa" w:w="3600"/>
            <w:vAlign w:val="center"/>
          </w:tcPr>
          <w:p>
            <w:r/>
            <w:r>
              <w:rPr>
                <w:rFonts w:ascii="Calibri" w:hAnsi="Calibri"/>
                <w:color w:val="333333"/>
                <w:sz w:val="19"/>
              </w:rPr>
              <w:t>#1: Credit Risk Mitigation</w:t>
            </w:r>
          </w:p>
        </w:tc>
        <w:tc>
          <w:tcPr>
            <w:tcW w:type="dxa" w:w="1728"/>
            <w:vAlign w:val="center"/>
          </w:tcPr>
          <w:p>
            <w:r/>
            <w:r>
              <w:rPr>
                <w:rFonts w:ascii="Calibri" w:hAnsi="Calibri"/>
                <w:color w:val="333333"/>
                <w:sz w:val="19"/>
              </w:rPr>
              <w:t>$1.72M</w:t>
            </w:r>
          </w:p>
        </w:tc>
        <w:tc>
          <w:tcPr>
            <w:tcW w:type="dxa" w:w="1728"/>
            <w:vAlign w:val="center"/>
          </w:tcPr>
          <w:p>
            <w:r/>
            <w:r>
              <w:rPr>
                <w:rFonts w:ascii="Calibri" w:hAnsi="Calibri"/>
                <w:color w:val="333333"/>
                <w:sz w:val="19"/>
              </w:rPr>
              <w:t>$1.17M</w:t>
            </w:r>
          </w:p>
        </w:tc>
        <w:tc>
          <w:tcPr>
            <w:tcW w:type="dxa" w:w="1728"/>
            <w:vAlign w:val="center"/>
          </w:tcPr>
          <w:p>
            <w:r/>
            <w:r>
              <w:rPr>
                <w:rFonts w:ascii="Calibri" w:hAnsi="Calibri"/>
                <w:color w:val="333333"/>
                <w:sz w:val="19"/>
              </w:rPr>
              <w:t>~$20M</w:t>
            </w:r>
          </w:p>
        </w:tc>
      </w:tr>
      <w:tr>
        <w:tc>
          <w:tcPr>
            <w:tcW w:type="dxa" w:w="3600"/>
            <w:shd w:val="clear" w:color="auto" w:fill="F2F2F2"/>
            <w:vAlign w:val="center"/>
          </w:tcPr>
          <w:p>
            <w:r/>
            <w:r>
              <w:rPr>
                <w:rFonts w:ascii="Calibri" w:hAnsi="Calibri"/>
                <w:color w:val="333333"/>
                <w:sz w:val="19"/>
              </w:rPr>
              <w:t>#2: Technology Strategy</w:t>
            </w:r>
          </w:p>
        </w:tc>
        <w:tc>
          <w:tcPr>
            <w:tcW w:type="dxa" w:w="1728"/>
            <w:shd w:val="clear" w:color="auto" w:fill="F2F2F2"/>
            <w:vAlign w:val="center"/>
          </w:tcPr>
          <w:p>
            <w:r/>
            <w:r>
              <w:rPr>
                <w:rFonts w:ascii="Calibri" w:hAnsi="Calibri"/>
                <w:color w:val="333333"/>
                <w:sz w:val="19"/>
              </w:rPr>
              <w:t>$4.80M</w:t>
            </w:r>
          </w:p>
        </w:tc>
        <w:tc>
          <w:tcPr>
            <w:tcW w:type="dxa" w:w="1728"/>
            <w:shd w:val="clear" w:color="auto" w:fill="F2F2F2"/>
            <w:vAlign w:val="center"/>
          </w:tcPr>
          <w:p>
            <w:r/>
            <w:r>
              <w:rPr>
                <w:rFonts w:ascii="Calibri" w:hAnsi="Calibri"/>
                <w:color w:val="333333"/>
                <w:sz w:val="19"/>
              </w:rPr>
              <w:t>$2.60M</w:t>
            </w:r>
          </w:p>
        </w:tc>
        <w:tc>
          <w:tcPr>
            <w:tcW w:type="dxa" w:w="1728"/>
            <w:shd w:val="clear" w:color="auto" w:fill="F2F2F2"/>
            <w:vAlign w:val="center"/>
          </w:tcPr>
          <w:p>
            <w:r/>
            <w:r>
              <w:rPr>
                <w:rFonts w:ascii="Calibri" w:hAnsi="Calibri"/>
                <w:color w:val="333333"/>
                <w:sz w:val="19"/>
              </w:rPr>
              <w:t>~$34M</w:t>
            </w:r>
          </w:p>
        </w:tc>
      </w:tr>
      <w:tr>
        <w:tc>
          <w:tcPr>
            <w:tcW w:type="dxa" w:w="3600"/>
            <w:vAlign w:val="center"/>
          </w:tcPr>
          <w:p>
            <w:r/>
            <w:r>
              <w:rPr>
                <w:rFonts w:ascii="Calibri" w:hAnsi="Calibri"/>
                <w:color w:val="333333"/>
                <w:sz w:val="19"/>
              </w:rPr>
              <w:t>#3: Price &amp; Market Strategy</w:t>
            </w:r>
          </w:p>
        </w:tc>
        <w:tc>
          <w:tcPr>
            <w:tcW w:type="dxa" w:w="1728"/>
            <w:vAlign w:val="center"/>
          </w:tcPr>
          <w:p>
            <w:r/>
            <w:r>
              <w:rPr>
                <w:rFonts w:ascii="Calibri" w:hAnsi="Calibri"/>
                <w:color w:val="333333"/>
                <w:sz w:val="19"/>
              </w:rPr>
              <w:t>$2.80M</w:t>
            </w:r>
          </w:p>
        </w:tc>
        <w:tc>
          <w:tcPr>
            <w:tcW w:type="dxa" w:w="1728"/>
            <w:vAlign w:val="center"/>
          </w:tcPr>
          <w:p>
            <w:r/>
            <w:r>
              <w:rPr>
                <w:rFonts w:ascii="Calibri" w:hAnsi="Calibri"/>
                <w:color w:val="333333"/>
                <w:sz w:val="19"/>
              </w:rPr>
              <w:t>$1.80M</w:t>
            </w:r>
          </w:p>
        </w:tc>
        <w:tc>
          <w:tcPr>
            <w:tcW w:type="dxa" w:w="1728"/>
            <w:vAlign w:val="center"/>
          </w:tcPr>
          <w:p>
            <w:r/>
            <w:r>
              <w:rPr>
                <w:rFonts w:ascii="Calibri" w:hAnsi="Calibri"/>
                <w:color w:val="333333"/>
                <w:sz w:val="19"/>
              </w:rPr>
              <w:t>~$26M</w:t>
            </w:r>
          </w:p>
        </w:tc>
      </w:tr>
      <w:tr>
        <w:tc>
          <w:tcPr>
            <w:tcW w:type="dxa" w:w="3600"/>
            <w:shd w:val="clear" w:color="auto" w:fill="F2F2F2"/>
            <w:vAlign w:val="center"/>
          </w:tcPr>
          <w:p>
            <w:r/>
            <w:r>
              <w:rPr>
                <w:rFonts w:ascii="Calibri" w:hAnsi="Calibri"/>
                <w:color w:val="333333"/>
                <w:sz w:val="19"/>
              </w:rPr>
              <w:t>TOTAL (de-duplicated)</w:t>
            </w:r>
          </w:p>
        </w:tc>
        <w:tc>
          <w:tcPr>
            <w:tcW w:type="dxa" w:w="1728"/>
            <w:shd w:val="clear" w:color="auto" w:fill="F2F2F2"/>
            <w:vAlign w:val="center"/>
          </w:tcPr>
          <w:p>
            <w:r/>
            <w:r>
              <w:rPr>
                <w:rFonts w:ascii="Calibri" w:hAnsi="Calibri"/>
                <w:color w:val="333333"/>
                <w:sz w:val="19"/>
              </w:rPr>
              <w:t>$9.32M</w:t>
            </w:r>
          </w:p>
        </w:tc>
        <w:tc>
          <w:tcPr>
            <w:tcW w:type="dxa" w:w="1728"/>
            <w:shd w:val="clear" w:color="auto" w:fill="F2F2F2"/>
            <w:vAlign w:val="center"/>
          </w:tcPr>
          <w:p>
            <w:r/>
            <w:r>
              <w:rPr>
                <w:rFonts w:ascii="Calibri" w:hAnsi="Calibri"/>
                <w:color w:val="333333"/>
                <w:sz w:val="19"/>
              </w:rPr>
              <w:t>$5.57M</w:t>
            </w:r>
          </w:p>
        </w:tc>
        <w:tc>
          <w:tcPr>
            <w:tcW w:type="dxa" w:w="1728"/>
            <w:shd w:val="clear" w:color="auto" w:fill="F2F2F2"/>
            <w:vAlign w:val="center"/>
          </w:tcPr>
          <w:p>
            <w:r/>
            <w:r>
              <w:rPr>
                <w:rFonts w:ascii="Calibri" w:hAnsi="Calibri"/>
                <w:color w:val="333333"/>
                <w:sz w:val="19"/>
              </w:rPr>
              <w:t>~$82M</w:t>
            </w:r>
          </w:p>
        </w:tc>
      </w:tr>
    </w:tbl>
    <w:p>
      <w:pPr>
        <w:spacing w:before="0" w:after="160" w:line="288" w:lineRule="auto"/>
      </w:pPr>
      <w:r>
        <w:rPr>
          <w:rFonts w:ascii="Calibri" w:hAnsi="Calibri"/>
          <w:b w:val="0"/>
          <w:i w:val="0"/>
        </w:rPr>
      </w:r>
    </w:p>
    <w:p>
      <w:pPr>
        <w:spacing w:before="0" w:after="160" w:line="300" w:lineRule="auto"/>
      </w:pPr>
      <w:r>
        <w:rPr>
          <w:rFonts w:ascii="Calibri" w:hAnsi="Calibri"/>
          <w:b w:val="0"/>
          <w:i w:val="0"/>
          <w:sz w:val="21"/>
        </w:rPr>
        <w:t>The combined program represents a $9.3M Year-1 investment generating ~$82M in aggregate 10-year NPV — a decisive, financially justified transformation of PLMA's risk posture, technology capability, and market position.</w:t>
      </w:r>
    </w:p>
    <w:p>
      <w:r>
        <w:br w:type="page"/>
      </w:r>
    </w:p>
    <w:p>
      <w:pPr>
        <w:pStyle w:val="Heading1"/>
        <w:spacing w:before="0" w:after="240" w:line="276" w:lineRule="auto"/>
        <w:pBdr>
          <w:bottom w:val="single" w:sz="12" w:space="4" w:color="003A70"/>
        </w:pBdr>
      </w:pPr>
      <w:r>
        <w:t>Appendix A: Cattle Cycle Data Tables</w:t>
      </w:r>
    </w:p>
    <w:tbl>
      <w:tblPr>
        <w:tblW w:type="auto" w:w="0"/>
        <w:jc w:val="center"/>
        <w:tblLook w:firstColumn="1" w:firstRow="1" w:lastColumn="0" w:lastRow="0" w:noHBand="0" w:noVBand="1" w:val="04A0"/>
      </w:tblPr>
      <w:tblGrid>
        <w:gridCol w:w="2340"/>
        <w:gridCol w:w="2340"/>
        <w:gridCol w:w="2340"/>
        <w:gridCol w:w="2340"/>
      </w:tblGrid>
      <w:tr>
        <w:tc>
          <w:tcPr>
            <w:tcW w:type="dxa" w:w="1440"/>
            <w:shd w:val="clear" w:color="auto" w:fill="003A70"/>
            <w:vAlign w:val="center"/>
          </w:tcPr>
          <w:p>
            <w:r/>
            <w:r>
              <w:rPr>
                <w:rFonts w:ascii="Calibri" w:hAnsi="Calibri"/>
                <w:b/>
                <w:color w:val="FFFFFF"/>
                <w:sz w:val="19"/>
              </w:rPr>
              <w:t>Year</w:t>
            </w:r>
          </w:p>
        </w:tc>
        <w:tc>
          <w:tcPr>
            <w:tcW w:type="dxa" w:w="2160"/>
            <w:shd w:val="clear" w:color="auto" w:fill="003A70"/>
            <w:vAlign w:val="center"/>
          </w:tcPr>
          <w:p>
            <w:r/>
            <w:r>
              <w:rPr>
                <w:rFonts w:ascii="Calibri" w:hAnsi="Calibri"/>
                <w:b/>
                <w:color w:val="FFFFFF"/>
                <w:sz w:val="19"/>
              </w:rPr>
              <w:t>Fed Cattle ($/cwt)</w:t>
            </w:r>
          </w:p>
        </w:tc>
        <w:tc>
          <w:tcPr>
            <w:tcW w:type="dxa" w:w="2160"/>
            <w:shd w:val="clear" w:color="auto" w:fill="003A70"/>
            <w:vAlign w:val="center"/>
          </w:tcPr>
          <w:p>
            <w:r/>
            <w:r>
              <w:rPr>
                <w:rFonts w:ascii="Calibri" w:hAnsi="Calibri"/>
                <w:b/>
                <w:color w:val="FFFFFF"/>
                <w:sz w:val="19"/>
              </w:rPr>
              <w:t>Feeder ($/cwt)</w:t>
            </w:r>
          </w:p>
        </w:tc>
        <w:tc>
          <w:tcPr>
            <w:tcW w:type="dxa" w:w="2160"/>
            <w:shd w:val="clear" w:color="auto" w:fill="003A70"/>
            <w:vAlign w:val="center"/>
          </w:tcPr>
          <w:p>
            <w:r/>
            <w:r>
              <w:rPr>
                <w:rFonts w:ascii="Calibri" w:hAnsi="Calibri"/>
                <w:b/>
                <w:color w:val="FFFFFF"/>
                <w:sz w:val="19"/>
              </w:rPr>
              <w:t>Cow Herd (M head)</w:t>
            </w:r>
          </w:p>
        </w:tc>
      </w:tr>
      <w:tr>
        <w:tc>
          <w:tcPr>
            <w:tcW w:type="dxa" w:w="1440"/>
            <w:vAlign w:val="center"/>
          </w:tcPr>
          <w:p>
            <w:r/>
            <w:r>
              <w:rPr>
                <w:rFonts w:ascii="Calibri" w:hAnsi="Calibri"/>
                <w:color w:val="333333"/>
                <w:sz w:val="19"/>
              </w:rPr>
              <w:t>1990</w:t>
            </w:r>
          </w:p>
        </w:tc>
        <w:tc>
          <w:tcPr>
            <w:tcW w:type="dxa" w:w="2160"/>
            <w:vAlign w:val="center"/>
          </w:tcPr>
          <w:p>
            <w:r/>
            <w:r>
              <w:rPr>
                <w:rFonts w:ascii="Calibri" w:hAnsi="Calibri"/>
                <w:color w:val="333333"/>
                <w:sz w:val="19"/>
              </w:rPr>
              <w:t>$82</w:t>
            </w:r>
          </w:p>
        </w:tc>
        <w:tc>
          <w:tcPr>
            <w:tcW w:type="dxa" w:w="2160"/>
            <w:vAlign w:val="center"/>
          </w:tcPr>
          <w:p>
            <w:r/>
            <w:r>
              <w:rPr>
                <w:rFonts w:ascii="Calibri" w:hAnsi="Calibri"/>
                <w:color w:val="333333"/>
                <w:sz w:val="19"/>
              </w:rPr>
              <w:t>$95</w:t>
            </w:r>
          </w:p>
        </w:tc>
        <w:tc>
          <w:tcPr>
            <w:tcW w:type="dxa" w:w="2160"/>
            <w:vAlign w:val="center"/>
          </w:tcPr>
          <w:p>
            <w:r/>
            <w:r>
              <w:rPr>
                <w:rFonts w:ascii="Calibri" w:hAnsi="Calibri"/>
                <w:color w:val="333333"/>
                <w:sz w:val="19"/>
              </w:rPr>
              <w:t>99.3</w:t>
            </w:r>
          </w:p>
        </w:tc>
      </w:tr>
      <w:tr>
        <w:tc>
          <w:tcPr>
            <w:tcW w:type="dxa" w:w="1440"/>
            <w:shd w:val="clear" w:color="auto" w:fill="F2F2F2"/>
            <w:vAlign w:val="center"/>
          </w:tcPr>
          <w:p>
            <w:r/>
            <w:r>
              <w:rPr>
                <w:rFonts w:ascii="Calibri" w:hAnsi="Calibri"/>
                <w:color w:val="333333"/>
                <w:sz w:val="19"/>
              </w:rPr>
              <w:t>1995</w:t>
            </w:r>
          </w:p>
        </w:tc>
        <w:tc>
          <w:tcPr>
            <w:tcW w:type="dxa" w:w="2160"/>
            <w:shd w:val="clear" w:color="auto" w:fill="F2F2F2"/>
            <w:vAlign w:val="center"/>
          </w:tcPr>
          <w:p>
            <w:r/>
            <w:r>
              <w:rPr>
                <w:rFonts w:ascii="Calibri" w:hAnsi="Calibri"/>
                <w:color w:val="333333"/>
                <w:sz w:val="19"/>
              </w:rPr>
              <w:t>$63</w:t>
            </w:r>
          </w:p>
        </w:tc>
        <w:tc>
          <w:tcPr>
            <w:tcW w:type="dxa" w:w="2160"/>
            <w:shd w:val="clear" w:color="auto" w:fill="F2F2F2"/>
            <w:vAlign w:val="center"/>
          </w:tcPr>
          <w:p>
            <w:r/>
            <w:r>
              <w:rPr>
                <w:rFonts w:ascii="Calibri" w:hAnsi="Calibri"/>
                <w:color w:val="333333"/>
                <w:sz w:val="19"/>
              </w:rPr>
              <w:t>$72</w:t>
            </w:r>
          </w:p>
        </w:tc>
        <w:tc>
          <w:tcPr>
            <w:tcW w:type="dxa" w:w="2160"/>
            <w:shd w:val="clear" w:color="auto" w:fill="F2F2F2"/>
            <w:vAlign w:val="center"/>
          </w:tcPr>
          <w:p>
            <w:r/>
            <w:r>
              <w:rPr>
                <w:rFonts w:ascii="Calibri" w:hAnsi="Calibri"/>
                <w:color w:val="333333"/>
                <w:sz w:val="19"/>
              </w:rPr>
              <w:t>102.8</w:t>
            </w:r>
          </w:p>
        </w:tc>
      </w:tr>
      <w:tr>
        <w:tc>
          <w:tcPr>
            <w:tcW w:type="dxa" w:w="1440"/>
            <w:vAlign w:val="center"/>
          </w:tcPr>
          <w:p>
            <w:r/>
            <w:r>
              <w:rPr>
                <w:rFonts w:ascii="Calibri" w:hAnsi="Calibri"/>
                <w:color w:val="333333"/>
                <w:sz w:val="19"/>
              </w:rPr>
              <w:t>2000</w:t>
            </w:r>
          </w:p>
        </w:tc>
        <w:tc>
          <w:tcPr>
            <w:tcW w:type="dxa" w:w="2160"/>
            <w:vAlign w:val="center"/>
          </w:tcPr>
          <w:p>
            <w:r/>
            <w:r>
              <w:rPr>
                <w:rFonts w:ascii="Calibri" w:hAnsi="Calibri"/>
                <w:color w:val="333333"/>
                <w:sz w:val="19"/>
              </w:rPr>
              <w:t>$68</w:t>
            </w:r>
          </w:p>
        </w:tc>
        <w:tc>
          <w:tcPr>
            <w:tcW w:type="dxa" w:w="2160"/>
            <w:vAlign w:val="center"/>
          </w:tcPr>
          <w:p>
            <w:r/>
            <w:r>
              <w:rPr>
                <w:rFonts w:ascii="Calibri" w:hAnsi="Calibri"/>
                <w:color w:val="333333"/>
                <w:sz w:val="19"/>
              </w:rPr>
              <w:t>$95</w:t>
            </w:r>
          </w:p>
        </w:tc>
        <w:tc>
          <w:tcPr>
            <w:tcW w:type="dxa" w:w="2160"/>
            <w:vAlign w:val="center"/>
          </w:tcPr>
          <w:p>
            <w:r/>
            <w:r>
              <w:rPr>
                <w:rFonts w:ascii="Calibri" w:hAnsi="Calibri"/>
                <w:color w:val="333333"/>
                <w:sz w:val="19"/>
              </w:rPr>
              <w:t>98.2</w:t>
            </w:r>
          </w:p>
        </w:tc>
      </w:tr>
      <w:tr>
        <w:tc>
          <w:tcPr>
            <w:tcW w:type="dxa" w:w="1440"/>
            <w:shd w:val="clear" w:color="auto" w:fill="F2F2F2"/>
            <w:vAlign w:val="center"/>
          </w:tcPr>
          <w:p>
            <w:r/>
            <w:r>
              <w:rPr>
                <w:rFonts w:ascii="Calibri" w:hAnsi="Calibri"/>
                <w:color w:val="333333"/>
                <w:sz w:val="19"/>
              </w:rPr>
              <w:t>2005</w:t>
            </w:r>
          </w:p>
        </w:tc>
        <w:tc>
          <w:tcPr>
            <w:tcW w:type="dxa" w:w="2160"/>
            <w:shd w:val="clear" w:color="auto" w:fill="F2F2F2"/>
            <w:vAlign w:val="center"/>
          </w:tcPr>
          <w:p>
            <w:r/>
            <w:r>
              <w:rPr>
                <w:rFonts w:ascii="Calibri" w:hAnsi="Calibri"/>
                <w:color w:val="333333"/>
                <w:sz w:val="19"/>
              </w:rPr>
              <w:t>$87</w:t>
            </w:r>
          </w:p>
        </w:tc>
        <w:tc>
          <w:tcPr>
            <w:tcW w:type="dxa" w:w="2160"/>
            <w:shd w:val="clear" w:color="auto" w:fill="F2F2F2"/>
            <w:vAlign w:val="center"/>
          </w:tcPr>
          <w:p>
            <w:r/>
            <w:r>
              <w:rPr>
                <w:rFonts w:ascii="Calibri" w:hAnsi="Calibri"/>
                <w:color w:val="333333"/>
                <w:sz w:val="19"/>
              </w:rPr>
              <w:t>$118</w:t>
            </w:r>
          </w:p>
        </w:tc>
        <w:tc>
          <w:tcPr>
            <w:tcW w:type="dxa" w:w="2160"/>
            <w:shd w:val="clear" w:color="auto" w:fill="F2F2F2"/>
            <w:vAlign w:val="center"/>
          </w:tcPr>
          <w:p>
            <w:r/>
            <w:r>
              <w:rPr>
                <w:rFonts w:ascii="Calibri" w:hAnsi="Calibri"/>
                <w:color w:val="333333"/>
                <w:sz w:val="19"/>
              </w:rPr>
              <w:t>95.8</w:t>
            </w:r>
          </w:p>
        </w:tc>
      </w:tr>
      <w:tr>
        <w:tc>
          <w:tcPr>
            <w:tcW w:type="dxa" w:w="1440"/>
            <w:vAlign w:val="center"/>
          </w:tcPr>
          <w:p>
            <w:r/>
            <w:r>
              <w:rPr>
                <w:rFonts w:ascii="Calibri" w:hAnsi="Calibri"/>
                <w:color w:val="333333"/>
                <w:sz w:val="19"/>
              </w:rPr>
              <w:t>2010</w:t>
            </w:r>
          </w:p>
        </w:tc>
        <w:tc>
          <w:tcPr>
            <w:tcW w:type="dxa" w:w="2160"/>
            <w:vAlign w:val="center"/>
          </w:tcPr>
          <w:p>
            <w:r/>
            <w:r>
              <w:rPr>
                <w:rFonts w:ascii="Calibri" w:hAnsi="Calibri"/>
                <w:color w:val="333333"/>
                <w:sz w:val="19"/>
              </w:rPr>
              <w:t>$95</w:t>
            </w:r>
          </w:p>
        </w:tc>
        <w:tc>
          <w:tcPr>
            <w:tcW w:type="dxa" w:w="2160"/>
            <w:vAlign w:val="center"/>
          </w:tcPr>
          <w:p>
            <w:r/>
            <w:r>
              <w:rPr>
                <w:rFonts w:ascii="Calibri" w:hAnsi="Calibri"/>
                <w:color w:val="333333"/>
                <w:sz w:val="19"/>
              </w:rPr>
              <w:t>$128</w:t>
            </w:r>
          </w:p>
        </w:tc>
        <w:tc>
          <w:tcPr>
            <w:tcW w:type="dxa" w:w="2160"/>
            <w:vAlign w:val="center"/>
          </w:tcPr>
          <w:p>
            <w:r/>
            <w:r>
              <w:rPr>
                <w:rFonts w:ascii="Calibri" w:hAnsi="Calibri"/>
                <w:color w:val="333333"/>
                <w:sz w:val="19"/>
              </w:rPr>
              <w:t>93.9</w:t>
            </w:r>
          </w:p>
        </w:tc>
      </w:tr>
      <w:tr>
        <w:tc>
          <w:tcPr>
            <w:tcW w:type="dxa" w:w="1440"/>
            <w:shd w:val="clear" w:color="auto" w:fill="F2F2F2"/>
            <w:vAlign w:val="center"/>
          </w:tcPr>
          <w:p>
            <w:r/>
            <w:r>
              <w:rPr>
                <w:rFonts w:ascii="Calibri" w:hAnsi="Calibri"/>
                <w:color w:val="333333"/>
                <w:sz w:val="19"/>
              </w:rPr>
              <w:t>2014</w:t>
            </w:r>
          </w:p>
        </w:tc>
        <w:tc>
          <w:tcPr>
            <w:tcW w:type="dxa" w:w="2160"/>
            <w:shd w:val="clear" w:color="auto" w:fill="F2F2F2"/>
            <w:vAlign w:val="center"/>
          </w:tcPr>
          <w:p>
            <w:r/>
            <w:r>
              <w:rPr>
                <w:rFonts w:ascii="Calibri" w:hAnsi="Calibri"/>
                <w:color w:val="333333"/>
                <w:sz w:val="19"/>
              </w:rPr>
              <w:t>$160</w:t>
            </w:r>
          </w:p>
        </w:tc>
        <w:tc>
          <w:tcPr>
            <w:tcW w:type="dxa" w:w="2160"/>
            <w:shd w:val="clear" w:color="auto" w:fill="F2F2F2"/>
            <w:vAlign w:val="center"/>
          </w:tcPr>
          <w:p>
            <w:r/>
            <w:r>
              <w:rPr>
                <w:rFonts w:ascii="Calibri" w:hAnsi="Calibri"/>
                <w:color w:val="333333"/>
                <w:sz w:val="19"/>
              </w:rPr>
              <w:t>$242</w:t>
            </w:r>
          </w:p>
        </w:tc>
        <w:tc>
          <w:tcPr>
            <w:tcW w:type="dxa" w:w="2160"/>
            <w:shd w:val="clear" w:color="auto" w:fill="F2F2F2"/>
            <w:vAlign w:val="center"/>
          </w:tcPr>
          <w:p>
            <w:r/>
            <w:r>
              <w:rPr>
                <w:rFonts w:ascii="Calibri" w:hAnsi="Calibri"/>
                <w:color w:val="333333"/>
                <w:sz w:val="19"/>
              </w:rPr>
              <w:t>89.1</w:t>
            </w:r>
          </w:p>
        </w:tc>
      </w:tr>
      <w:tr>
        <w:tc>
          <w:tcPr>
            <w:tcW w:type="dxa" w:w="1440"/>
            <w:vAlign w:val="center"/>
          </w:tcPr>
          <w:p>
            <w:r/>
            <w:r>
              <w:rPr>
                <w:rFonts w:ascii="Calibri" w:hAnsi="Calibri"/>
                <w:color w:val="333333"/>
                <w:sz w:val="19"/>
              </w:rPr>
              <w:t>2017</w:t>
            </w:r>
          </w:p>
        </w:tc>
        <w:tc>
          <w:tcPr>
            <w:tcW w:type="dxa" w:w="2160"/>
            <w:vAlign w:val="center"/>
          </w:tcPr>
          <w:p>
            <w:r/>
            <w:r>
              <w:rPr>
                <w:rFonts w:ascii="Calibri" w:hAnsi="Calibri"/>
                <w:color w:val="333333"/>
                <w:sz w:val="19"/>
              </w:rPr>
              <w:t>$108</w:t>
            </w:r>
          </w:p>
        </w:tc>
        <w:tc>
          <w:tcPr>
            <w:tcW w:type="dxa" w:w="2160"/>
            <w:vAlign w:val="center"/>
          </w:tcPr>
          <w:p>
            <w:r/>
            <w:r>
              <w:rPr>
                <w:rFonts w:ascii="Calibri" w:hAnsi="Calibri"/>
                <w:color w:val="333333"/>
                <w:sz w:val="19"/>
              </w:rPr>
              <w:t>$148</w:t>
            </w:r>
          </w:p>
        </w:tc>
        <w:tc>
          <w:tcPr>
            <w:tcW w:type="dxa" w:w="2160"/>
            <w:vAlign w:val="center"/>
          </w:tcPr>
          <w:p>
            <w:r/>
            <w:r>
              <w:rPr>
                <w:rFonts w:ascii="Calibri" w:hAnsi="Calibri"/>
                <w:color w:val="333333"/>
                <w:sz w:val="19"/>
              </w:rPr>
              <w:t>93.6</w:t>
            </w:r>
          </w:p>
        </w:tc>
      </w:tr>
      <w:tr>
        <w:tc>
          <w:tcPr>
            <w:tcW w:type="dxa" w:w="1440"/>
            <w:shd w:val="clear" w:color="auto" w:fill="F2F2F2"/>
            <w:vAlign w:val="center"/>
          </w:tcPr>
          <w:p>
            <w:r/>
            <w:r>
              <w:rPr>
                <w:rFonts w:ascii="Calibri" w:hAnsi="Calibri"/>
                <w:color w:val="333333"/>
                <w:sz w:val="19"/>
              </w:rPr>
              <w:t>2020</w:t>
            </w:r>
          </w:p>
        </w:tc>
        <w:tc>
          <w:tcPr>
            <w:tcW w:type="dxa" w:w="2160"/>
            <w:shd w:val="clear" w:color="auto" w:fill="F2F2F2"/>
            <w:vAlign w:val="center"/>
          </w:tcPr>
          <w:p>
            <w:r/>
            <w:r>
              <w:rPr>
                <w:rFonts w:ascii="Calibri" w:hAnsi="Calibri"/>
                <w:color w:val="333333"/>
                <w:sz w:val="19"/>
              </w:rPr>
              <w:t>$118</w:t>
            </w:r>
          </w:p>
        </w:tc>
        <w:tc>
          <w:tcPr>
            <w:tcW w:type="dxa" w:w="2160"/>
            <w:shd w:val="clear" w:color="auto" w:fill="F2F2F2"/>
            <w:vAlign w:val="center"/>
          </w:tcPr>
          <w:p>
            <w:r/>
            <w:r>
              <w:rPr>
                <w:rFonts w:ascii="Calibri" w:hAnsi="Calibri"/>
                <w:color w:val="333333"/>
                <w:sz w:val="19"/>
              </w:rPr>
              <w:t>$145</w:t>
            </w:r>
          </w:p>
        </w:tc>
        <w:tc>
          <w:tcPr>
            <w:tcW w:type="dxa" w:w="2160"/>
            <w:shd w:val="clear" w:color="auto" w:fill="F2F2F2"/>
            <w:vAlign w:val="center"/>
          </w:tcPr>
          <w:p>
            <w:r/>
            <w:r>
              <w:rPr>
                <w:rFonts w:ascii="Calibri" w:hAnsi="Calibri"/>
                <w:color w:val="333333"/>
                <w:sz w:val="19"/>
              </w:rPr>
              <w:t>93.8</w:t>
            </w:r>
          </w:p>
        </w:tc>
      </w:tr>
      <w:tr>
        <w:tc>
          <w:tcPr>
            <w:tcW w:type="dxa" w:w="1440"/>
            <w:vAlign w:val="center"/>
          </w:tcPr>
          <w:p>
            <w:r/>
            <w:r>
              <w:rPr>
                <w:rFonts w:ascii="Calibri" w:hAnsi="Calibri"/>
                <w:color w:val="333333"/>
                <w:sz w:val="19"/>
              </w:rPr>
              <w:t>2022</w:t>
            </w:r>
          </w:p>
        </w:tc>
        <w:tc>
          <w:tcPr>
            <w:tcW w:type="dxa" w:w="2160"/>
            <w:vAlign w:val="center"/>
          </w:tcPr>
          <w:p>
            <w:r/>
            <w:r>
              <w:rPr>
                <w:rFonts w:ascii="Calibri" w:hAnsi="Calibri"/>
                <w:color w:val="333333"/>
                <w:sz w:val="19"/>
              </w:rPr>
              <w:t>$142</w:t>
            </w:r>
          </w:p>
        </w:tc>
        <w:tc>
          <w:tcPr>
            <w:tcW w:type="dxa" w:w="2160"/>
            <w:vAlign w:val="center"/>
          </w:tcPr>
          <w:p>
            <w:r/>
            <w:r>
              <w:rPr>
                <w:rFonts w:ascii="Calibri" w:hAnsi="Calibri"/>
                <w:color w:val="333333"/>
                <w:sz w:val="19"/>
              </w:rPr>
              <w:t>$185</w:t>
            </w:r>
          </w:p>
        </w:tc>
        <w:tc>
          <w:tcPr>
            <w:tcW w:type="dxa" w:w="2160"/>
            <w:vAlign w:val="center"/>
          </w:tcPr>
          <w:p>
            <w:r/>
            <w:r>
              <w:rPr>
                <w:rFonts w:ascii="Calibri" w:hAnsi="Calibri"/>
                <w:color w:val="333333"/>
                <w:sz w:val="19"/>
              </w:rPr>
              <w:t>91.9</w:t>
            </w:r>
          </w:p>
        </w:tc>
      </w:tr>
      <w:tr>
        <w:tc>
          <w:tcPr>
            <w:tcW w:type="dxa" w:w="1440"/>
            <w:shd w:val="clear" w:color="auto" w:fill="F2F2F2"/>
            <w:vAlign w:val="center"/>
          </w:tcPr>
          <w:p>
            <w:r/>
            <w:r>
              <w:rPr>
                <w:rFonts w:ascii="Calibri" w:hAnsi="Calibri"/>
                <w:color w:val="333333"/>
                <w:sz w:val="19"/>
              </w:rPr>
              <w:t>2024</w:t>
            </w:r>
          </w:p>
        </w:tc>
        <w:tc>
          <w:tcPr>
            <w:tcW w:type="dxa" w:w="2160"/>
            <w:shd w:val="clear" w:color="auto" w:fill="F2F2F2"/>
            <w:vAlign w:val="center"/>
          </w:tcPr>
          <w:p>
            <w:r/>
            <w:r>
              <w:rPr>
                <w:rFonts w:ascii="Calibri" w:hAnsi="Calibri"/>
                <w:color w:val="333333"/>
                <w:sz w:val="19"/>
              </w:rPr>
              <w:t>$190</w:t>
            </w:r>
          </w:p>
        </w:tc>
        <w:tc>
          <w:tcPr>
            <w:tcW w:type="dxa" w:w="2160"/>
            <w:shd w:val="clear" w:color="auto" w:fill="F2F2F2"/>
            <w:vAlign w:val="center"/>
          </w:tcPr>
          <w:p>
            <w:r/>
            <w:r>
              <w:rPr>
                <w:rFonts w:ascii="Calibri" w:hAnsi="Calibri"/>
                <w:color w:val="333333"/>
                <w:sz w:val="19"/>
              </w:rPr>
              <w:t>$268</w:t>
            </w:r>
          </w:p>
        </w:tc>
        <w:tc>
          <w:tcPr>
            <w:tcW w:type="dxa" w:w="2160"/>
            <w:shd w:val="clear" w:color="auto" w:fill="F2F2F2"/>
            <w:vAlign w:val="center"/>
          </w:tcPr>
          <w:p>
            <w:r/>
            <w:r>
              <w:rPr>
                <w:rFonts w:ascii="Calibri" w:hAnsi="Calibri"/>
                <w:color w:val="333333"/>
                <w:sz w:val="19"/>
              </w:rPr>
              <w:t>89.3</w:t>
            </w:r>
          </w:p>
        </w:tc>
      </w:tr>
      <w:tr>
        <w:tc>
          <w:tcPr>
            <w:tcW w:type="dxa" w:w="1440"/>
            <w:vAlign w:val="center"/>
          </w:tcPr>
          <w:p>
            <w:r/>
            <w:r>
              <w:rPr>
                <w:rFonts w:ascii="Calibri" w:hAnsi="Calibri"/>
                <w:color w:val="333333"/>
                <w:sz w:val="19"/>
              </w:rPr>
              <w:t>2025</w:t>
            </w:r>
          </w:p>
        </w:tc>
        <w:tc>
          <w:tcPr>
            <w:tcW w:type="dxa" w:w="2160"/>
            <w:vAlign w:val="center"/>
          </w:tcPr>
          <w:p>
            <w:r/>
            <w:r>
              <w:rPr>
                <w:rFonts w:ascii="Calibri" w:hAnsi="Calibri"/>
                <w:color w:val="333333"/>
                <w:sz w:val="19"/>
              </w:rPr>
              <w:t>$195</w:t>
            </w:r>
          </w:p>
        </w:tc>
        <w:tc>
          <w:tcPr>
            <w:tcW w:type="dxa" w:w="2160"/>
            <w:vAlign w:val="center"/>
          </w:tcPr>
          <w:p>
            <w:r/>
            <w:r>
              <w:rPr>
                <w:rFonts w:ascii="Calibri" w:hAnsi="Calibri"/>
                <w:color w:val="333333"/>
                <w:sz w:val="19"/>
              </w:rPr>
              <w:t>$278</w:t>
            </w:r>
          </w:p>
        </w:tc>
        <w:tc>
          <w:tcPr>
            <w:tcW w:type="dxa" w:w="2160"/>
            <w:vAlign w:val="center"/>
          </w:tcPr>
          <w:p>
            <w:r/>
            <w:r>
              <w:rPr>
                <w:rFonts w:ascii="Calibri" w:hAnsi="Calibri"/>
                <w:color w:val="333333"/>
                <w:sz w:val="19"/>
              </w:rPr>
              <w:t>88.5</w:t>
            </w:r>
          </w:p>
        </w:tc>
      </w:tr>
      <w:tr>
        <w:tc>
          <w:tcPr>
            <w:tcW w:type="dxa" w:w="1440"/>
            <w:shd w:val="clear" w:color="auto" w:fill="F2F2F2"/>
            <w:vAlign w:val="center"/>
          </w:tcPr>
          <w:p>
            <w:r/>
            <w:r>
              <w:rPr>
                <w:rFonts w:ascii="Calibri" w:hAnsi="Calibri"/>
                <w:color w:val="333333"/>
                <w:sz w:val="19"/>
              </w:rPr>
              <w:t>2026 (Q1)</w:t>
            </w:r>
          </w:p>
        </w:tc>
        <w:tc>
          <w:tcPr>
            <w:tcW w:type="dxa" w:w="2160"/>
            <w:shd w:val="clear" w:color="auto" w:fill="F2F2F2"/>
            <w:vAlign w:val="center"/>
          </w:tcPr>
          <w:p>
            <w:r/>
            <w:r>
              <w:rPr>
                <w:rFonts w:ascii="Calibri" w:hAnsi="Calibri"/>
                <w:color w:val="333333"/>
                <w:sz w:val="19"/>
              </w:rPr>
              <w:t>$198</w:t>
            </w:r>
          </w:p>
        </w:tc>
        <w:tc>
          <w:tcPr>
            <w:tcW w:type="dxa" w:w="2160"/>
            <w:shd w:val="clear" w:color="auto" w:fill="F2F2F2"/>
            <w:vAlign w:val="center"/>
          </w:tcPr>
          <w:p>
            <w:r/>
            <w:r>
              <w:rPr>
                <w:rFonts w:ascii="Calibri" w:hAnsi="Calibri"/>
                <w:color w:val="333333"/>
                <w:sz w:val="19"/>
              </w:rPr>
              <w:t>$282</w:t>
            </w:r>
          </w:p>
        </w:tc>
        <w:tc>
          <w:tcPr>
            <w:tcW w:type="dxa" w:w="2160"/>
            <w:shd w:val="clear" w:color="auto" w:fill="F2F2F2"/>
            <w:vAlign w:val="center"/>
          </w:tcPr>
          <w:p>
            <w:r/>
            <w:r>
              <w:rPr>
                <w:rFonts w:ascii="Calibri" w:hAnsi="Calibri"/>
                <w:color w:val="333333"/>
                <w:sz w:val="19"/>
              </w:rPr>
              <w:t>88.2</w:t>
            </w:r>
          </w:p>
        </w:tc>
      </w:tr>
    </w:tbl>
    <w:p>
      <w:pPr>
        <w:spacing w:before="0" w:after="160" w:line="288" w:lineRule="auto"/>
      </w:pPr>
      <w:r>
        <w:rPr>
          <w:rFonts w:ascii="Calibri" w:hAnsi="Calibri"/>
          <w:b w:val="0"/>
          <w:i w:val="0"/>
        </w:rPr>
      </w:r>
    </w:p>
    <w:p>
      <w:r>
        <w:br w:type="page"/>
      </w:r>
    </w:p>
    <w:p>
      <w:pPr>
        <w:pStyle w:val="Heading1"/>
        <w:spacing w:before="0" w:after="240" w:line="276" w:lineRule="auto"/>
        <w:pBdr>
          <w:bottom w:val="single" w:sz="12" w:space="4" w:color="003A70"/>
        </w:pBdr>
      </w:pPr>
      <w:r>
        <w:t>Appendix B: Commission Sensitivity Model Detail</w:t>
      </w:r>
    </w:p>
    <w:p>
      <w:pPr>
        <w:spacing w:before="0" w:after="160" w:line="300" w:lineRule="auto"/>
      </w:pPr>
      <w:r>
        <w:rPr>
          <w:rFonts w:ascii="Calibri" w:hAnsi="Calibri"/>
          <w:b w:val="0"/>
          <w:i w:val="0"/>
          <w:sz w:val="21"/>
        </w:rPr>
        <w:t>Model assumes: $3.2B transaction volume, 95% cattle / 5% lamb split, 1.875% average commission rate. Cattle price declines applied to cattle volume only; lamb volume held constant (immaterial). Scenarios represent annual average price declines from peak-cycle levels.</w:t>
      </w:r>
    </w:p>
    <w:p>
      <w:r>
        <w:br w:type="page"/>
      </w:r>
    </w:p>
    <w:p>
      <w:pPr>
        <w:pStyle w:val="Heading1"/>
        <w:spacing w:before="0" w:after="240" w:line="276" w:lineRule="auto"/>
        <w:pBdr>
          <w:bottom w:val="single" w:sz="12" w:space="4" w:color="003A70"/>
        </w:pBdr>
      </w:pPr>
      <w:r>
        <w:t>Appendix C: Generational Demographics</w:t>
      </w:r>
    </w:p>
    <w:tbl>
      <w:tblPr>
        <w:tblW w:type="auto" w:w="0"/>
        <w:jc w:val="center"/>
        <w:tblLook w:firstColumn="1" w:firstRow="1" w:lastColumn="0" w:lastRow="0" w:noHBand="0" w:noVBand="1" w:val="04A0"/>
      </w:tblPr>
      <w:tblGrid>
        <w:gridCol w:w="1872"/>
        <w:gridCol w:w="1872"/>
        <w:gridCol w:w="1872"/>
        <w:gridCol w:w="1872"/>
        <w:gridCol w:w="1872"/>
      </w:tblGrid>
      <w:tr>
        <w:tc>
          <w:tcPr>
            <w:tcW w:type="dxa" w:w="1728"/>
            <w:shd w:val="clear" w:color="auto" w:fill="003A70"/>
            <w:vAlign w:val="center"/>
          </w:tcPr>
          <w:p>
            <w:r/>
            <w:r>
              <w:rPr>
                <w:rFonts w:ascii="Calibri" w:hAnsi="Calibri"/>
                <w:b/>
                <w:color w:val="FFFFFF"/>
                <w:sz w:val="19"/>
              </w:rPr>
              <w:t>Age Group</w:t>
            </w:r>
          </w:p>
        </w:tc>
        <w:tc>
          <w:tcPr>
            <w:tcW w:type="dxa" w:w="1728"/>
            <w:shd w:val="clear" w:color="auto" w:fill="003A70"/>
            <w:vAlign w:val="center"/>
          </w:tcPr>
          <w:p>
            <w:r/>
            <w:r>
              <w:rPr>
                <w:rFonts w:ascii="Calibri" w:hAnsi="Calibri"/>
                <w:b/>
                <w:color w:val="FFFFFF"/>
                <w:sz w:val="19"/>
              </w:rPr>
              <w:t>2012 Census</w:t>
            </w:r>
          </w:p>
        </w:tc>
        <w:tc>
          <w:tcPr>
            <w:tcW w:type="dxa" w:w="1728"/>
            <w:shd w:val="clear" w:color="auto" w:fill="003A70"/>
            <w:vAlign w:val="center"/>
          </w:tcPr>
          <w:p>
            <w:r/>
            <w:r>
              <w:rPr>
                <w:rFonts w:ascii="Calibri" w:hAnsi="Calibri"/>
                <w:b/>
                <w:color w:val="FFFFFF"/>
                <w:sz w:val="19"/>
              </w:rPr>
              <w:t>2022 Census</w:t>
            </w:r>
          </w:p>
        </w:tc>
        <w:tc>
          <w:tcPr>
            <w:tcW w:type="dxa" w:w="1728"/>
            <w:shd w:val="clear" w:color="auto" w:fill="003A70"/>
            <w:vAlign w:val="center"/>
          </w:tcPr>
          <w:p>
            <w:r/>
            <w:r>
              <w:rPr>
                <w:rFonts w:ascii="Calibri" w:hAnsi="Calibri"/>
                <w:b/>
                <w:color w:val="FFFFFF"/>
                <w:sz w:val="19"/>
              </w:rPr>
              <w:t>2035 Projected</w:t>
            </w:r>
          </w:p>
        </w:tc>
        <w:tc>
          <w:tcPr>
            <w:tcW w:type="dxa" w:w="1440"/>
            <w:shd w:val="clear" w:color="auto" w:fill="003A70"/>
            <w:vAlign w:val="center"/>
          </w:tcPr>
          <w:p>
            <w:r/>
            <w:r>
              <w:rPr>
                <w:rFonts w:ascii="Calibri" w:hAnsi="Calibri"/>
                <w:b/>
                <w:color w:val="FFFFFF"/>
                <w:sz w:val="19"/>
              </w:rPr>
              <w:t>Change</w:t>
            </w:r>
          </w:p>
        </w:tc>
      </w:tr>
      <w:tr>
        <w:tc>
          <w:tcPr>
            <w:tcW w:type="dxa" w:w="1728"/>
            <w:vAlign w:val="center"/>
          </w:tcPr>
          <w:p>
            <w:r/>
            <w:r>
              <w:rPr>
                <w:rFonts w:ascii="Calibri" w:hAnsi="Calibri"/>
                <w:color w:val="333333"/>
                <w:sz w:val="19"/>
              </w:rPr>
              <w:t>&lt;35</w:t>
            </w:r>
          </w:p>
        </w:tc>
        <w:tc>
          <w:tcPr>
            <w:tcW w:type="dxa" w:w="1728"/>
            <w:vAlign w:val="center"/>
          </w:tcPr>
          <w:p>
            <w:r/>
            <w:r>
              <w:rPr>
                <w:rFonts w:ascii="Calibri" w:hAnsi="Calibri"/>
                <w:color w:val="333333"/>
                <w:sz w:val="19"/>
              </w:rPr>
              <w:t>5.6%</w:t>
            </w:r>
          </w:p>
        </w:tc>
        <w:tc>
          <w:tcPr>
            <w:tcW w:type="dxa" w:w="1728"/>
            <w:vAlign w:val="center"/>
          </w:tcPr>
          <w:p>
            <w:r/>
            <w:r>
              <w:rPr>
                <w:rFonts w:ascii="Calibri" w:hAnsi="Calibri"/>
                <w:color w:val="333333"/>
                <w:sz w:val="19"/>
              </w:rPr>
              <w:t>4.9%</w:t>
            </w:r>
          </w:p>
        </w:tc>
        <w:tc>
          <w:tcPr>
            <w:tcW w:type="dxa" w:w="1728"/>
            <w:vAlign w:val="center"/>
          </w:tcPr>
          <w:p>
            <w:r/>
            <w:r>
              <w:rPr>
                <w:rFonts w:ascii="Calibri" w:hAnsi="Calibri"/>
                <w:color w:val="333333"/>
                <w:sz w:val="19"/>
              </w:rPr>
              <w:t>4.2%</w:t>
            </w:r>
          </w:p>
        </w:tc>
        <w:tc>
          <w:tcPr>
            <w:tcW w:type="dxa" w:w="1440"/>
            <w:vAlign w:val="center"/>
          </w:tcPr>
          <w:p>
            <w:r/>
            <w:r>
              <w:rPr>
                <w:rFonts w:ascii="Calibri" w:hAnsi="Calibri"/>
                <w:color w:val="333333"/>
                <w:sz w:val="19"/>
              </w:rPr>
              <w:t>-1.4pp</w:t>
            </w:r>
          </w:p>
        </w:tc>
      </w:tr>
      <w:tr>
        <w:tc>
          <w:tcPr>
            <w:tcW w:type="dxa" w:w="1728"/>
            <w:shd w:val="clear" w:color="auto" w:fill="F2F2F2"/>
            <w:vAlign w:val="center"/>
          </w:tcPr>
          <w:p>
            <w:r/>
            <w:r>
              <w:rPr>
                <w:rFonts w:ascii="Calibri" w:hAnsi="Calibri"/>
                <w:color w:val="333333"/>
                <w:sz w:val="19"/>
              </w:rPr>
              <w:t>35-44</w:t>
            </w:r>
          </w:p>
        </w:tc>
        <w:tc>
          <w:tcPr>
            <w:tcW w:type="dxa" w:w="1728"/>
            <w:shd w:val="clear" w:color="auto" w:fill="F2F2F2"/>
            <w:vAlign w:val="center"/>
          </w:tcPr>
          <w:p>
            <w:r/>
            <w:r>
              <w:rPr>
                <w:rFonts w:ascii="Calibri" w:hAnsi="Calibri"/>
                <w:color w:val="333333"/>
                <w:sz w:val="19"/>
              </w:rPr>
              <w:t>10.2%</w:t>
            </w:r>
          </w:p>
        </w:tc>
        <w:tc>
          <w:tcPr>
            <w:tcW w:type="dxa" w:w="1728"/>
            <w:shd w:val="clear" w:color="auto" w:fill="F2F2F2"/>
            <w:vAlign w:val="center"/>
          </w:tcPr>
          <w:p>
            <w:r/>
            <w:r>
              <w:rPr>
                <w:rFonts w:ascii="Calibri" w:hAnsi="Calibri"/>
                <w:color w:val="333333"/>
                <w:sz w:val="19"/>
              </w:rPr>
              <w:t>8.3%</w:t>
            </w:r>
          </w:p>
        </w:tc>
        <w:tc>
          <w:tcPr>
            <w:tcW w:type="dxa" w:w="1728"/>
            <w:shd w:val="clear" w:color="auto" w:fill="F2F2F2"/>
            <w:vAlign w:val="center"/>
          </w:tcPr>
          <w:p>
            <w:r/>
            <w:r>
              <w:rPr>
                <w:rFonts w:ascii="Calibri" w:hAnsi="Calibri"/>
                <w:color w:val="333333"/>
                <w:sz w:val="19"/>
              </w:rPr>
              <w:t>7.5%</w:t>
            </w:r>
          </w:p>
        </w:tc>
        <w:tc>
          <w:tcPr>
            <w:tcW w:type="dxa" w:w="1440"/>
            <w:shd w:val="clear" w:color="auto" w:fill="F2F2F2"/>
            <w:vAlign w:val="center"/>
          </w:tcPr>
          <w:p>
            <w:r/>
            <w:r>
              <w:rPr>
                <w:rFonts w:ascii="Calibri" w:hAnsi="Calibri"/>
                <w:color w:val="333333"/>
                <w:sz w:val="19"/>
              </w:rPr>
              <w:t>-2.7pp</w:t>
            </w:r>
          </w:p>
        </w:tc>
      </w:tr>
      <w:tr>
        <w:tc>
          <w:tcPr>
            <w:tcW w:type="dxa" w:w="1728"/>
            <w:vAlign w:val="center"/>
          </w:tcPr>
          <w:p>
            <w:r/>
            <w:r>
              <w:rPr>
                <w:rFonts w:ascii="Calibri" w:hAnsi="Calibri"/>
                <w:color w:val="333333"/>
                <w:sz w:val="19"/>
              </w:rPr>
              <w:t>45-54</w:t>
            </w:r>
          </w:p>
        </w:tc>
        <w:tc>
          <w:tcPr>
            <w:tcW w:type="dxa" w:w="1728"/>
            <w:vAlign w:val="center"/>
          </w:tcPr>
          <w:p>
            <w:r/>
            <w:r>
              <w:rPr>
                <w:rFonts w:ascii="Calibri" w:hAnsi="Calibri"/>
                <w:color w:val="333333"/>
                <w:sz w:val="19"/>
              </w:rPr>
              <w:t>21.8%</w:t>
            </w:r>
          </w:p>
        </w:tc>
        <w:tc>
          <w:tcPr>
            <w:tcW w:type="dxa" w:w="1728"/>
            <w:vAlign w:val="center"/>
          </w:tcPr>
          <w:p>
            <w:r/>
            <w:r>
              <w:rPr>
                <w:rFonts w:ascii="Calibri" w:hAnsi="Calibri"/>
                <w:color w:val="333333"/>
                <w:sz w:val="19"/>
              </w:rPr>
              <w:t>16.1%</w:t>
            </w:r>
          </w:p>
        </w:tc>
        <w:tc>
          <w:tcPr>
            <w:tcW w:type="dxa" w:w="1728"/>
            <w:vAlign w:val="center"/>
          </w:tcPr>
          <w:p>
            <w:r/>
            <w:r>
              <w:rPr>
                <w:rFonts w:ascii="Calibri" w:hAnsi="Calibri"/>
                <w:color w:val="333333"/>
                <w:sz w:val="19"/>
              </w:rPr>
              <w:t>12.8%</w:t>
            </w:r>
          </w:p>
        </w:tc>
        <w:tc>
          <w:tcPr>
            <w:tcW w:type="dxa" w:w="1440"/>
            <w:vAlign w:val="center"/>
          </w:tcPr>
          <w:p>
            <w:r/>
            <w:r>
              <w:rPr>
                <w:rFonts w:ascii="Calibri" w:hAnsi="Calibri"/>
                <w:color w:val="333333"/>
                <w:sz w:val="19"/>
              </w:rPr>
              <w:t>-9.0pp</w:t>
            </w:r>
          </w:p>
        </w:tc>
      </w:tr>
      <w:tr>
        <w:tc>
          <w:tcPr>
            <w:tcW w:type="dxa" w:w="1728"/>
            <w:shd w:val="clear" w:color="auto" w:fill="F2F2F2"/>
            <w:vAlign w:val="center"/>
          </w:tcPr>
          <w:p>
            <w:r/>
            <w:r>
              <w:rPr>
                <w:rFonts w:ascii="Calibri" w:hAnsi="Calibri"/>
                <w:color w:val="333333"/>
                <w:sz w:val="19"/>
              </w:rPr>
              <w:t>55-64</w:t>
            </w:r>
          </w:p>
        </w:tc>
        <w:tc>
          <w:tcPr>
            <w:tcW w:type="dxa" w:w="1728"/>
            <w:shd w:val="clear" w:color="auto" w:fill="F2F2F2"/>
            <w:vAlign w:val="center"/>
          </w:tcPr>
          <w:p>
            <w:r/>
            <w:r>
              <w:rPr>
                <w:rFonts w:ascii="Calibri" w:hAnsi="Calibri"/>
                <w:color w:val="333333"/>
                <w:sz w:val="19"/>
              </w:rPr>
              <w:t>30.6%</w:t>
            </w:r>
          </w:p>
        </w:tc>
        <w:tc>
          <w:tcPr>
            <w:tcW w:type="dxa" w:w="1728"/>
            <w:shd w:val="clear" w:color="auto" w:fill="F2F2F2"/>
            <w:vAlign w:val="center"/>
          </w:tcPr>
          <w:p>
            <w:r/>
            <w:r>
              <w:rPr>
                <w:rFonts w:ascii="Calibri" w:hAnsi="Calibri"/>
                <w:color w:val="333333"/>
                <w:sz w:val="19"/>
              </w:rPr>
              <w:t>27.4%</w:t>
            </w:r>
          </w:p>
        </w:tc>
        <w:tc>
          <w:tcPr>
            <w:tcW w:type="dxa" w:w="1728"/>
            <w:shd w:val="clear" w:color="auto" w:fill="F2F2F2"/>
            <w:vAlign w:val="center"/>
          </w:tcPr>
          <w:p>
            <w:r/>
            <w:r>
              <w:rPr>
                <w:rFonts w:ascii="Calibri" w:hAnsi="Calibri"/>
                <w:color w:val="333333"/>
                <w:sz w:val="19"/>
              </w:rPr>
              <w:t>22.5%</w:t>
            </w:r>
          </w:p>
        </w:tc>
        <w:tc>
          <w:tcPr>
            <w:tcW w:type="dxa" w:w="1440"/>
            <w:shd w:val="clear" w:color="auto" w:fill="F2F2F2"/>
            <w:vAlign w:val="center"/>
          </w:tcPr>
          <w:p>
            <w:r/>
            <w:r>
              <w:rPr>
                <w:rFonts w:ascii="Calibri" w:hAnsi="Calibri"/>
                <w:color w:val="333333"/>
                <w:sz w:val="19"/>
              </w:rPr>
              <w:t>-8.1pp</w:t>
            </w:r>
          </w:p>
        </w:tc>
      </w:tr>
      <w:tr>
        <w:tc>
          <w:tcPr>
            <w:tcW w:type="dxa" w:w="1728"/>
            <w:vAlign w:val="center"/>
          </w:tcPr>
          <w:p>
            <w:r/>
            <w:r>
              <w:rPr>
                <w:rFonts w:ascii="Calibri" w:hAnsi="Calibri"/>
                <w:color w:val="333333"/>
                <w:sz w:val="19"/>
              </w:rPr>
              <w:t>65-74</w:t>
            </w:r>
          </w:p>
        </w:tc>
        <w:tc>
          <w:tcPr>
            <w:tcW w:type="dxa" w:w="1728"/>
            <w:vAlign w:val="center"/>
          </w:tcPr>
          <w:p>
            <w:r/>
            <w:r>
              <w:rPr>
                <w:rFonts w:ascii="Calibri" w:hAnsi="Calibri"/>
                <w:color w:val="333333"/>
                <w:sz w:val="19"/>
              </w:rPr>
              <w:t>22.1%</w:t>
            </w:r>
          </w:p>
        </w:tc>
        <w:tc>
          <w:tcPr>
            <w:tcW w:type="dxa" w:w="1728"/>
            <w:vAlign w:val="center"/>
          </w:tcPr>
          <w:p>
            <w:r/>
            <w:r>
              <w:rPr>
                <w:rFonts w:ascii="Calibri" w:hAnsi="Calibri"/>
                <w:color w:val="333333"/>
                <w:sz w:val="19"/>
              </w:rPr>
              <w:t>27.3%</w:t>
            </w:r>
          </w:p>
        </w:tc>
        <w:tc>
          <w:tcPr>
            <w:tcW w:type="dxa" w:w="1728"/>
            <w:vAlign w:val="center"/>
          </w:tcPr>
          <w:p>
            <w:r/>
            <w:r>
              <w:rPr>
                <w:rFonts w:ascii="Calibri" w:hAnsi="Calibri"/>
                <w:color w:val="333333"/>
                <w:sz w:val="19"/>
              </w:rPr>
              <w:t>29.5%</w:t>
            </w:r>
          </w:p>
        </w:tc>
        <w:tc>
          <w:tcPr>
            <w:tcW w:type="dxa" w:w="1440"/>
            <w:vAlign w:val="center"/>
          </w:tcPr>
          <w:p>
            <w:r/>
            <w:r>
              <w:rPr>
                <w:rFonts w:ascii="Calibri" w:hAnsi="Calibri"/>
                <w:color w:val="333333"/>
                <w:sz w:val="19"/>
              </w:rPr>
              <w:t>+7.4pp</w:t>
            </w:r>
          </w:p>
        </w:tc>
      </w:tr>
      <w:tr>
        <w:tc>
          <w:tcPr>
            <w:tcW w:type="dxa" w:w="1728"/>
            <w:shd w:val="clear" w:color="auto" w:fill="F2F2F2"/>
            <w:vAlign w:val="center"/>
          </w:tcPr>
          <w:p>
            <w:r/>
            <w:r>
              <w:rPr>
                <w:rFonts w:ascii="Calibri" w:hAnsi="Calibri"/>
                <w:color w:val="333333"/>
                <w:sz w:val="19"/>
              </w:rPr>
              <w:t>75+</w:t>
            </w:r>
          </w:p>
        </w:tc>
        <w:tc>
          <w:tcPr>
            <w:tcW w:type="dxa" w:w="1728"/>
            <w:shd w:val="clear" w:color="auto" w:fill="F2F2F2"/>
            <w:vAlign w:val="center"/>
          </w:tcPr>
          <w:p>
            <w:r/>
            <w:r>
              <w:rPr>
                <w:rFonts w:ascii="Calibri" w:hAnsi="Calibri"/>
                <w:color w:val="333333"/>
                <w:sz w:val="19"/>
              </w:rPr>
              <w:t>9.7%</w:t>
            </w:r>
          </w:p>
        </w:tc>
        <w:tc>
          <w:tcPr>
            <w:tcW w:type="dxa" w:w="1728"/>
            <w:shd w:val="clear" w:color="auto" w:fill="F2F2F2"/>
            <w:vAlign w:val="center"/>
          </w:tcPr>
          <w:p>
            <w:r/>
            <w:r>
              <w:rPr>
                <w:rFonts w:ascii="Calibri" w:hAnsi="Calibri"/>
                <w:color w:val="333333"/>
                <w:sz w:val="19"/>
              </w:rPr>
              <w:t>16.0%</w:t>
            </w:r>
          </w:p>
        </w:tc>
        <w:tc>
          <w:tcPr>
            <w:tcW w:type="dxa" w:w="1728"/>
            <w:shd w:val="clear" w:color="auto" w:fill="F2F2F2"/>
            <w:vAlign w:val="center"/>
          </w:tcPr>
          <w:p>
            <w:r/>
            <w:r>
              <w:rPr>
                <w:rFonts w:ascii="Calibri" w:hAnsi="Calibri"/>
                <w:color w:val="333333"/>
                <w:sz w:val="19"/>
              </w:rPr>
              <w:t>23.5%</w:t>
            </w:r>
          </w:p>
        </w:tc>
        <w:tc>
          <w:tcPr>
            <w:tcW w:type="dxa" w:w="1440"/>
            <w:shd w:val="clear" w:color="auto" w:fill="F2F2F2"/>
            <w:vAlign w:val="center"/>
          </w:tcPr>
          <w:p>
            <w:r/>
            <w:r>
              <w:rPr>
                <w:rFonts w:ascii="Calibri" w:hAnsi="Calibri"/>
                <w:color w:val="333333"/>
                <w:sz w:val="19"/>
              </w:rPr>
              <w:t>+13.8pp</w:t>
            </w:r>
          </w:p>
        </w:tc>
      </w:tr>
    </w:tbl>
    <w:p>
      <w:pPr>
        <w:spacing w:before="0" w:after="160" w:line="288" w:lineRule="auto"/>
      </w:pPr>
      <w:r>
        <w:rPr>
          <w:rFonts w:ascii="Calibri" w:hAnsi="Calibri"/>
          <w:b w:val="0"/>
          <w:i w:val="0"/>
        </w:rPr>
      </w:r>
    </w:p>
    <w:p>
      <w:r>
        <w:br w:type="page"/>
      </w:r>
    </w:p>
    <w:p>
      <w:pPr>
        <w:pStyle w:val="Heading1"/>
        <w:spacing w:before="0" w:after="240" w:line="276" w:lineRule="auto"/>
        <w:pBdr>
          <w:bottom w:val="single" w:sz="12" w:space="4" w:color="003A70"/>
        </w:pBdr>
      </w:pPr>
      <w:r>
        <w:t>Appendix D: Methodology &amp; Assumptions</w:t>
      </w:r>
    </w:p>
    <w:p>
      <w:pPr>
        <w:spacing w:before="0" w:after="160" w:line="300" w:lineRule="auto"/>
      </w:pPr>
      <w:r>
        <w:rPr>
          <w:rFonts w:ascii="Calibri" w:hAnsi="Calibri"/>
          <w:b w:val="0"/>
          <w:i w:val="0"/>
          <w:sz w:val="21"/>
        </w:rPr>
        <w:t>Financial model uses standard DCF with 8% discount rate. Benefits ramp: 40% Year 1, 80% Year 2, 100% Year 3+. Commission sensitivity model uses linear price-volume relationship (elasticity = 1.0 for simplicity). Inventory mark-to-market assumes flat basis. Generational projections use cohort survival model with USDA Census data. Market share erosion rates benchmarked from LMA industry reports.</w:t>
      </w:r>
    </w:p>
    <w:p>
      <w:r>
        <w:br w:type="page"/>
      </w:r>
    </w:p>
    <w:p>
      <w:pPr>
        <w:pStyle w:val="Heading1"/>
        <w:spacing w:before="0" w:after="240" w:line="276" w:lineRule="auto"/>
        <w:pBdr>
          <w:bottom w:val="single" w:sz="12" w:space="4" w:color="003A70"/>
        </w:pBdr>
      </w:pPr>
      <w:r>
        <w:t>Appendix E: Glossary</w:t>
      </w:r>
    </w:p>
    <w:p>
      <w:pPr>
        <w:pStyle w:val="ListBullet"/>
        <w:spacing w:before="0" w:after="80" w:line="288" w:lineRule="auto"/>
      </w:pPr>
      <w:r>
        <w:rPr>
          <w:rFonts w:ascii="Calibri" w:hAnsi="Calibri"/>
          <w:b/>
          <w:color w:val="003A70"/>
          <w:sz w:val="21"/>
        </w:rPr>
        <w:t xml:space="preserve">Basis: </w:t>
      </w:r>
      <w:r>
        <w:rPr>
          <w:rFonts w:ascii="Calibri" w:hAnsi="Calibri"/>
          <w:color w:val="333333"/>
          <w:sz w:val="21"/>
        </w:rPr>
        <w:t>Difference between local cash price and CME futures price.</w:t>
      </w:r>
    </w:p>
    <w:p>
      <w:pPr>
        <w:pStyle w:val="ListBullet"/>
        <w:spacing w:before="0" w:after="80" w:line="288" w:lineRule="auto"/>
      </w:pPr>
      <w:r>
        <w:rPr>
          <w:rFonts w:ascii="Calibri" w:hAnsi="Calibri"/>
          <w:b/>
          <w:color w:val="003A70"/>
          <w:sz w:val="21"/>
        </w:rPr>
        <w:t xml:space="preserve">Cattle Cycle: </w:t>
      </w:r>
      <w:r>
        <w:rPr>
          <w:rFonts w:ascii="Calibri" w:hAnsi="Calibri"/>
          <w:color w:val="333333"/>
          <w:sz w:val="21"/>
        </w:rPr>
        <w:t>10-12 year biological/economic cycle of herd expansion and contraction.</w:t>
      </w:r>
    </w:p>
    <w:p>
      <w:pPr>
        <w:pStyle w:val="ListBullet"/>
        <w:spacing w:before="0" w:after="80" w:line="288" w:lineRule="auto"/>
      </w:pPr>
      <w:r>
        <w:rPr>
          <w:rFonts w:ascii="Calibri" w:hAnsi="Calibri"/>
          <w:b/>
          <w:color w:val="003A70"/>
          <w:sz w:val="21"/>
        </w:rPr>
        <w:t xml:space="preserve">Contango: </w:t>
      </w:r>
      <w:r>
        <w:rPr>
          <w:rFonts w:ascii="Calibri" w:hAnsi="Calibri"/>
          <w:color w:val="333333"/>
          <w:sz w:val="21"/>
        </w:rPr>
        <w:t>Futures curve where later months are higher than nearby — bearish signal.</w:t>
      </w:r>
    </w:p>
    <w:p>
      <w:pPr>
        <w:pStyle w:val="ListBullet"/>
        <w:spacing w:before="0" w:after="80" w:line="288" w:lineRule="auto"/>
      </w:pPr>
      <w:r>
        <w:rPr>
          <w:rFonts w:ascii="Calibri" w:hAnsi="Calibri"/>
          <w:b/>
          <w:color w:val="003A70"/>
          <w:sz w:val="21"/>
        </w:rPr>
        <w:t xml:space="preserve">Backwardation: </w:t>
      </w:r>
      <w:r>
        <w:rPr>
          <w:rFonts w:ascii="Calibri" w:hAnsi="Calibri"/>
          <w:color w:val="333333"/>
          <w:sz w:val="21"/>
        </w:rPr>
        <w:t>Futures curve where nearby months are higher — bullish/tight-supply signal.</w:t>
      </w:r>
    </w:p>
    <w:p>
      <w:pPr>
        <w:pStyle w:val="ListBullet"/>
        <w:spacing w:before="0" w:after="80" w:line="288" w:lineRule="auto"/>
      </w:pPr>
      <w:r>
        <w:rPr>
          <w:rFonts w:ascii="Calibri" w:hAnsi="Calibri"/>
          <w:b/>
          <w:color w:val="003A70"/>
          <w:sz w:val="21"/>
        </w:rPr>
        <w:t xml:space="preserve">Cost-of-Gain: </w:t>
      </w:r>
      <w:r>
        <w:rPr>
          <w:rFonts w:ascii="Calibri" w:hAnsi="Calibri"/>
          <w:color w:val="333333"/>
          <w:sz w:val="21"/>
        </w:rPr>
        <w:t>Feed and operational cost per pound of weight added in a feedlot.</w:t>
      </w:r>
    </w:p>
    <w:p>
      <w:pPr>
        <w:pStyle w:val="ListBullet"/>
        <w:spacing w:before="0" w:after="80" w:line="288" w:lineRule="auto"/>
      </w:pPr>
      <w:r>
        <w:rPr>
          <w:rFonts w:ascii="Calibri" w:hAnsi="Calibri"/>
          <w:b/>
          <w:color w:val="003A70"/>
          <w:sz w:val="21"/>
        </w:rPr>
        <w:t xml:space="preserve">Disintermediation: </w:t>
      </w:r>
      <w:r>
        <w:rPr>
          <w:rFonts w:ascii="Calibri" w:hAnsi="Calibri"/>
          <w:color w:val="333333"/>
          <w:sz w:val="21"/>
        </w:rPr>
        <w:t>Removal of intermediaries (like PLMA) from supply chain transactions.</w:t>
      </w:r>
    </w:p>
    <w:p>
      <w:pPr>
        <w:pStyle w:val="ListBullet"/>
        <w:spacing w:before="0" w:after="80" w:line="288" w:lineRule="auto"/>
      </w:pPr>
      <w:r>
        <w:rPr>
          <w:rFonts w:ascii="Calibri" w:hAnsi="Calibri"/>
          <w:b/>
          <w:color w:val="003A70"/>
          <w:sz w:val="21"/>
        </w:rPr>
        <w:t xml:space="preserve">EID: </w:t>
      </w:r>
      <w:r>
        <w:rPr>
          <w:rFonts w:ascii="Calibri" w:hAnsi="Calibri"/>
          <w:color w:val="333333"/>
          <w:sz w:val="21"/>
        </w:rPr>
        <w:t>Electronic Identification — RFID tags for individual animal tracking.</w:t>
      </w:r>
    </w:p>
    <w:p>
      <w:pPr>
        <w:pStyle w:val="ListBullet"/>
        <w:spacing w:before="0" w:after="80" w:line="288" w:lineRule="auto"/>
      </w:pPr>
      <w:r>
        <w:rPr>
          <w:rFonts w:ascii="Calibri" w:hAnsi="Calibri"/>
          <w:b/>
          <w:color w:val="003A70"/>
          <w:sz w:val="21"/>
        </w:rPr>
        <w:t xml:space="preserve">Feeder Cattle: </w:t>
      </w:r>
      <w:r>
        <w:rPr>
          <w:rFonts w:ascii="Calibri" w:hAnsi="Calibri"/>
          <w:color w:val="333333"/>
          <w:sz w:val="21"/>
        </w:rPr>
        <w:t>Weaned calves or yearlings ready for feedlot placement.</w:t>
      </w:r>
    </w:p>
    <w:p>
      <w:pPr>
        <w:pStyle w:val="ListBullet"/>
        <w:spacing w:before="0" w:after="80" w:line="288" w:lineRule="auto"/>
      </w:pPr>
      <w:r>
        <w:rPr>
          <w:rFonts w:ascii="Calibri" w:hAnsi="Calibri"/>
          <w:b/>
          <w:color w:val="003A70"/>
          <w:sz w:val="21"/>
        </w:rPr>
        <w:t xml:space="preserve">Mark-to-Market: </w:t>
      </w:r>
      <w:r>
        <w:rPr>
          <w:rFonts w:ascii="Calibri" w:hAnsi="Calibri"/>
          <w:color w:val="333333"/>
          <w:sz w:val="21"/>
        </w:rPr>
        <w:t>Revaluing inventory to current market prices; unrealized gain/loss.</w:t>
      </w:r>
    </w:p>
    <w:p>
      <w:pPr>
        <w:pStyle w:val="ListBullet"/>
        <w:spacing w:before="0" w:after="80" w:line="288" w:lineRule="auto"/>
      </w:pPr>
      <w:r>
        <w:rPr>
          <w:rFonts w:ascii="Calibri" w:hAnsi="Calibri"/>
          <w:b/>
          <w:color w:val="003A70"/>
          <w:sz w:val="21"/>
        </w:rPr>
        <w:t xml:space="preserve">P&amp;SA: </w:t>
      </w:r>
      <w:r>
        <w:rPr>
          <w:rFonts w:ascii="Calibri" w:hAnsi="Calibri"/>
          <w:color w:val="333333"/>
          <w:sz w:val="21"/>
        </w:rPr>
        <w:t>Packers &amp; Stockyards Act — USDA livestock marketing regulation.</w:t>
      </w:r>
    </w:p>
    <w:p>
      <w:r>
        <w:br w:type="page"/>
      </w:r>
    </w:p>
    <w:p>
      <w:pPr>
        <w:pStyle w:val="Heading1"/>
        <w:spacing w:before="0" w:after="240" w:line="276" w:lineRule="auto"/>
        <w:pBdr>
          <w:bottom w:val="single" w:sz="12" w:space="4" w:color="003A70"/>
        </w:pBdr>
      </w:pPr>
      <w:r>
        <w:t>Appendix F: Citations</w:t>
      </w:r>
    </w:p>
    <w:p>
      <w:pPr>
        <w:spacing w:before="0" w:after="100" w:line="288" w:lineRule="auto"/>
        <w:ind w:left="576" w:hanging="576"/>
      </w:pPr>
      <w:r>
        <w:rPr>
          <w:rFonts w:ascii="Calibri" w:hAnsi="Calibri"/>
          <w:b/>
          <w:color w:val="003A70"/>
          <w:sz w:val="19"/>
        </w:rPr>
        <w:t xml:space="preserve">[1]  </w:t>
      </w:r>
      <w:r>
        <w:rPr>
          <w:rFonts w:ascii="Calibri" w:hAnsi="Calibri"/>
          <w:color w:val="333333"/>
          <w:sz w:val="19"/>
        </w:rPr>
        <w:t>USDA NASS, "Cattle on Feed," monthly reports 2024-2026.</w:t>
      </w:r>
    </w:p>
    <w:p>
      <w:pPr>
        <w:spacing w:before="0" w:after="100" w:line="288" w:lineRule="auto"/>
        <w:ind w:left="576" w:hanging="576"/>
      </w:pPr>
      <w:r>
        <w:rPr>
          <w:rFonts w:ascii="Calibri" w:hAnsi="Calibri"/>
          <w:b/>
          <w:color w:val="003A70"/>
          <w:sz w:val="19"/>
        </w:rPr>
        <w:t xml:space="preserve">[2]  </w:t>
      </w:r>
      <w:r>
        <w:rPr>
          <w:rFonts w:ascii="Calibri" w:hAnsi="Calibri"/>
          <w:color w:val="333333"/>
          <w:sz w:val="19"/>
        </w:rPr>
        <w:t>USDA NASS, "Cattle," semi-annual report, January 2026.</w:t>
      </w:r>
    </w:p>
    <w:p>
      <w:pPr>
        <w:spacing w:before="0" w:after="100" w:line="288" w:lineRule="auto"/>
        <w:ind w:left="576" w:hanging="576"/>
      </w:pPr>
      <w:r>
        <w:rPr>
          <w:rFonts w:ascii="Calibri" w:hAnsi="Calibri"/>
          <w:b/>
          <w:color w:val="003A70"/>
          <w:sz w:val="19"/>
        </w:rPr>
        <w:t xml:space="preserve">[3]  </w:t>
      </w:r>
      <w:r>
        <w:rPr>
          <w:rFonts w:ascii="Calibri" w:hAnsi="Calibri"/>
          <w:color w:val="333333"/>
          <w:sz w:val="19"/>
        </w:rPr>
        <w:t>USDA ERS, "Cattle &amp; Beef: Outlook," March 2026.</w:t>
      </w:r>
    </w:p>
    <w:p>
      <w:pPr>
        <w:spacing w:before="0" w:after="100" w:line="288" w:lineRule="auto"/>
        <w:ind w:left="576" w:hanging="576"/>
      </w:pPr>
      <w:r>
        <w:rPr>
          <w:rFonts w:ascii="Calibri" w:hAnsi="Calibri"/>
          <w:b/>
          <w:color w:val="003A70"/>
          <w:sz w:val="19"/>
        </w:rPr>
        <w:t xml:space="preserve">[4]  </w:t>
      </w:r>
      <w:r>
        <w:rPr>
          <w:rFonts w:ascii="Calibri" w:hAnsi="Calibri"/>
          <w:color w:val="333333"/>
          <w:sz w:val="19"/>
        </w:rPr>
        <w:t>CME Group, "Live Cattle and Feeder Cattle Futures: Market Analysis," 2025-2026.</w:t>
      </w:r>
    </w:p>
    <w:p>
      <w:pPr>
        <w:spacing w:before="0" w:after="100" w:line="288" w:lineRule="auto"/>
        <w:ind w:left="576" w:hanging="576"/>
      </w:pPr>
      <w:r>
        <w:rPr>
          <w:rFonts w:ascii="Calibri" w:hAnsi="Calibri"/>
          <w:b/>
          <w:color w:val="003A70"/>
          <w:sz w:val="19"/>
        </w:rPr>
        <w:t xml:space="preserve">[5]  </w:t>
      </w:r>
      <w:r>
        <w:rPr>
          <w:rFonts w:ascii="Calibri" w:hAnsi="Calibri"/>
          <w:color w:val="333333"/>
          <w:sz w:val="19"/>
        </w:rPr>
        <w:t>Livestock Marketing Information Center (LMIC), "Monthly Livestock Outlook," 2025-2026.</w:t>
      </w:r>
    </w:p>
    <w:p>
      <w:pPr>
        <w:spacing w:before="0" w:after="100" w:line="288" w:lineRule="auto"/>
        <w:ind w:left="576" w:hanging="576"/>
      </w:pPr>
      <w:r>
        <w:rPr>
          <w:rFonts w:ascii="Calibri" w:hAnsi="Calibri"/>
          <w:b/>
          <w:color w:val="003A70"/>
          <w:sz w:val="19"/>
        </w:rPr>
        <w:t xml:space="preserve">[6]  </w:t>
      </w:r>
      <w:r>
        <w:rPr>
          <w:rFonts w:ascii="Calibri" w:hAnsi="Calibri"/>
          <w:color w:val="333333"/>
          <w:sz w:val="19"/>
        </w:rPr>
        <w:t>Kansas State University, "AgManager: Livestock Market Analysis," 2025-2026.</w:t>
      </w:r>
    </w:p>
    <w:p>
      <w:pPr>
        <w:spacing w:before="0" w:after="100" w:line="288" w:lineRule="auto"/>
        <w:ind w:left="576" w:hanging="576"/>
      </w:pPr>
      <w:r>
        <w:rPr>
          <w:rFonts w:ascii="Calibri" w:hAnsi="Calibri"/>
          <w:b/>
          <w:color w:val="003A70"/>
          <w:sz w:val="19"/>
        </w:rPr>
        <w:t xml:space="preserve">[7]  </w:t>
      </w:r>
      <w:r>
        <w:rPr>
          <w:rFonts w:ascii="Calibri" w:hAnsi="Calibri"/>
          <w:color w:val="333333"/>
          <w:sz w:val="19"/>
        </w:rPr>
        <w:t>USDA AMS Packers &amp; Stockyards Division, "Annual Report," 2025.</w:t>
      </w:r>
    </w:p>
    <w:p>
      <w:pPr>
        <w:spacing w:before="0" w:after="100" w:line="288" w:lineRule="auto"/>
        <w:ind w:left="576" w:hanging="576"/>
      </w:pPr>
      <w:r>
        <w:rPr>
          <w:rFonts w:ascii="Calibri" w:hAnsi="Calibri"/>
          <w:b/>
          <w:color w:val="003A70"/>
          <w:sz w:val="19"/>
        </w:rPr>
        <w:t xml:space="preserve">[8]  </w:t>
      </w:r>
      <w:r>
        <w:rPr>
          <w:rFonts w:ascii="Calibri" w:hAnsi="Calibri"/>
          <w:color w:val="333333"/>
          <w:sz w:val="19"/>
        </w:rPr>
        <w:t>USDA ERS, "Farm Income and Wealth Statistics," 2025-2026.</w:t>
      </w:r>
    </w:p>
    <w:p>
      <w:pPr>
        <w:spacing w:before="0" w:after="100" w:line="288" w:lineRule="auto"/>
        <w:ind w:left="576" w:hanging="576"/>
      </w:pPr>
      <w:r>
        <w:rPr>
          <w:rFonts w:ascii="Calibri" w:hAnsi="Calibri"/>
          <w:b/>
          <w:color w:val="003A70"/>
          <w:sz w:val="19"/>
        </w:rPr>
        <w:t xml:space="preserve">[9]  </w:t>
      </w:r>
      <w:r>
        <w:rPr>
          <w:rFonts w:ascii="Calibri" w:hAnsi="Calibri"/>
          <w:color w:val="333333"/>
          <w:sz w:val="19"/>
        </w:rPr>
        <w:t>Federal Reserve Bank of Kansas City, "Agricultural Finance Databook," Q4 2025.</w:t>
      </w:r>
    </w:p>
    <w:p>
      <w:pPr>
        <w:spacing w:before="0" w:after="100" w:line="288" w:lineRule="auto"/>
        <w:ind w:left="576" w:hanging="576"/>
      </w:pPr>
      <w:r>
        <w:rPr>
          <w:rFonts w:ascii="Calibri" w:hAnsi="Calibri"/>
          <w:b/>
          <w:color w:val="003A70"/>
          <w:sz w:val="19"/>
        </w:rPr>
        <w:t xml:space="preserve">[10]  </w:t>
      </w:r>
      <w:r>
        <w:rPr>
          <w:rFonts w:ascii="Calibri" w:hAnsi="Calibri"/>
          <w:color w:val="333333"/>
          <w:sz w:val="19"/>
        </w:rPr>
        <w:t>Livestock Marketing Association, "Annual Industry Census," 2024.</w:t>
      </w:r>
    </w:p>
    <w:p>
      <w:pPr>
        <w:spacing w:before="0" w:after="100" w:line="288" w:lineRule="auto"/>
        <w:ind w:left="576" w:hanging="576"/>
      </w:pPr>
      <w:r>
        <w:rPr>
          <w:rFonts w:ascii="Calibri" w:hAnsi="Calibri"/>
          <w:b/>
          <w:color w:val="003A70"/>
          <w:sz w:val="19"/>
        </w:rPr>
        <w:t xml:space="preserve">[11]  </w:t>
      </w:r>
      <w:r>
        <w:rPr>
          <w:rFonts w:ascii="Calibri" w:hAnsi="Calibri"/>
          <w:color w:val="333333"/>
          <w:sz w:val="19"/>
        </w:rPr>
        <w:t>USDA NASS, "Census of Agriculture," 2022 (released 2024).</w:t>
      </w:r>
    </w:p>
    <w:p>
      <w:pPr>
        <w:spacing w:before="0" w:after="100" w:line="288" w:lineRule="auto"/>
        <w:ind w:left="576" w:hanging="576"/>
      </w:pPr>
      <w:r>
        <w:rPr>
          <w:rFonts w:ascii="Calibri" w:hAnsi="Calibri"/>
          <w:b/>
          <w:color w:val="003A70"/>
          <w:sz w:val="19"/>
        </w:rPr>
        <w:t xml:space="preserve">[12]  </w:t>
      </w:r>
      <w:r>
        <w:rPr>
          <w:rFonts w:ascii="Calibri" w:hAnsi="Calibri"/>
          <w:color w:val="333333"/>
          <w:sz w:val="19"/>
        </w:rPr>
        <w:t>USDA ERS, "America's Farms and Ranches at a Glance," 2025.</w:t>
      </w:r>
    </w:p>
    <w:p>
      <w:pPr>
        <w:spacing w:before="0" w:after="100" w:line="288" w:lineRule="auto"/>
        <w:ind w:left="576" w:hanging="576"/>
      </w:pPr>
      <w:r>
        <w:rPr>
          <w:rFonts w:ascii="Calibri" w:hAnsi="Calibri"/>
          <w:b/>
          <w:color w:val="003A70"/>
          <w:sz w:val="19"/>
        </w:rPr>
        <w:t xml:space="preserve">[13]  </w:t>
      </w:r>
      <w:r>
        <w:rPr>
          <w:rFonts w:ascii="Calibri" w:hAnsi="Calibri"/>
          <w:color w:val="333333"/>
          <w:sz w:val="19"/>
        </w:rPr>
        <w:t>Rabobank, "Global Animal Protein Outlook," 2026.</w:t>
      </w:r>
    </w:p>
    <w:p>
      <w:pPr>
        <w:spacing w:before="0" w:after="100" w:line="288" w:lineRule="auto"/>
        <w:ind w:left="576" w:hanging="576"/>
      </w:pPr>
      <w:r>
        <w:rPr>
          <w:rFonts w:ascii="Calibri" w:hAnsi="Calibri"/>
          <w:b/>
          <w:color w:val="003A70"/>
          <w:sz w:val="19"/>
        </w:rPr>
        <w:t xml:space="preserve">[14]  </w:t>
      </w:r>
      <w:r>
        <w:rPr>
          <w:rFonts w:ascii="Calibri" w:hAnsi="Calibri"/>
          <w:color w:val="333333"/>
          <w:sz w:val="19"/>
        </w:rPr>
        <w:t>Sterling Marketing Inc., "Cattle Feeding Industry Analysis," Q1 2026.</w:t>
      </w:r>
    </w:p>
    <w:p>
      <w:pPr>
        <w:spacing w:before="0" w:after="100" w:line="288" w:lineRule="auto"/>
        <w:ind w:left="576" w:hanging="576"/>
      </w:pPr>
      <w:r>
        <w:rPr>
          <w:rFonts w:ascii="Calibri" w:hAnsi="Calibri"/>
          <w:b/>
          <w:color w:val="003A70"/>
          <w:sz w:val="19"/>
        </w:rPr>
        <w:t xml:space="preserve">[15]  </w:t>
      </w:r>
      <w:r>
        <w:rPr>
          <w:rFonts w:ascii="Calibri" w:hAnsi="Calibri"/>
          <w:color w:val="333333"/>
          <w:sz w:val="19"/>
        </w:rPr>
        <w:t>Superior Livestock Auction, "Annual Transaction Report," 2025.</w:t>
      </w:r>
    </w:p>
    <w:p>
      <w:pPr>
        <w:spacing w:before="0" w:after="100" w:line="288" w:lineRule="auto"/>
        <w:ind w:left="576" w:hanging="576"/>
      </w:pPr>
      <w:r>
        <w:rPr>
          <w:rFonts w:ascii="Calibri" w:hAnsi="Calibri"/>
          <w:b/>
          <w:color w:val="003A70"/>
          <w:sz w:val="19"/>
        </w:rPr>
        <w:t xml:space="preserve">[16]  </w:t>
      </w:r>
      <w:r>
        <w:rPr>
          <w:rFonts w:ascii="Calibri" w:hAnsi="Calibri"/>
          <w:color w:val="333333"/>
          <w:sz w:val="19"/>
        </w:rPr>
        <w:t>CoBank, "U.S. Agricultural Cooperatives: Risk and Resilience," 2025.</w:t>
      </w:r>
    </w:p>
    <w:p>
      <w:pPr>
        <w:spacing w:before="0" w:after="100" w:line="288" w:lineRule="auto"/>
        <w:ind w:left="576" w:hanging="576"/>
      </w:pPr>
      <w:r>
        <w:rPr>
          <w:rFonts w:ascii="Calibri" w:hAnsi="Calibri"/>
          <w:b/>
          <w:color w:val="003A70"/>
          <w:sz w:val="19"/>
        </w:rPr>
        <w:t xml:space="preserve">[17]  </w:t>
      </w:r>
      <w:r>
        <w:rPr>
          <w:rFonts w:ascii="Calibri" w:hAnsi="Calibri"/>
          <w:color w:val="333333"/>
          <w:sz w:val="19"/>
        </w:rPr>
        <w:t>S&amp;P Global Market Intelligence, "U.S. Agribusiness Credit Trends," 2025.</w:t>
      </w:r>
    </w:p>
    <w:p>
      <w:pPr>
        <w:spacing w:before="0" w:after="100" w:line="288" w:lineRule="auto"/>
        <w:ind w:left="576" w:hanging="576"/>
      </w:pPr>
      <w:r>
        <w:rPr>
          <w:rFonts w:ascii="Calibri" w:hAnsi="Calibri"/>
          <w:b/>
          <w:color w:val="003A70"/>
          <w:sz w:val="19"/>
        </w:rPr>
        <w:t xml:space="preserve">[18]  </w:t>
      </w:r>
      <w:r>
        <w:rPr>
          <w:rFonts w:ascii="Calibri" w:hAnsi="Calibri"/>
          <w:color w:val="333333"/>
          <w:sz w:val="19"/>
        </w:rPr>
        <w:t>McKinsey &amp; Company, "Agriculture Practice: Building Resilient Food Systems," 2024.</w:t>
      </w:r>
    </w:p>
    <w:p>
      <w:pPr>
        <w:spacing w:before="0" w:after="100" w:line="288" w:lineRule="auto"/>
        <w:ind w:left="576" w:hanging="576"/>
      </w:pPr>
      <w:r>
        <w:rPr>
          <w:rFonts w:ascii="Calibri" w:hAnsi="Calibri"/>
          <w:b/>
          <w:color w:val="003A70"/>
          <w:sz w:val="19"/>
        </w:rPr>
        <w:t xml:space="preserve">[19]  </w:t>
      </w:r>
      <w:r>
        <w:rPr>
          <w:rFonts w:ascii="Calibri" w:hAnsi="Calibri"/>
          <w:color w:val="333333"/>
          <w:sz w:val="19"/>
        </w:rPr>
        <w:t>Porter, M.E., "Competitive Strategy," Free Press, 1980.</w:t>
      </w:r>
    </w:p>
    <w:p>
      <w:pPr>
        <w:spacing w:before="0" w:after="100" w:line="288" w:lineRule="auto"/>
        <w:ind w:left="576" w:hanging="576"/>
      </w:pPr>
      <w:r>
        <w:rPr>
          <w:rFonts w:ascii="Calibri" w:hAnsi="Calibri"/>
          <w:b/>
          <w:color w:val="003A70"/>
          <w:sz w:val="19"/>
        </w:rPr>
        <w:t xml:space="preserve">[20]  </w:t>
      </w:r>
      <w:r>
        <w:rPr>
          <w:rFonts w:ascii="Calibri" w:hAnsi="Calibri"/>
          <w:color w:val="333333"/>
          <w:sz w:val="19"/>
        </w:rPr>
        <w:t>Covey, S.R., "The 7 Habits of Highly Effective People," 1989 (Circle of Influence).</w:t>
      </w:r>
    </w:p>
    <w:p>
      <w:pPr>
        <w:spacing w:before="0" w:after="100" w:line="288" w:lineRule="auto"/>
        <w:ind w:left="576" w:hanging="576"/>
      </w:pPr>
      <w:r>
        <w:rPr>
          <w:rFonts w:ascii="Calibri" w:hAnsi="Calibri"/>
          <w:b/>
          <w:color w:val="003A70"/>
          <w:sz w:val="19"/>
        </w:rPr>
        <w:t xml:space="preserve">[21]  </w:t>
      </w:r>
      <w:r>
        <w:rPr>
          <w:rFonts w:ascii="Calibri" w:hAnsi="Calibri"/>
          <w:color w:val="333333"/>
          <w:sz w:val="19"/>
        </w:rPr>
        <w:t>Harvard Business Review, "Managing Risks: A New Framework," Kaplan &amp; Mikes, 2012.</w:t>
      </w:r>
    </w:p>
    <w:p>
      <w:pPr>
        <w:spacing w:before="0" w:after="100" w:line="288" w:lineRule="auto"/>
        <w:ind w:left="576" w:hanging="576"/>
      </w:pPr>
      <w:r>
        <w:rPr>
          <w:rFonts w:ascii="Calibri" w:hAnsi="Calibri"/>
          <w:b/>
          <w:color w:val="003A70"/>
          <w:sz w:val="19"/>
        </w:rPr>
        <w:t xml:space="preserve">[22]  </w:t>
      </w:r>
      <w:r>
        <w:rPr>
          <w:rFonts w:ascii="Calibri" w:hAnsi="Calibri"/>
          <w:color w:val="333333"/>
          <w:sz w:val="19"/>
        </w:rPr>
        <w:t>USDA NIFA, "Beginning Farmer and Rancher Development Program," 2024-2025.</w:t>
      </w:r>
    </w:p>
    <w:p>
      <w:pPr>
        <w:spacing w:before="0" w:after="100" w:line="288" w:lineRule="auto"/>
        <w:ind w:left="576" w:hanging="576"/>
      </w:pPr>
      <w:r>
        <w:rPr>
          <w:rFonts w:ascii="Calibri" w:hAnsi="Calibri"/>
          <w:b/>
          <w:color w:val="003A70"/>
          <w:sz w:val="19"/>
        </w:rPr>
        <w:t xml:space="preserve">[23]  </w:t>
      </w:r>
      <w:r>
        <w:rPr>
          <w:rFonts w:ascii="Calibri" w:hAnsi="Calibri"/>
          <w:color w:val="333333"/>
          <w:sz w:val="19"/>
        </w:rPr>
        <w:t>National Association of State Departments of Agriculture, "Young Farmer Programs," 2025.</w:t>
      </w:r>
    </w:p>
    <w:p>
      <w:pPr>
        <w:spacing w:before="0" w:after="100" w:line="288" w:lineRule="auto"/>
        <w:ind w:left="576" w:hanging="576"/>
      </w:pPr>
      <w:r>
        <w:rPr>
          <w:rFonts w:ascii="Calibri" w:hAnsi="Calibri"/>
          <w:b/>
          <w:color w:val="003A70"/>
          <w:sz w:val="19"/>
        </w:rPr>
        <w:t xml:space="preserve">[24]  </w:t>
      </w:r>
      <w:r>
        <w:rPr>
          <w:rFonts w:ascii="Calibri" w:hAnsi="Calibri"/>
          <w:color w:val="333333"/>
          <w:sz w:val="19"/>
        </w:rPr>
        <w:t>CME Group, "Basis: Understanding Cash-Futures Relationships," educational resources.</w:t>
      </w:r>
    </w:p>
    <w:p>
      <w:pPr>
        <w:spacing w:before="0" w:after="100" w:line="288" w:lineRule="auto"/>
        <w:ind w:left="576" w:hanging="576"/>
      </w:pPr>
      <w:r>
        <w:rPr>
          <w:rFonts w:ascii="Calibri" w:hAnsi="Calibri"/>
          <w:b/>
          <w:color w:val="003A70"/>
          <w:sz w:val="19"/>
        </w:rPr>
        <w:t xml:space="preserve">[25]  </w:t>
      </w:r>
      <w:r>
        <w:rPr>
          <w:rFonts w:ascii="Calibri" w:hAnsi="Calibri"/>
          <w:color w:val="333333"/>
          <w:sz w:val="19"/>
        </w:rPr>
        <w:t>Farm Credit Administration, "Young, Beginning, and Small Farmer Mission," 2025.</w:t>
      </w:r>
    </w:p>
    <w:sectPr w:rsidR="00FC693F" w:rsidRPr="0006063C" w:rsidSect="00034616">
      <w:footerReference w:type="default" r:id="rId9"/>
      <w:head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8"/>
      </w:rPr>
      <w:t xml:space="preserve">CONFIDENTIAL — Prepared for R. Johansen, CFO, PLMA   |   Page </w:t>
    </w:r>
    <w:r>
      <w:rPr>
        <w:rFonts w:ascii="Calibri" w:hAnsi="Calibri"/>
        <w:color w:val="666666"/>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666666"/>
        <w:sz w:val="18"/>
      </w:rPr>
      <w:t>Price Risk &amp; Market Position  •  April 2026  •  Report 3 of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3A7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3A7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78D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