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800" w:line="276" w:lineRule="auto"/>
        <w:jc w:val="center"/>
      </w:pPr>
      <w:r>
        <w:rPr>
          <w:rFonts w:ascii="Calibri" w:hAnsi="Calibri"/>
          <w:b/>
          <w:color w:val="E81123"/>
          <w:sz w:val="20"/>
        </w:rPr>
        <w:t>CONFIDENTIAL  •  CLIENT DELIVERABLE</w:t>
      </w:r>
    </w:p>
    <w:p>
      <w:pPr>
        <w:spacing w:before="0" w:after="120" w:line="276" w:lineRule="auto"/>
        <w:jc w:val="center"/>
      </w:pPr>
      <w:r>
        <w:rPr>
          <w:rFonts w:ascii="Calibri" w:hAnsi="Calibri"/>
          <w:b/>
          <w:color w:val="003A70"/>
          <w:sz w:val="72"/>
        </w:rPr>
        <w:t>Counterparty Credit Risk</w:t>
      </w:r>
    </w:p>
    <w:p>
      <w:pPr>
        <w:spacing w:before="0" w:after="800" w:line="276" w:lineRule="auto"/>
        <w:jc w:val="center"/>
      </w:pPr>
      <w:r>
        <w:rPr>
          <w:rFonts w:ascii="Calibri" w:hAnsi="Calibri"/>
          <w:b w:val="0"/>
          <w:color w:val="0078D4"/>
          <w:sz w:val="44"/>
        </w:rPr>
        <w:t>Assessment &amp; Strategic Mitigation Framework</w:t>
      </w:r>
    </w:p>
    <w:tbl>
      <w:tblPr>
        <w:tblW w:type="auto" w:w="0"/>
        <w:tblLook w:firstColumn="1" w:firstRow="1" w:lastColumn="0" w:lastRow="0" w:noHBand="0" w:noVBand="1" w:val="04A0"/>
      </w:tblPr>
      <w:tblGrid>
        <w:gridCol w:w="9360"/>
      </w:tblGrid>
      <w:tr>
        <w:tc>
          <w:tcPr>
            <w:tcW w:type="dxa" w:w="9360"/>
            <w:shd w:val="clear" w:color="auto" w:fill="003A70"/>
          </w:tcPr>
          <w:p>
            <w:r/>
            <w:r>
              <w:rPr>
                <w:sz w:val="4"/>
              </w:rPr>
              <w:t xml:space="preserve"> </w:t>
            </w:r>
          </w:p>
        </w:tc>
      </w:tr>
    </w:tbl>
    <w:p>
      <w:pPr>
        <w:spacing w:before="0" w:after="600" w:line="288" w:lineRule="auto"/>
      </w:pPr>
      <w:r>
        <w:rPr>
          <w:rFonts w:ascii="Calibri" w:hAnsi="Calibri"/>
          <w:b w:val="0"/>
          <w:i w:val="0"/>
        </w:rPr>
      </w:r>
    </w:p>
    <w:p>
      <w:pPr>
        <w:spacing w:before="0" w:after="80" w:line="276" w:lineRule="auto"/>
        <w:jc w:val="center"/>
      </w:pPr>
      <w:r>
        <w:rPr>
          <w:rFonts w:ascii="Calibri" w:hAnsi="Calibri"/>
          <w:b/>
          <w:color w:val="333333"/>
          <w:sz w:val="32"/>
        </w:rPr>
        <w:t>Producers Livestock Marketing Association</w:t>
      </w:r>
    </w:p>
    <w:p>
      <w:pPr>
        <w:spacing w:before="0" w:after="1200" w:line="276" w:lineRule="auto"/>
        <w:jc w:val="center"/>
      </w:pPr>
      <w:r>
        <w:rPr>
          <w:rFonts w:ascii="Calibri" w:hAnsi="Calibri"/>
          <w:i/>
          <w:color w:val="666666"/>
          <w:sz w:val="24"/>
        </w:rPr>
        <w:t>Prepared for Ryan Johansen, Chief Financial Officer</w:t>
      </w:r>
    </w:p>
    <w:p>
      <w:pPr>
        <w:spacing w:before="0" w:after="120" w:line="276" w:lineRule="auto"/>
        <w:jc w:val="center"/>
      </w:pPr>
      <w:r>
        <w:rPr>
          <w:rFonts w:ascii="Calibri" w:hAnsi="Calibri"/>
          <w:b/>
          <w:color w:val="003A70"/>
          <w:sz w:val="22"/>
        </w:rPr>
        <w:t>APRIL 2026</w:t>
      </w:r>
    </w:p>
    <w:p>
      <w:pPr>
        <w:jc w:val="center"/>
      </w:pPr>
      <w:r>
        <w:rPr>
          <w:rFonts w:ascii="Calibri" w:hAnsi="Calibri"/>
          <w:i/>
          <w:color w:val="666666"/>
          <w:sz w:val="18"/>
        </w:rPr>
        <w:t>Strategic Advisory  |  Risk Management Practice</w:t>
      </w:r>
    </w:p>
    <w:p>
      <w:r>
        <w:br w:type="page"/>
      </w:r>
    </w:p>
    <w:p>
      <w:pPr>
        <w:pStyle w:val="Heading1"/>
        <w:spacing w:before="0" w:after="320" w:line="276" w:lineRule="auto"/>
      </w:pPr>
      <w:r>
        <w:t>Table of Contents</w:t>
      </w:r>
    </w:p>
    <w:p>
      <w:pPr>
        <w:tabs>
          <w:tab w:pos="9072" w:val="right" w:leader="dot"/>
        </w:tabs>
        <w:spacing w:before="0" w:after="160" w:line="312" w:lineRule="auto"/>
      </w:pPr>
      <w:r>
        <w:rPr>
          <w:rFonts w:ascii="Calibri" w:hAnsi="Calibri"/>
          <w:color w:val="333333"/>
          <w:sz w:val="22"/>
        </w:rPr>
        <w:t>1. Executive Summary</w:t>
      </w:r>
      <w:r>
        <w:rPr>
          <w:rFonts w:ascii="Calibri" w:hAnsi="Calibri"/>
          <w:b/>
          <w:color w:val="003A70"/>
          <w:sz w:val="22"/>
        </w:rPr>
        <w:tab/>
        <w:t>3</w:t>
      </w:r>
    </w:p>
    <w:p>
      <w:pPr>
        <w:tabs>
          <w:tab w:pos="9072" w:val="right" w:leader="dot"/>
        </w:tabs>
        <w:spacing w:before="0" w:after="160" w:line="312" w:lineRule="auto"/>
      </w:pPr>
      <w:r>
        <w:rPr>
          <w:rFonts w:ascii="Calibri" w:hAnsi="Calibri"/>
          <w:color w:val="333333"/>
          <w:sz w:val="22"/>
        </w:rPr>
        <w:t>2. Industry Context &amp; Macroeconomic Environment</w:t>
      </w:r>
      <w:r>
        <w:rPr>
          <w:rFonts w:ascii="Calibri" w:hAnsi="Calibri"/>
          <w:b/>
          <w:color w:val="003A70"/>
          <w:sz w:val="22"/>
        </w:rPr>
        <w:tab/>
        <w:t>6</w:t>
      </w:r>
    </w:p>
    <w:p>
      <w:pPr>
        <w:tabs>
          <w:tab w:pos="9072" w:val="right" w:leader="dot"/>
        </w:tabs>
        <w:spacing w:before="0" w:after="160" w:line="312" w:lineRule="auto"/>
      </w:pPr>
      <w:r>
        <w:rPr>
          <w:rFonts w:ascii="Calibri" w:hAnsi="Calibri"/>
          <w:color w:val="333333"/>
          <w:sz w:val="22"/>
        </w:rPr>
        <w:t>3. Counterparty Credit Risk Deep Dive</w:t>
      </w:r>
      <w:r>
        <w:rPr>
          <w:rFonts w:ascii="Calibri" w:hAnsi="Calibri"/>
          <w:b/>
          <w:color w:val="003A70"/>
          <w:sz w:val="22"/>
        </w:rPr>
        <w:tab/>
        <w:t>11</w:t>
      </w:r>
    </w:p>
    <w:p>
      <w:pPr>
        <w:tabs>
          <w:tab w:pos="9072" w:val="right" w:leader="dot"/>
        </w:tabs>
        <w:spacing w:before="0" w:after="160" w:line="312" w:lineRule="auto"/>
      </w:pPr>
      <w:r>
        <w:rPr>
          <w:rFonts w:ascii="Calibri" w:hAnsi="Calibri"/>
          <w:color w:val="333333"/>
          <w:sz w:val="22"/>
        </w:rPr>
        <w:t>4. Comprehensive Risk Assessment</w:t>
      </w:r>
      <w:r>
        <w:rPr>
          <w:rFonts w:ascii="Calibri" w:hAnsi="Calibri"/>
          <w:b/>
          <w:color w:val="003A70"/>
          <w:sz w:val="22"/>
        </w:rPr>
        <w:tab/>
        <w:t>17</w:t>
      </w:r>
    </w:p>
    <w:p>
      <w:pPr>
        <w:tabs>
          <w:tab w:pos="9072" w:val="right" w:leader="dot"/>
        </w:tabs>
        <w:spacing w:before="0" w:after="160" w:line="312" w:lineRule="auto"/>
      </w:pPr>
      <w:r>
        <w:rPr>
          <w:rFonts w:ascii="Calibri" w:hAnsi="Calibri"/>
          <w:color w:val="333333"/>
          <w:sz w:val="22"/>
        </w:rPr>
        <w:t>5. Strategic Framework Analysis</w:t>
      </w:r>
      <w:r>
        <w:rPr>
          <w:rFonts w:ascii="Calibri" w:hAnsi="Calibri"/>
          <w:b/>
          <w:color w:val="003A70"/>
          <w:sz w:val="22"/>
        </w:rPr>
        <w:tab/>
        <w:t>24</w:t>
      </w:r>
    </w:p>
    <w:p>
      <w:pPr>
        <w:tabs>
          <w:tab w:pos="9072" w:val="right" w:leader="dot"/>
        </w:tabs>
        <w:spacing w:before="0" w:after="160" w:line="312" w:lineRule="auto"/>
      </w:pPr>
      <w:r>
        <w:rPr>
          <w:rFonts w:ascii="Calibri" w:hAnsi="Calibri"/>
          <w:color w:val="333333"/>
          <w:sz w:val="22"/>
        </w:rPr>
        <w:t>6. Mitigation Strategy &amp; Implementation Roadmap</w:t>
      </w:r>
      <w:r>
        <w:rPr>
          <w:rFonts w:ascii="Calibri" w:hAnsi="Calibri"/>
          <w:b/>
          <w:color w:val="003A70"/>
          <w:sz w:val="22"/>
        </w:rPr>
        <w:tab/>
        <w:t>30</w:t>
      </w:r>
    </w:p>
    <w:p>
      <w:pPr>
        <w:tabs>
          <w:tab w:pos="9072" w:val="right" w:leader="dot"/>
        </w:tabs>
        <w:spacing w:before="0" w:after="160" w:line="312" w:lineRule="auto"/>
      </w:pPr>
      <w:r>
        <w:rPr>
          <w:rFonts w:ascii="Calibri" w:hAnsi="Calibri"/>
          <w:color w:val="333333"/>
          <w:sz w:val="22"/>
        </w:rPr>
        <w:t>7. Financial Model: Cost-Benefit Analysis</w:t>
      </w:r>
      <w:r>
        <w:rPr>
          <w:rFonts w:ascii="Calibri" w:hAnsi="Calibri"/>
          <w:b/>
          <w:color w:val="003A70"/>
          <w:sz w:val="22"/>
        </w:rPr>
        <w:tab/>
        <w:t>37</w:t>
      </w:r>
    </w:p>
    <w:p>
      <w:pPr>
        <w:tabs>
          <w:tab w:pos="9072" w:val="right" w:leader="dot"/>
        </w:tabs>
        <w:spacing w:before="0" w:after="160" w:line="312" w:lineRule="auto"/>
      </w:pPr>
      <w:r>
        <w:rPr>
          <w:rFonts w:ascii="Calibri" w:hAnsi="Calibri"/>
          <w:color w:val="333333"/>
          <w:sz w:val="22"/>
        </w:rPr>
        <w:t>8. Governance &amp; Monitoring</w:t>
      </w:r>
      <w:r>
        <w:rPr>
          <w:rFonts w:ascii="Calibri" w:hAnsi="Calibri"/>
          <w:b/>
          <w:color w:val="003A70"/>
          <w:sz w:val="22"/>
        </w:rPr>
        <w:tab/>
        <w:t>42</w:t>
      </w:r>
    </w:p>
    <w:p>
      <w:pPr>
        <w:tabs>
          <w:tab w:pos="9072" w:val="right" w:leader="dot"/>
        </w:tabs>
        <w:spacing w:before="0" w:after="160" w:line="312" w:lineRule="auto"/>
      </w:pPr>
      <w:r>
        <w:rPr>
          <w:rFonts w:ascii="Calibri" w:hAnsi="Calibri"/>
          <w:color w:val="333333"/>
          <w:sz w:val="22"/>
        </w:rPr>
        <w:t>9. Conclusion &amp; Next Steps</w:t>
      </w:r>
      <w:r>
        <w:rPr>
          <w:rFonts w:ascii="Calibri" w:hAnsi="Calibri"/>
          <w:b/>
          <w:color w:val="003A70"/>
          <w:sz w:val="22"/>
        </w:rPr>
        <w:tab/>
        <w:t>45</w:t>
      </w:r>
    </w:p>
    <w:p>
      <w:pPr>
        <w:tabs>
          <w:tab w:pos="9072" w:val="right" w:leader="dot"/>
        </w:tabs>
        <w:spacing w:before="0" w:after="160" w:line="312" w:lineRule="auto"/>
      </w:pPr>
      <w:r>
        <w:rPr>
          <w:rFonts w:ascii="Calibri" w:hAnsi="Calibri"/>
          <w:color w:val="333333"/>
          <w:sz w:val="22"/>
        </w:rPr>
        <w:t>Appendix A: Detailed Data Tables</w:t>
      </w:r>
      <w:r>
        <w:rPr>
          <w:rFonts w:ascii="Calibri" w:hAnsi="Calibri"/>
          <w:b/>
          <w:color w:val="003A70"/>
          <w:sz w:val="22"/>
        </w:rPr>
        <w:tab/>
        <w:t>47</w:t>
      </w:r>
    </w:p>
    <w:p>
      <w:pPr>
        <w:tabs>
          <w:tab w:pos="9072" w:val="right" w:leader="dot"/>
        </w:tabs>
        <w:spacing w:before="0" w:after="160" w:line="312" w:lineRule="auto"/>
      </w:pPr>
      <w:r>
        <w:rPr>
          <w:rFonts w:ascii="Calibri" w:hAnsi="Calibri"/>
          <w:color w:val="333333"/>
          <w:sz w:val="22"/>
        </w:rPr>
        <w:t>Appendix B: Methodology Notes</w:t>
      </w:r>
      <w:r>
        <w:rPr>
          <w:rFonts w:ascii="Calibri" w:hAnsi="Calibri"/>
          <w:b/>
          <w:color w:val="003A70"/>
          <w:sz w:val="22"/>
        </w:rPr>
        <w:tab/>
        <w:t>50</w:t>
      </w:r>
    </w:p>
    <w:p>
      <w:pPr>
        <w:tabs>
          <w:tab w:pos="9072" w:val="right" w:leader="dot"/>
        </w:tabs>
        <w:spacing w:before="0" w:after="160" w:line="312" w:lineRule="auto"/>
      </w:pPr>
      <w:r>
        <w:rPr>
          <w:rFonts w:ascii="Calibri" w:hAnsi="Calibri"/>
          <w:color w:val="333333"/>
          <w:sz w:val="22"/>
        </w:rPr>
        <w:t>Appendix C: Glossary of Terms</w:t>
      </w:r>
      <w:r>
        <w:rPr>
          <w:rFonts w:ascii="Calibri" w:hAnsi="Calibri"/>
          <w:b/>
          <w:color w:val="003A70"/>
          <w:sz w:val="22"/>
        </w:rPr>
        <w:tab/>
        <w:t>52</w:t>
      </w:r>
    </w:p>
    <w:p>
      <w:pPr>
        <w:tabs>
          <w:tab w:pos="9072" w:val="right" w:leader="dot"/>
        </w:tabs>
        <w:spacing w:before="0" w:after="160" w:line="312" w:lineRule="auto"/>
      </w:pPr>
      <w:r>
        <w:rPr>
          <w:rFonts w:ascii="Calibri" w:hAnsi="Calibri"/>
          <w:color w:val="333333"/>
          <w:sz w:val="22"/>
        </w:rPr>
        <w:t>Appendix D: Citations</w:t>
      </w:r>
      <w:r>
        <w:rPr>
          <w:rFonts w:ascii="Calibri" w:hAnsi="Calibri"/>
          <w:b/>
          <w:color w:val="003A70"/>
          <w:sz w:val="22"/>
        </w:rPr>
        <w:tab/>
        <w:t>54</w:t>
      </w:r>
    </w:p>
    <w:p>
      <w:r>
        <w:br w:type="page"/>
      </w:r>
    </w:p>
    <w:p>
      <w:pPr>
        <w:pStyle w:val="Heading1"/>
        <w:spacing w:before="0" w:after="240" w:line="276" w:lineRule="auto"/>
        <w:pBdr>
          <w:bottom w:val="single" w:sz="12" w:space="4" w:color="003A70"/>
        </w:pBdr>
      </w:pPr>
      <w:r>
        <w:t>1. Executive Summary</w:t>
      </w:r>
    </w:p>
    <w:tbl>
      <w:tblPr>
        <w:tblW w:type="auto" w:w="0"/>
        <w:tblLook w:firstColumn="1" w:firstRow="1" w:lastColumn="0" w:lastRow="0" w:noHBand="0" w:noVBand="1" w:val="04A0"/>
      </w:tblPr>
      <w:tblGrid>
        <w:gridCol w:w="9360"/>
      </w:tblGrid>
      <w:tr>
        <w:tc>
          <w:tcPr>
            <w:tcW w:type="dxa" w:w="9360"/>
            <w:shd w:val="clear" w:color="auto" w:fill="FDE7E9"/>
            <w:tcBorders>
              <w:top w:val="single" w:sz="4" w:color="E81123" w:space="0"/>
              <w:left w:val="single" w:sz="36" w:color="E81123" w:space="0"/>
              <w:bottom w:val="single" w:sz="4" w:color="E81123" w:space="0"/>
              <w:right w:val="single" w:sz="4" w:color="E81123" w:space="0"/>
            </w:tcBorders>
          </w:tcPr>
          <w:p>
            <w:pPr>
              <w:spacing w:before="0" w:after="60" w:line="276" w:lineRule="auto"/>
            </w:pPr>
            <w:r/>
            <w:r>
              <w:rPr>
                <w:rFonts w:ascii="Calibri" w:hAnsi="Calibri"/>
                <w:b/>
                <w:color w:val="E81123"/>
                <w:sz w:val="18"/>
              </w:rPr>
              <w:t>SITUATION</w:t>
            </w:r>
          </w:p>
          <w:p>
            <w:pPr>
              <w:spacing w:before="0" w:after="80" w:line="288" w:lineRule="auto"/>
            </w:pPr>
            <w:r>
              <w:rPr>
                <w:rFonts w:ascii="Calibri" w:hAnsi="Calibri"/>
                <w:color w:val="333333"/>
                <w:sz w:val="20"/>
              </w:rPr>
              <w:t>PLMA faces the most acute counterparty credit risk environment in a generation. With 315 Chapter 12 farm bankruptcies filed in 2025—a 22% year-over-year increase—and U.S. farm sector debt reaching a record $624.7 billion, PLMA's buyer base (feedlots and processors) is experiencing compounding margin compression. Realized losses have already materialized on PLMA's balance sheet, and current trajectory suggests losses could more than double absent decisive mitigation.</w:t>
            </w:r>
          </w:p>
        </w:tc>
      </w:tr>
    </w:tbl>
    <w:p>
      <w:pPr>
        <w:spacing w:before="0" w:after="160" w:line="288" w:lineRule="auto"/>
      </w:pPr>
      <w:r>
        <w:rPr>
          <w:rFonts w:ascii="Calibri" w:hAnsi="Calibri"/>
          <w:b w:val="0"/>
          <w:i w:val="0"/>
        </w:rPr>
      </w:r>
    </w:p>
    <w:p>
      <w:pPr>
        <w:pStyle w:val="Heading2"/>
        <w:spacing w:before="280" w:after="120" w:line="276" w:lineRule="auto"/>
      </w:pPr>
      <w:r>
        <w:t>1.1 Key Findings</w:t>
      </w:r>
    </w:p>
    <w:p>
      <w:pPr>
        <w:pStyle w:val="ListBullet"/>
        <w:spacing w:before="0" w:after="80" w:line="288" w:lineRule="auto"/>
      </w:pPr>
      <w:r>
        <w:rPr>
          <w:rFonts w:ascii="Calibri" w:hAnsi="Calibri"/>
          <w:b/>
          <w:color w:val="003A70"/>
          <w:sz w:val="21"/>
        </w:rPr>
        <w:t xml:space="preserve">Counterparty risk is concentrated and severe. </w:t>
      </w:r>
      <w:r>
        <w:rPr>
          <w:rFonts w:ascii="Calibri" w:hAnsi="Calibri"/>
          <w:color w:val="333333"/>
          <w:sz w:val="21"/>
        </w:rPr>
        <w:t>Four buyer segments represent 100% of PLMA's estimated $200M working capital exposure. Independent feedlots (40% of exposure) carry an estimated 8% 12-month default probability; backgrounders carry 12%. Combined expected loss is $7.2M annually under base case.</w:t>
      </w:r>
    </w:p>
    <w:p>
      <w:pPr>
        <w:pStyle w:val="ListBullet"/>
        <w:spacing w:before="0" w:after="80" w:line="288" w:lineRule="auto"/>
      </w:pPr>
      <w:r>
        <w:rPr>
          <w:rFonts w:ascii="Calibri" w:hAnsi="Calibri"/>
          <w:b/>
          <w:color w:val="003A70"/>
          <w:sz w:val="21"/>
        </w:rPr>
        <w:t xml:space="preserve">The stress case is materially worse. </w:t>
      </w:r>
      <w:r>
        <w:rPr>
          <w:rFonts w:ascii="Calibri" w:hAnsi="Calibri"/>
          <w:color w:val="333333"/>
          <w:sz w:val="21"/>
        </w:rPr>
        <w:t>Under a scenario where default rates double (consistent with the 2015–2016 cattle downturn and early-2026 bankruptcy acceleration), expected losses rise to $14.4M—roughly 24% of PLMA's estimated commission revenue.</w:t>
      </w:r>
    </w:p>
    <w:p>
      <w:pPr>
        <w:pStyle w:val="ListBullet"/>
        <w:spacing w:before="0" w:after="80" w:line="288" w:lineRule="auto"/>
      </w:pPr>
      <w:r>
        <w:rPr>
          <w:rFonts w:ascii="Calibri" w:hAnsi="Calibri"/>
          <w:b/>
          <w:color w:val="003A70"/>
          <w:sz w:val="21"/>
        </w:rPr>
        <w:t xml:space="preserve">PLMA currently lacks the analytical infrastructure to manage this risk. </w:t>
      </w:r>
      <w:r>
        <w:rPr>
          <w:rFonts w:ascii="Calibri" w:hAnsi="Calibri"/>
          <w:color w:val="333333"/>
          <w:sz w:val="21"/>
        </w:rPr>
        <w:t>Credit decisioning is largely manual and relationship-driven; there is no quantitative counterparty scoring model, no tiered credit limit policy, and limited trade credit insurance coverage.</w:t>
      </w:r>
    </w:p>
    <w:p>
      <w:pPr>
        <w:pStyle w:val="ListBullet"/>
        <w:spacing w:before="0" w:after="80" w:line="288" w:lineRule="auto"/>
      </w:pPr>
      <w:r>
        <w:rPr>
          <w:rFonts w:ascii="Calibri" w:hAnsi="Calibri"/>
          <w:b/>
          <w:color w:val="003A70"/>
          <w:sz w:val="21"/>
        </w:rPr>
        <w:t xml:space="preserve">A $1.7M Year-1 investment generates ~$20M in 10-year NPV. </w:t>
      </w:r>
      <w:r>
        <w:rPr>
          <w:rFonts w:ascii="Calibri" w:hAnsi="Calibri"/>
          <w:color w:val="333333"/>
          <w:sz w:val="21"/>
        </w:rPr>
        <w:t>The recommended mitigation program—credit scoring, trade credit insurance, early warning systems, and hedging overlays—pays back in under 12 months and delivers 10-year ROI of approximately 250% at an 8% discount rate.</w:t>
      </w:r>
    </w:p>
    <w:p>
      <w:pPr>
        <w:pStyle w:val="ListBullet"/>
        <w:spacing w:before="0" w:after="80" w:line="288" w:lineRule="auto"/>
      </w:pPr>
      <w:r>
        <w:rPr>
          <w:rFonts w:ascii="Calibri" w:hAnsi="Calibri"/>
          <w:b/>
          <w:color w:val="003A70"/>
          <w:sz w:val="21"/>
        </w:rPr>
        <w:t xml:space="preserve">Inaction is not a viable posture. </w:t>
      </w:r>
      <w:r>
        <w:rPr>
          <w:rFonts w:ascii="Calibri" w:hAnsi="Calibri"/>
          <w:color w:val="333333"/>
          <w:sz w:val="21"/>
        </w:rPr>
        <w:t>Every month of delay costs approximately $600K in avoidable expected losses. The window to price and procure trade credit insurance on favorable terms is narrowing as underwriters reprice ag exposure.</w:t>
      </w:r>
    </w:p>
    <w:p>
      <w:pPr>
        <w:pStyle w:val="Heading2"/>
        <w:spacing w:before="280" w:after="120" w:line="276" w:lineRule="auto"/>
      </w:pPr>
      <w:r>
        <w:t>1.2 Recommended Actions</w:t>
      </w:r>
    </w:p>
    <w:p>
      <w:pPr>
        <w:spacing w:before="0" w:after="160" w:line="300" w:lineRule="auto"/>
      </w:pPr>
      <w:r>
        <w:rPr>
          <w:rFonts w:ascii="Calibri" w:hAnsi="Calibri"/>
          <w:b w:val="0"/>
          <w:i w:val="0"/>
          <w:sz w:val="21"/>
        </w:rPr>
        <w:t>We recommend a phased implementation structured around the McKinsey Three Horizons framework, scaled to PLMA's organizational capacity:</w:t>
      </w:r>
    </w:p>
    <w:p>
      <w:pPr>
        <w:pStyle w:val="ListBullet"/>
        <w:spacing w:before="0" w:after="80" w:line="288" w:lineRule="auto"/>
      </w:pPr>
      <w:r>
        <w:rPr>
          <w:rFonts w:ascii="Calibri" w:hAnsi="Calibri"/>
          <w:b/>
          <w:color w:val="003A70"/>
          <w:sz w:val="21"/>
        </w:rPr>
        <w:t xml:space="preserve">Horizon 1 (0–12 months): </w:t>
      </w:r>
      <w:r>
        <w:rPr>
          <w:rFonts w:ascii="Calibri" w:hAnsi="Calibri"/>
          <w:color w:val="333333"/>
          <w:sz w:val="21"/>
        </w:rPr>
        <w:t>Stand up counterparty risk dashboard, deploy v1 credit scoring model, implement tiered credit limits, and procure trade credit insurance for the top quartile of exposure.</w:t>
      </w:r>
    </w:p>
    <w:p>
      <w:pPr>
        <w:pStyle w:val="ListBullet"/>
        <w:spacing w:before="0" w:after="80" w:line="288" w:lineRule="auto"/>
      </w:pPr>
      <w:r>
        <w:rPr>
          <w:rFonts w:ascii="Calibri" w:hAnsi="Calibri"/>
          <w:b/>
          <w:color w:val="003A70"/>
          <w:sz w:val="21"/>
        </w:rPr>
        <w:t xml:space="preserve">Horizon 2 (Years 2–5): </w:t>
      </w:r>
      <w:r>
        <w:rPr>
          <w:rFonts w:ascii="Calibri" w:hAnsi="Calibri"/>
          <w:color w:val="333333"/>
          <w:sz w:val="21"/>
        </w:rPr>
        <w:t>Launch ML-enhanced credit scoring, systematic hedging overlay, geographic diversification, and value-added advisory services.</w:t>
      </w:r>
    </w:p>
    <w:p>
      <w:pPr>
        <w:pStyle w:val="ListBullet"/>
        <w:spacing w:before="0" w:after="80" w:line="288" w:lineRule="auto"/>
      </w:pPr>
      <w:r>
        <w:rPr>
          <w:rFonts w:ascii="Calibri" w:hAnsi="Calibri"/>
          <w:b/>
          <w:color w:val="003A70"/>
          <w:sz w:val="21"/>
        </w:rPr>
        <w:t xml:space="preserve">Horizon 3 (Years 6–10): </w:t>
      </w:r>
      <w:r>
        <w:rPr>
          <w:rFonts w:ascii="Calibri" w:hAnsi="Calibri"/>
          <w:color w:val="333333"/>
          <w:sz w:val="21"/>
        </w:rPr>
        <w:t>Execute strategic M&amp;A/partnership strategy, expand product line into fee-based advisory, and restructure cooperative capital for resilience.</w:t>
      </w:r>
    </w:p>
    <w:p>
      <w:pPr>
        <w:pStyle w:val="Heading2"/>
        <w:spacing w:before="280" w:after="120" w:line="276" w:lineRule="auto"/>
      </w:pPr>
      <w:r>
        <w:t>1.3 Financial Impact Summary</w:t>
      </w:r>
    </w:p>
    <w:tbl>
      <w:tblPr>
        <w:tblW w:type="auto" w:w="0"/>
        <w:jc w:val="center"/>
        <w:tblLook w:firstColumn="1" w:firstRow="1" w:lastColumn="0" w:lastRow="0" w:noHBand="0" w:noVBand="1" w:val="04A0"/>
      </w:tblPr>
      <w:tblGrid>
        <w:gridCol w:w="4680"/>
        <w:gridCol w:w="4680"/>
      </w:tblGrid>
      <w:tr>
        <w:tc>
          <w:tcPr>
            <w:tcW w:type="dxa" w:w="5040"/>
            <w:shd w:val="clear" w:color="auto" w:fill="003A70"/>
            <w:vAlign w:val="center"/>
          </w:tcPr>
          <w:p>
            <w:pPr>
              <w:spacing w:before="0" w:after="40" w:line="276" w:lineRule="auto"/>
            </w:pPr>
            <w:r/>
            <w:r>
              <w:rPr>
                <w:rFonts w:ascii="Calibri" w:hAnsi="Calibri"/>
                <w:b/>
                <w:color w:val="FFFFFF"/>
                <w:sz w:val="19"/>
              </w:rPr>
              <w:t>Metric</w:t>
            </w:r>
          </w:p>
        </w:tc>
        <w:tc>
          <w:tcPr>
            <w:tcW w:type="dxa" w:w="3600"/>
            <w:shd w:val="clear" w:color="auto" w:fill="003A70"/>
            <w:vAlign w:val="center"/>
          </w:tcPr>
          <w:p>
            <w:pPr>
              <w:spacing w:before="0" w:after="40" w:line="276" w:lineRule="auto"/>
            </w:pPr>
            <w:r/>
            <w:r>
              <w:rPr>
                <w:rFonts w:ascii="Calibri" w:hAnsi="Calibri"/>
                <w:b/>
                <w:color w:val="FFFFFF"/>
                <w:sz w:val="19"/>
              </w:rPr>
              <w:t>Value</w:t>
            </w:r>
          </w:p>
        </w:tc>
      </w:tr>
      <w:tr>
        <w:tc>
          <w:tcPr>
            <w:tcW w:type="dxa" w:w="5040"/>
            <w:vAlign w:val="center"/>
          </w:tcPr>
          <w:p>
            <w:pPr>
              <w:spacing w:before="0" w:after="40" w:line="276" w:lineRule="auto"/>
            </w:pPr>
            <w:r/>
            <w:r>
              <w:rPr>
                <w:rFonts w:ascii="Calibri" w:hAnsi="Calibri"/>
                <w:color w:val="333333"/>
                <w:sz w:val="19"/>
              </w:rPr>
              <w:t>Base Case Annual Expected Loss</w:t>
            </w:r>
          </w:p>
        </w:tc>
        <w:tc>
          <w:tcPr>
            <w:tcW w:type="dxa" w:w="3600"/>
            <w:vAlign w:val="center"/>
          </w:tcPr>
          <w:p>
            <w:pPr>
              <w:spacing w:before="0" w:after="40" w:line="276" w:lineRule="auto"/>
            </w:pPr>
            <w:r/>
            <w:r>
              <w:rPr>
                <w:rFonts w:ascii="Calibri" w:hAnsi="Calibri"/>
                <w:color w:val="333333"/>
                <w:sz w:val="19"/>
              </w:rPr>
              <w:t>$7.21M</w:t>
            </w:r>
          </w:p>
        </w:tc>
      </w:tr>
      <w:tr>
        <w:tc>
          <w:tcPr>
            <w:tcW w:type="dxa" w:w="5040"/>
            <w:shd w:val="clear" w:color="auto" w:fill="F2F2F2"/>
            <w:vAlign w:val="center"/>
          </w:tcPr>
          <w:p>
            <w:pPr>
              <w:spacing w:before="0" w:after="40" w:line="276" w:lineRule="auto"/>
            </w:pPr>
            <w:r/>
            <w:r>
              <w:rPr>
                <w:rFonts w:ascii="Calibri" w:hAnsi="Calibri"/>
                <w:color w:val="333333"/>
                <w:sz w:val="19"/>
              </w:rPr>
              <w:t>Stress Case Annual Expected Loss</w:t>
            </w:r>
          </w:p>
        </w:tc>
        <w:tc>
          <w:tcPr>
            <w:tcW w:type="dxa" w:w="3600"/>
            <w:shd w:val="clear" w:color="auto" w:fill="F2F2F2"/>
            <w:vAlign w:val="center"/>
          </w:tcPr>
          <w:p>
            <w:pPr>
              <w:spacing w:before="0" w:after="40" w:line="276" w:lineRule="auto"/>
            </w:pPr>
            <w:r/>
            <w:r>
              <w:rPr>
                <w:rFonts w:ascii="Calibri" w:hAnsi="Calibri"/>
                <w:color w:val="333333"/>
                <w:sz w:val="19"/>
              </w:rPr>
              <w:t>$14.42M</w:t>
            </w:r>
          </w:p>
        </w:tc>
      </w:tr>
      <w:tr>
        <w:tc>
          <w:tcPr>
            <w:tcW w:type="dxa" w:w="5040"/>
            <w:vAlign w:val="center"/>
          </w:tcPr>
          <w:p>
            <w:pPr>
              <w:spacing w:before="0" w:after="40" w:line="276" w:lineRule="auto"/>
            </w:pPr>
            <w:r/>
            <w:r>
              <w:rPr>
                <w:rFonts w:ascii="Calibri" w:hAnsi="Calibri"/>
                <w:color w:val="333333"/>
                <w:sz w:val="19"/>
              </w:rPr>
              <w:t>Year 1 Program Investment</w:t>
            </w:r>
          </w:p>
        </w:tc>
        <w:tc>
          <w:tcPr>
            <w:tcW w:type="dxa" w:w="3600"/>
            <w:vAlign w:val="center"/>
          </w:tcPr>
          <w:p>
            <w:pPr>
              <w:spacing w:before="0" w:after="40" w:line="276" w:lineRule="auto"/>
            </w:pPr>
            <w:r/>
            <w:r>
              <w:rPr>
                <w:rFonts w:ascii="Calibri" w:hAnsi="Calibri"/>
                <w:color w:val="333333"/>
                <w:sz w:val="19"/>
              </w:rPr>
              <w:t>$1.72M</w:t>
            </w:r>
          </w:p>
        </w:tc>
      </w:tr>
      <w:tr>
        <w:tc>
          <w:tcPr>
            <w:tcW w:type="dxa" w:w="5040"/>
            <w:shd w:val="clear" w:color="auto" w:fill="F2F2F2"/>
            <w:vAlign w:val="center"/>
          </w:tcPr>
          <w:p>
            <w:pPr>
              <w:spacing w:before="0" w:after="40" w:line="276" w:lineRule="auto"/>
            </w:pPr>
            <w:r/>
            <w:r>
              <w:rPr>
                <w:rFonts w:ascii="Calibri" w:hAnsi="Calibri"/>
                <w:color w:val="333333"/>
                <w:sz w:val="19"/>
              </w:rPr>
              <w:t>Annual Ongoing Cost (Year 2+)</w:t>
            </w:r>
          </w:p>
        </w:tc>
        <w:tc>
          <w:tcPr>
            <w:tcW w:type="dxa" w:w="3600"/>
            <w:shd w:val="clear" w:color="auto" w:fill="F2F2F2"/>
            <w:vAlign w:val="center"/>
          </w:tcPr>
          <w:p>
            <w:pPr>
              <w:spacing w:before="0" w:after="40" w:line="276" w:lineRule="auto"/>
            </w:pPr>
            <w:r/>
            <w:r>
              <w:rPr>
                <w:rFonts w:ascii="Calibri" w:hAnsi="Calibri"/>
                <w:color w:val="333333"/>
                <w:sz w:val="19"/>
              </w:rPr>
              <w:t>$1.17M</w:t>
            </w:r>
          </w:p>
        </w:tc>
      </w:tr>
      <w:tr>
        <w:tc>
          <w:tcPr>
            <w:tcW w:type="dxa" w:w="5040"/>
            <w:vAlign w:val="center"/>
          </w:tcPr>
          <w:p>
            <w:pPr>
              <w:spacing w:before="0" w:after="40" w:line="276" w:lineRule="auto"/>
            </w:pPr>
            <w:r/>
            <w:r>
              <w:rPr>
                <w:rFonts w:ascii="Calibri" w:hAnsi="Calibri"/>
                <w:color w:val="333333"/>
                <w:sz w:val="19"/>
              </w:rPr>
              <w:t>Annual Benefit (Year 2+)</w:t>
            </w:r>
          </w:p>
        </w:tc>
        <w:tc>
          <w:tcPr>
            <w:tcW w:type="dxa" w:w="3600"/>
            <w:vAlign w:val="center"/>
          </w:tcPr>
          <w:p>
            <w:pPr>
              <w:spacing w:before="0" w:after="40" w:line="276" w:lineRule="auto"/>
            </w:pPr>
            <w:r/>
            <w:r>
              <w:rPr>
                <w:rFonts w:ascii="Calibri" w:hAnsi="Calibri"/>
                <w:color w:val="333333"/>
                <w:sz w:val="19"/>
              </w:rPr>
              <w:t>$4.55M</w:t>
            </w:r>
          </w:p>
        </w:tc>
      </w:tr>
      <w:tr>
        <w:tc>
          <w:tcPr>
            <w:tcW w:type="dxa" w:w="5040"/>
            <w:shd w:val="clear" w:color="auto" w:fill="F2F2F2"/>
            <w:vAlign w:val="center"/>
          </w:tcPr>
          <w:p>
            <w:pPr>
              <w:spacing w:before="0" w:after="40" w:line="276" w:lineRule="auto"/>
            </w:pPr>
            <w:r/>
            <w:r>
              <w:rPr>
                <w:rFonts w:ascii="Calibri" w:hAnsi="Calibri"/>
                <w:color w:val="333333"/>
                <w:sz w:val="19"/>
              </w:rPr>
              <w:t>10-Year NPV (8% discount rate)</w:t>
            </w:r>
          </w:p>
        </w:tc>
        <w:tc>
          <w:tcPr>
            <w:tcW w:type="dxa" w:w="3600"/>
            <w:shd w:val="clear" w:color="auto" w:fill="F2F2F2"/>
            <w:vAlign w:val="center"/>
          </w:tcPr>
          <w:p>
            <w:pPr>
              <w:spacing w:before="0" w:after="40" w:line="276" w:lineRule="auto"/>
            </w:pPr>
            <w:r/>
            <w:r>
              <w:rPr>
                <w:rFonts w:ascii="Calibri" w:hAnsi="Calibri"/>
                <w:color w:val="333333"/>
                <w:sz w:val="19"/>
              </w:rPr>
              <w:t>~$20.2M</w:t>
            </w:r>
          </w:p>
        </w:tc>
      </w:tr>
      <w:tr>
        <w:tc>
          <w:tcPr>
            <w:tcW w:type="dxa" w:w="5040"/>
            <w:vAlign w:val="center"/>
          </w:tcPr>
          <w:p>
            <w:pPr>
              <w:spacing w:before="0" w:after="40" w:line="276" w:lineRule="auto"/>
            </w:pPr>
            <w:r/>
            <w:r>
              <w:rPr>
                <w:rFonts w:ascii="Calibri" w:hAnsi="Calibri"/>
                <w:color w:val="333333"/>
                <w:sz w:val="19"/>
              </w:rPr>
              <w:t>Payback Period</w:t>
            </w:r>
          </w:p>
        </w:tc>
        <w:tc>
          <w:tcPr>
            <w:tcW w:type="dxa" w:w="3600"/>
            <w:vAlign w:val="center"/>
          </w:tcPr>
          <w:p>
            <w:pPr>
              <w:spacing w:before="0" w:after="40" w:line="276" w:lineRule="auto"/>
            </w:pPr>
            <w:r/>
            <w:r>
              <w:rPr>
                <w:rFonts w:ascii="Calibri" w:hAnsi="Calibri"/>
                <w:color w:val="333333"/>
                <w:sz w:val="19"/>
              </w:rPr>
              <w:t>~10 months</w:t>
            </w:r>
          </w:p>
        </w:tc>
      </w:tr>
      <w:tr>
        <w:tc>
          <w:tcPr>
            <w:tcW w:type="dxa" w:w="5040"/>
            <w:shd w:val="clear" w:color="auto" w:fill="F2F2F2"/>
            <w:vAlign w:val="center"/>
          </w:tcPr>
          <w:p>
            <w:pPr>
              <w:spacing w:before="0" w:after="40" w:line="276" w:lineRule="auto"/>
            </w:pPr>
            <w:r/>
            <w:r>
              <w:rPr>
                <w:rFonts w:ascii="Calibri" w:hAnsi="Calibri"/>
                <w:color w:val="333333"/>
                <w:sz w:val="19"/>
              </w:rPr>
              <w:t>10-Year Cumulative ROI</w:t>
            </w:r>
          </w:p>
        </w:tc>
        <w:tc>
          <w:tcPr>
            <w:tcW w:type="dxa" w:w="3600"/>
            <w:shd w:val="clear" w:color="auto" w:fill="F2F2F2"/>
            <w:vAlign w:val="center"/>
          </w:tcPr>
          <w:p>
            <w:pPr>
              <w:spacing w:before="0" w:after="40" w:line="276" w:lineRule="auto"/>
            </w:pPr>
            <w:r/>
            <w:r>
              <w:rPr>
                <w:rFonts w:ascii="Calibri" w:hAnsi="Calibri"/>
                <w:color w:val="333333"/>
                <w:sz w:val="19"/>
              </w:rPr>
              <w:t>~250%</w:t>
            </w:r>
          </w:p>
        </w:tc>
      </w:tr>
    </w:tbl>
    <w:p>
      <w:pPr>
        <w:spacing w:before="0" w:after="160" w:line="288" w:lineRule="auto"/>
      </w:pPr>
      <w:r>
        <w:rPr>
          <w:rFonts w:ascii="Calibri" w:hAnsi="Calibri"/>
          <w:b w:val="0"/>
          <w:i w:val="0"/>
        </w:rPr>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URGENCY</w:t>
            </w:r>
          </w:p>
          <w:p>
            <w:pPr>
              <w:spacing w:before="0" w:after="80" w:line="288" w:lineRule="auto"/>
            </w:pPr>
            <w:r>
              <w:rPr>
                <w:rFonts w:ascii="Calibri" w:hAnsi="Calibri"/>
                <w:color w:val="333333"/>
                <w:sz w:val="20"/>
              </w:rPr>
              <w:t>The cost of a 90-day delay is approximately $1.8M in avoidable expected losses plus escalating insurance premiums. We recommend convening the Risk Committee within 30 days to approve the Horizon 1 workstream and release of $1.72M in Year 1 funding.</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2. Industry Context &amp; Macroeconomic Environment</w:t>
      </w:r>
    </w:p>
    <w:p>
      <w:pPr>
        <w:spacing w:before="0" w:after="160" w:line="300" w:lineRule="auto"/>
      </w:pPr>
      <w:r>
        <w:rPr>
          <w:rFonts w:ascii="Calibri" w:hAnsi="Calibri"/>
          <w:b w:val="0"/>
          <w:i w:val="0"/>
          <w:sz w:val="21"/>
        </w:rPr>
        <w:t>To properly frame PLMA's counterparty credit risk exposure, we must situate the cooperative within the broader U.S. agricultural finance landscape. Five macroeconomic forces are converging to create the most challenging credit environment livestock marketing cooperatives have faced since the 1980s farm crisis: (1) record farm sector debt, (2) accelerating bankruptcy filings, (3) persistent interest rate pressure, (4) structural margin compression in downstream segments, and (5) intensifying regulatory scrutiny.</w:t>
      </w:r>
    </w:p>
    <w:p>
      <w:pPr>
        <w:pStyle w:val="Heading2"/>
        <w:spacing w:before="280" w:after="120" w:line="276" w:lineRule="auto"/>
      </w:pPr>
      <w:r>
        <w:t>2.1 The U.S. Agricultural Lending Landscape</w:t>
      </w:r>
    </w:p>
    <w:p>
      <w:pPr>
        <w:spacing w:before="0" w:after="160" w:line="300" w:lineRule="auto"/>
      </w:pPr>
      <w:r>
        <w:rPr>
          <w:rFonts w:ascii="Calibri" w:hAnsi="Calibri"/>
          <w:b w:val="0"/>
          <w:i w:val="0"/>
          <w:sz w:val="21"/>
        </w:rPr>
        <w:t>Total U.S. farm sector debt reached an all-time nominal high of $624.7 billion in 2025, per USDA Economic Research Service estimates, with real estate debt comprising ~65% and non-real-estate operating debt the remainder.</w:t>
      </w:r>
      <w:r>
        <w:rPr>
          <w:color w:val="0078D4"/>
          <w:sz w:val="16"/>
          <w:vertAlign w:val="superscript"/>
        </w:rPr>
        <w:t xml:space="preserve"> [1]</w:t>
      </w:r>
    </w:p>
    <w:p>
      <w:pPr>
        <w:spacing w:before="0" w:after="160" w:line="300" w:lineRule="auto"/>
      </w:pPr>
      <w:r>
        <w:rPr>
          <w:rFonts w:ascii="Calibri" w:hAnsi="Calibri"/>
          <w:b w:val="0"/>
          <w:i w:val="0"/>
          <w:sz w:val="21"/>
        </w:rPr>
        <w:t>Over the past decade, farm debt has grown at a compound annual rate of 4.9%, outpacing both farm income growth and general inflation. Debt-to-asset ratios in the livestock sector now exceed 18%, the highest level since 2002.</w:t>
      </w:r>
      <w:r>
        <w:rPr>
          <w:color w:val="0078D4"/>
          <w:sz w:val="16"/>
          <w:vertAlign w:val="superscript"/>
        </w:rPr>
        <w:t xml:space="preserve"> [5]</w:t>
      </w:r>
    </w:p>
    <w:p>
      <w:pPr>
        <w:jc w:val="center"/>
      </w:pPr>
      <w:r>
        <w:drawing>
          <wp:inline xmlns:a="http://schemas.openxmlformats.org/drawingml/2006/main" xmlns:pic="http://schemas.openxmlformats.org/drawingml/2006/picture">
            <wp:extent cx="5943600" cy="383681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36813"/>
                    </a:xfrm>
                    <a:prstGeom prst="rect"/>
                  </pic:spPr>
                </pic:pic>
              </a:graphicData>
            </a:graphic>
          </wp:inline>
        </w:drawing>
      </w:r>
    </w:p>
    <w:p>
      <w:pPr>
        <w:spacing w:before="0" w:after="240" w:line="276" w:lineRule="auto"/>
        <w:jc w:val="center"/>
      </w:pPr>
      <w:r>
        <w:rPr>
          <w:rFonts w:ascii="Calibri" w:hAnsi="Calibri"/>
          <w:i/>
          <w:color w:val="666666"/>
          <w:sz w:val="18"/>
        </w:rPr>
        <w:t>Exhibit: Total U.S. Farm Sector Debt has grown 62% since 2015, reaching $624.7B in 2025.</w:t>
      </w:r>
    </w:p>
    <w:p>
      <w:pPr>
        <w:pStyle w:val="Heading2"/>
        <w:spacing w:before="280" w:after="120" w:line="276" w:lineRule="auto"/>
      </w:pPr>
      <w:r>
        <w:t>2.2 Farm Bankruptcy Trends</w:t>
      </w:r>
    </w:p>
    <w:p>
      <w:pPr>
        <w:spacing w:before="0" w:after="160" w:line="300" w:lineRule="auto"/>
      </w:pPr>
      <w:r>
        <w:rPr>
          <w:rFonts w:ascii="Calibri" w:hAnsi="Calibri"/>
          <w:b w:val="0"/>
          <w:i w:val="0"/>
          <w:sz w:val="21"/>
        </w:rPr>
        <w:t>Chapter 12 farm bankruptcy filings—the primary legal mechanism for distressed producers—rose to 315 in 2025, a 22% increase over 2024 and the highest level since 2021. American Bankruptcy Institute data suggests filings are accelerating in Q1 2026, with Midwest and Plains states (PLMA's core footprint) disproportionately represented.</w:t>
      </w:r>
      <w:r>
        <w:rPr>
          <w:color w:val="0078D4"/>
          <w:sz w:val="16"/>
          <w:vertAlign w:val="superscript"/>
        </w:rPr>
        <w:t xml:space="preserve"> [2]</w:t>
      </w:r>
    </w:p>
    <w:p>
      <w:pPr>
        <w:jc w:val="center"/>
      </w:pPr>
      <w:r>
        <w:drawing>
          <wp:inline xmlns:a="http://schemas.openxmlformats.org/drawingml/2006/main" xmlns:pic="http://schemas.openxmlformats.org/drawingml/2006/picture">
            <wp:extent cx="5943600" cy="3836813"/>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836813"/>
                    </a:xfrm>
                    <a:prstGeom prst="rect"/>
                  </pic:spPr>
                </pic:pic>
              </a:graphicData>
            </a:graphic>
          </wp:inline>
        </w:drawing>
      </w:r>
    </w:p>
    <w:p>
      <w:pPr>
        <w:spacing w:before="0" w:after="240" w:line="276" w:lineRule="auto"/>
        <w:jc w:val="center"/>
      </w:pPr>
      <w:r>
        <w:rPr>
          <w:rFonts w:ascii="Calibri" w:hAnsi="Calibri"/>
          <w:i/>
          <w:color w:val="666666"/>
          <w:sz w:val="18"/>
        </w:rPr>
        <w:t>Exhibit: Chapter 12 bankruptcies are inflecting upward, with 2026 projected at 380+ filings.</w:t>
      </w:r>
    </w:p>
    <w:tbl>
      <w:tblPr>
        <w:tblW w:type="auto" w:w="0"/>
        <w:tblLook w:firstColumn="1" w:firstRow="1" w:lastColumn="0" w:lastRow="0" w:noHBand="0" w:noVBand="1" w:val="04A0"/>
      </w:tblPr>
      <w:tblGrid>
        <w:gridCol w:w="9360"/>
      </w:tblGrid>
      <w:tr>
        <w:tc>
          <w:tcPr>
            <w:tcW w:type="dxa" w:w="9360"/>
            <w:shd w:val="clear" w:color="auto" w:fill="DEEBF7"/>
            <w:tcBorders>
              <w:top w:val="single" w:sz="4" w:color="003A70" w:space="0"/>
              <w:left w:val="single" w:sz="36" w:color="003A70" w:space="0"/>
              <w:bottom w:val="single" w:sz="4" w:color="003A70" w:space="0"/>
              <w:right w:val="single" w:sz="4" w:color="003A70" w:space="0"/>
            </w:tcBorders>
          </w:tcPr>
          <w:p>
            <w:pPr>
              <w:spacing w:before="0" w:after="60" w:line="276" w:lineRule="auto"/>
            </w:pPr>
            <w:r/>
            <w:r>
              <w:rPr>
                <w:rFonts w:ascii="Calibri" w:hAnsi="Calibri"/>
                <w:b/>
                <w:color w:val="003A70"/>
                <w:sz w:val="18"/>
              </w:rPr>
              <w:t>KEY INSIGHT</w:t>
            </w:r>
          </w:p>
          <w:p>
            <w:pPr>
              <w:spacing w:before="0" w:after="80" w:line="288" w:lineRule="auto"/>
            </w:pPr>
            <w:r>
              <w:rPr>
                <w:rFonts w:ascii="Calibri" w:hAnsi="Calibri"/>
                <w:color w:val="333333"/>
                <w:sz w:val="20"/>
              </w:rPr>
              <w:t>Bankruptcy filings are a lagging indicator. For every Chapter 12 filing, industry data suggests 4–6 producers exit the business without a formal bankruptcy proceeding—through negotiated workouts, asset liquidation, or generational exit. The true distress rate is materially higher than filing data implies.</w:t>
            </w:r>
          </w:p>
        </w:tc>
      </w:tr>
    </w:tbl>
    <w:p>
      <w:pPr>
        <w:spacing w:before="0" w:after="160" w:line="288" w:lineRule="auto"/>
      </w:pPr>
      <w:r>
        <w:rPr>
          <w:rFonts w:ascii="Calibri" w:hAnsi="Calibri"/>
          <w:b w:val="0"/>
          <w:i w:val="0"/>
        </w:rPr>
      </w:r>
    </w:p>
    <w:p>
      <w:pPr>
        <w:pStyle w:val="Heading2"/>
        <w:spacing w:before="280" w:after="120" w:line="276" w:lineRule="auto"/>
      </w:pPr>
      <w:r>
        <w:t>2.3 Livestock Market Dynamics</w:t>
      </w:r>
    </w:p>
    <w:p>
      <w:pPr>
        <w:spacing w:before="0" w:after="160" w:line="300" w:lineRule="auto"/>
      </w:pPr>
      <w:r>
        <w:rPr>
          <w:rFonts w:ascii="Calibri" w:hAnsi="Calibri"/>
          <w:b w:val="0"/>
          <w:i w:val="0"/>
          <w:sz w:val="21"/>
        </w:rPr>
        <w:t>The cattle cycle currently sits at a precarious inflection point. The U.S. cow herd (88.2M head as of January 2026) is at a 75-year low, driving feeder cattle prices to record levels and compressing feedlot margins. Simultaneously, pork producers face oversupply risk as expansion from 2022–2024 reaches market weight, with persistent ASF (African Swine Fever) concerns threatening export demand.</w:t>
      </w:r>
    </w:p>
    <w:p>
      <w:pPr>
        <w:pStyle w:val="Heading3"/>
        <w:spacing w:before="200" w:after="80" w:line="276" w:lineRule="auto"/>
      </w:pPr>
      <w:r>
        <w:t>2.3.1 Feedlot Margin Compression</w:t>
      </w:r>
    </w:p>
    <w:p>
      <w:pPr>
        <w:spacing w:before="0" w:after="160" w:line="300" w:lineRule="auto"/>
      </w:pPr>
      <w:r>
        <w:rPr>
          <w:rFonts w:ascii="Calibri" w:hAnsi="Calibri"/>
          <w:b w:val="0"/>
          <w:i w:val="0"/>
          <w:sz w:val="21"/>
        </w:rPr>
        <w:t>Independent feedlots—PLMA's largest buyer segment by exposure—have operated at negative closeout margins for 11 of the past 14 months, averaging -$85/head in Q1 2026 per Sterling Marketing data. Feedlots have drawn down equity cushions built during 2022–2023 profitability, and working capital lines are increasingly constrained.</w:t>
      </w:r>
      <w:r>
        <w:rPr>
          <w:color w:val="0078D4"/>
          <w:sz w:val="16"/>
          <w:vertAlign w:val="superscript"/>
        </w:rPr>
        <w:t xml:space="preserve"> [3]</w:t>
      </w:r>
    </w:p>
    <w:p>
      <w:pPr>
        <w:pStyle w:val="Heading3"/>
        <w:spacing w:before="200" w:after="80" w:line="276" w:lineRule="auto"/>
      </w:pPr>
      <w:r>
        <w:t>2.3.2 Packer Consolidation</w:t>
      </w:r>
    </w:p>
    <w:p>
      <w:pPr>
        <w:spacing w:before="0" w:after="160" w:line="300" w:lineRule="auto"/>
      </w:pPr>
      <w:r>
        <w:rPr>
          <w:rFonts w:ascii="Calibri" w:hAnsi="Calibri"/>
          <w:b w:val="0"/>
          <w:i w:val="0"/>
          <w:sz w:val="21"/>
        </w:rPr>
        <w:t>The 'Big Four' packers (JBS, Tyson, Cargill, National Beef) now control ~85% of fed cattle slaughter capacity. While this concentration creates systemic counterparty risk, it also drives pricing dynamics that squeeze PLMA's seller-side producers and fuel regulatory attention under the Packers &amp; Stockyards Act.</w:t>
      </w:r>
      <w:r>
        <w:rPr>
          <w:color w:val="0078D4"/>
          <w:sz w:val="16"/>
          <w:vertAlign w:val="superscript"/>
        </w:rPr>
        <w:t xml:space="preserve"> [10]</w:t>
      </w:r>
    </w:p>
    <w:p>
      <w:pPr>
        <w:pStyle w:val="Heading2"/>
        <w:spacing w:before="280" w:after="120" w:line="276" w:lineRule="auto"/>
      </w:pPr>
      <w:r>
        <w:t>2.4 Buyer Segment Analysis</w:t>
      </w:r>
    </w:p>
    <w:tbl>
      <w:tblPr>
        <w:tblW w:type="auto" w:w="0"/>
        <w:jc w:val="center"/>
        <w:tblLook w:firstColumn="1" w:firstRow="1" w:lastColumn="0" w:lastRow="0" w:noHBand="0" w:noVBand="1" w:val="04A0"/>
      </w:tblPr>
      <w:tblGrid>
        <w:gridCol w:w="2340"/>
        <w:gridCol w:w="2340"/>
        <w:gridCol w:w="2340"/>
        <w:gridCol w:w="2340"/>
      </w:tblGrid>
      <w:tr>
        <w:tc>
          <w:tcPr>
            <w:tcW w:type="dxa" w:w="3168"/>
            <w:shd w:val="clear" w:color="auto" w:fill="003A70"/>
            <w:vAlign w:val="center"/>
          </w:tcPr>
          <w:p>
            <w:pPr>
              <w:spacing w:before="0" w:after="40" w:line="276" w:lineRule="auto"/>
            </w:pPr>
            <w:r/>
            <w:r>
              <w:rPr>
                <w:rFonts w:ascii="Calibri" w:hAnsi="Calibri"/>
                <w:b/>
                <w:color w:val="FFFFFF"/>
                <w:sz w:val="19"/>
              </w:rPr>
              <w:t>Segment</w:t>
            </w:r>
          </w:p>
        </w:tc>
        <w:tc>
          <w:tcPr>
            <w:tcW w:type="dxa" w:w="2160"/>
            <w:shd w:val="clear" w:color="auto" w:fill="003A70"/>
            <w:vAlign w:val="center"/>
          </w:tcPr>
          <w:p>
            <w:pPr>
              <w:spacing w:before="0" w:after="40" w:line="276" w:lineRule="auto"/>
            </w:pPr>
            <w:r/>
            <w:r>
              <w:rPr>
                <w:rFonts w:ascii="Calibri" w:hAnsi="Calibri"/>
                <w:b/>
                <w:color w:val="FFFFFF"/>
                <w:sz w:val="19"/>
              </w:rPr>
              <w:t>Share of Exposure</w:t>
            </w:r>
          </w:p>
        </w:tc>
        <w:tc>
          <w:tcPr>
            <w:tcW w:type="dxa" w:w="1872"/>
            <w:shd w:val="clear" w:color="auto" w:fill="003A70"/>
            <w:vAlign w:val="center"/>
          </w:tcPr>
          <w:p>
            <w:pPr>
              <w:spacing w:before="0" w:after="40" w:line="276" w:lineRule="auto"/>
            </w:pPr>
            <w:r/>
            <w:r>
              <w:rPr>
                <w:rFonts w:ascii="Calibri" w:hAnsi="Calibri"/>
                <w:b/>
                <w:color w:val="FFFFFF"/>
                <w:sz w:val="19"/>
              </w:rPr>
              <w:t>Margin Pressure</w:t>
            </w:r>
          </w:p>
        </w:tc>
        <w:tc>
          <w:tcPr>
            <w:tcW w:type="dxa" w:w="2160"/>
            <w:shd w:val="clear" w:color="auto" w:fill="003A70"/>
            <w:vAlign w:val="center"/>
          </w:tcPr>
          <w:p>
            <w:pPr>
              <w:spacing w:before="0" w:after="40" w:line="276" w:lineRule="auto"/>
            </w:pPr>
            <w:r/>
            <w:r>
              <w:rPr>
                <w:rFonts w:ascii="Calibri" w:hAnsi="Calibri"/>
                <w:b/>
                <w:color w:val="FFFFFF"/>
                <w:sz w:val="19"/>
              </w:rPr>
              <w:t>Default Trajectory</w:t>
            </w:r>
          </w:p>
        </w:tc>
      </w:tr>
      <w:tr>
        <w:tc>
          <w:tcPr>
            <w:tcW w:type="dxa" w:w="3168"/>
            <w:vAlign w:val="center"/>
          </w:tcPr>
          <w:p>
            <w:pPr>
              <w:spacing w:before="0" w:after="40" w:line="276" w:lineRule="auto"/>
            </w:pPr>
            <w:r/>
            <w:r>
              <w:rPr>
                <w:rFonts w:ascii="Calibri" w:hAnsi="Calibri"/>
                <w:color w:val="333333"/>
                <w:sz w:val="19"/>
              </w:rPr>
              <w:t>Independent Feedlots</w:t>
            </w:r>
          </w:p>
        </w:tc>
        <w:tc>
          <w:tcPr>
            <w:tcW w:type="dxa" w:w="2160"/>
            <w:vAlign w:val="center"/>
          </w:tcPr>
          <w:p>
            <w:pPr>
              <w:spacing w:before="0" w:after="40" w:line="276" w:lineRule="auto"/>
            </w:pPr>
            <w:r/>
            <w:r>
              <w:rPr>
                <w:rFonts w:ascii="Calibri" w:hAnsi="Calibri"/>
                <w:color w:val="333333"/>
                <w:sz w:val="19"/>
              </w:rPr>
              <w:t>40%</w:t>
            </w:r>
          </w:p>
        </w:tc>
        <w:tc>
          <w:tcPr>
            <w:tcW w:type="dxa" w:w="1872"/>
            <w:vAlign w:val="center"/>
          </w:tcPr>
          <w:p>
            <w:pPr>
              <w:spacing w:before="0" w:after="40" w:line="276" w:lineRule="auto"/>
            </w:pPr>
            <w:r/>
            <w:r>
              <w:rPr>
                <w:rFonts w:ascii="Calibri" w:hAnsi="Calibri"/>
                <w:color w:val="333333"/>
                <w:sz w:val="19"/>
              </w:rPr>
              <w:t>Severe</w:t>
            </w:r>
          </w:p>
        </w:tc>
        <w:tc>
          <w:tcPr>
            <w:tcW w:type="dxa" w:w="2160"/>
            <w:vAlign w:val="center"/>
          </w:tcPr>
          <w:p>
            <w:pPr>
              <w:spacing w:before="0" w:after="40" w:line="276" w:lineRule="auto"/>
            </w:pPr>
            <w:r/>
            <w:r>
              <w:rPr>
                <w:rFonts w:ascii="Calibri" w:hAnsi="Calibri"/>
                <w:color w:val="333333"/>
                <w:sz w:val="19"/>
              </w:rPr>
              <w:t>Rising</w:t>
            </w:r>
          </w:p>
        </w:tc>
      </w:tr>
      <w:tr>
        <w:tc>
          <w:tcPr>
            <w:tcW w:type="dxa" w:w="3168"/>
            <w:shd w:val="clear" w:color="auto" w:fill="F2F2F2"/>
            <w:vAlign w:val="center"/>
          </w:tcPr>
          <w:p>
            <w:pPr>
              <w:spacing w:before="0" w:after="40" w:line="276" w:lineRule="auto"/>
            </w:pPr>
            <w:r/>
            <w:r>
              <w:rPr>
                <w:rFonts w:ascii="Calibri" w:hAnsi="Calibri"/>
                <w:color w:val="333333"/>
                <w:sz w:val="19"/>
              </w:rPr>
              <w:t>Small/Mid Processors</w:t>
            </w:r>
          </w:p>
        </w:tc>
        <w:tc>
          <w:tcPr>
            <w:tcW w:type="dxa" w:w="2160"/>
            <w:shd w:val="clear" w:color="auto" w:fill="F2F2F2"/>
            <w:vAlign w:val="center"/>
          </w:tcPr>
          <w:p>
            <w:pPr>
              <w:spacing w:before="0" w:after="40" w:line="276" w:lineRule="auto"/>
            </w:pPr>
            <w:r/>
            <w:r>
              <w:rPr>
                <w:rFonts w:ascii="Calibri" w:hAnsi="Calibri"/>
                <w:color w:val="333333"/>
                <w:sz w:val="19"/>
              </w:rPr>
              <w:t>25%</w:t>
            </w:r>
          </w:p>
        </w:tc>
        <w:tc>
          <w:tcPr>
            <w:tcW w:type="dxa" w:w="1872"/>
            <w:shd w:val="clear" w:color="auto" w:fill="F2F2F2"/>
            <w:vAlign w:val="center"/>
          </w:tcPr>
          <w:p>
            <w:pPr>
              <w:spacing w:before="0" w:after="40" w:line="276" w:lineRule="auto"/>
            </w:pPr>
            <w:r/>
            <w:r>
              <w:rPr>
                <w:rFonts w:ascii="Calibri" w:hAnsi="Calibri"/>
                <w:color w:val="333333"/>
                <w:sz w:val="19"/>
              </w:rPr>
              <w:t>High</w:t>
            </w:r>
          </w:p>
        </w:tc>
        <w:tc>
          <w:tcPr>
            <w:tcW w:type="dxa" w:w="2160"/>
            <w:shd w:val="clear" w:color="auto" w:fill="F2F2F2"/>
            <w:vAlign w:val="center"/>
          </w:tcPr>
          <w:p>
            <w:pPr>
              <w:spacing w:before="0" w:after="40" w:line="276" w:lineRule="auto"/>
            </w:pPr>
            <w:r/>
            <w:r>
              <w:rPr>
                <w:rFonts w:ascii="Calibri" w:hAnsi="Calibri"/>
                <w:color w:val="333333"/>
                <w:sz w:val="19"/>
              </w:rPr>
              <w:t>Rising</w:t>
            </w:r>
          </w:p>
        </w:tc>
      </w:tr>
      <w:tr>
        <w:tc>
          <w:tcPr>
            <w:tcW w:type="dxa" w:w="3168"/>
            <w:vAlign w:val="center"/>
          </w:tcPr>
          <w:p>
            <w:pPr>
              <w:spacing w:before="0" w:after="40" w:line="276" w:lineRule="auto"/>
            </w:pPr>
            <w:r/>
            <w:r>
              <w:rPr>
                <w:rFonts w:ascii="Calibri" w:hAnsi="Calibri"/>
                <w:color w:val="333333"/>
                <w:sz w:val="19"/>
              </w:rPr>
              <w:t>Large Packers</w:t>
            </w:r>
          </w:p>
        </w:tc>
        <w:tc>
          <w:tcPr>
            <w:tcW w:type="dxa" w:w="2160"/>
            <w:vAlign w:val="center"/>
          </w:tcPr>
          <w:p>
            <w:pPr>
              <w:spacing w:before="0" w:after="40" w:line="276" w:lineRule="auto"/>
            </w:pPr>
            <w:r/>
            <w:r>
              <w:rPr>
                <w:rFonts w:ascii="Calibri" w:hAnsi="Calibri"/>
                <w:color w:val="333333"/>
                <w:sz w:val="19"/>
              </w:rPr>
              <w:t>20%</w:t>
            </w:r>
          </w:p>
        </w:tc>
        <w:tc>
          <w:tcPr>
            <w:tcW w:type="dxa" w:w="1872"/>
            <w:vAlign w:val="center"/>
          </w:tcPr>
          <w:p>
            <w:pPr>
              <w:spacing w:before="0" w:after="40" w:line="276" w:lineRule="auto"/>
            </w:pPr>
            <w:r/>
            <w:r>
              <w:rPr>
                <w:rFonts w:ascii="Calibri" w:hAnsi="Calibri"/>
                <w:color w:val="333333"/>
                <w:sz w:val="19"/>
              </w:rPr>
              <w:t>Moderate</w:t>
            </w:r>
          </w:p>
        </w:tc>
        <w:tc>
          <w:tcPr>
            <w:tcW w:type="dxa" w:w="2160"/>
            <w:vAlign w:val="center"/>
          </w:tcPr>
          <w:p>
            <w:pPr>
              <w:spacing w:before="0" w:after="40" w:line="276" w:lineRule="auto"/>
            </w:pPr>
            <w:r/>
            <w:r>
              <w:rPr>
                <w:rFonts w:ascii="Calibri" w:hAnsi="Calibri"/>
                <w:color w:val="333333"/>
                <w:sz w:val="19"/>
              </w:rPr>
              <w:t>Stable</w:t>
            </w:r>
          </w:p>
        </w:tc>
      </w:tr>
      <w:tr>
        <w:tc>
          <w:tcPr>
            <w:tcW w:type="dxa" w:w="3168"/>
            <w:shd w:val="clear" w:color="auto" w:fill="F2F2F2"/>
            <w:vAlign w:val="center"/>
          </w:tcPr>
          <w:p>
            <w:pPr>
              <w:spacing w:before="0" w:after="40" w:line="276" w:lineRule="auto"/>
            </w:pPr>
            <w:r/>
            <w:r>
              <w:rPr>
                <w:rFonts w:ascii="Calibri" w:hAnsi="Calibri"/>
                <w:color w:val="333333"/>
                <w:sz w:val="19"/>
              </w:rPr>
              <w:t>Backgrounders/Stockers</w:t>
            </w:r>
          </w:p>
        </w:tc>
        <w:tc>
          <w:tcPr>
            <w:tcW w:type="dxa" w:w="2160"/>
            <w:shd w:val="clear" w:color="auto" w:fill="F2F2F2"/>
            <w:vAlign w:val="center"/>
          </w:tcPr>
          <w:p>
            <w:pPr>
              <w:spacing w:before="0" w:after="40" w:line="276" w:lineRule="auto"/>
            </w:pPr>
            <w:r/>
            <w:r>
              <w:rPr>
                <w:rFonts w:ascii="Calibri" w:hAnsi="Calibri"/>
                <w:color w:val="333333"/>
                <w:sz w:val="19"/>
              </w:rPr>
              <w:t>15%</w:t>
            </w:r>
          </w:p>
        </w:tc>
        <w:tc>
          <w:tcPr>
            <w:tcW w:type="dxa" w:w="1872"/>
            <w:shd w:val="clear" w:color="auto" w:fill="F2F2F2"/>
            <w:vAlign w:val="center"/>
          </w:tcPr>
          <w:p>
            <w:pPr>
              <w:spacing w:before="0" w:after="40" w:line="276" w:lineRule="auto"/>
            </w:pPr>
            <w:r/>
            <w:r>
              <w:rPr>
                <w:rFonts w:ascii="Calibri" w:hAnsi="Calibri"/>
                <w:color w:val="333333"/>
                <w:sz w:val="19"/>
              </w:rPr>
              <w:t>Severe</w:t>
            </w:r>
          </w:p>
        </w:tc>
        <w:tc>
          <w:tcPr>
            <w:tcW w:type="dxa" w:w="2160"/>
            <w:shd w:val="clear" w:color="auto" w:fill="F2F2F2"/>
            <w:vAlign w:val="center"/>
          </w:tcPr>
          <w:p>
            <w:pPr>
              <w:spacing w:before="0" w:after="40" w:line="276" w:lineRule="auto"/>
            </w:pPr>
            <w:r/>
            <w:r>
              <w:rPr>
                <w:rFonts w:ascii="Calibri" w:hAnsi="Calibri"/>
                <w:color w:val="333333"/>
                <w:sz w:val="19"/>
              </w:rPr>
              <w:t>Rising Rapidly</w:t>
            </w:r>
          </w:p>
        </w:tc>
      </w:tr>
    </w:tbl>
    <w:p>
      <w:pPr>
        <w:spacing w:before="0" w:after="160" w:line="288" w:lineRule="auto"/>
      </w:pPr>
      <w:r>
        <w:rPr>
          <w:rFonts w:ascii="Calibri" w:hAnsi="Calibri"/>
          <w:b w:val="0"/>
          <w:i w:val="0"/>
        </w:rPr>
      </w:r>
    </w:p>
    <w:p>
      <w:pPr>
        <w:pStyle w:val="Heading2"/>
        <w:spacing w:before="280" w:after="120" w:line="276" w:lineRule="auto"/>
      </w:pPr>
      <w:r>
        <w:t>2.5 Regulatory Environment</w:t>
      </w:r>
    </w:p>
    <w:p>
      <w:pPr>
        <w:spacing w:before="0" w:after="160" w:line="300" w:lineRule="auto"/>
      </w:pPr>
      <w:r>
        <w:rPr>
          <w:rFonts w:ascii="Calibri" w:hAnsi="Calibri"/>
          <w:b w:val="0"/>
          <w:i w:val="0"/>
          <w:sz w:val="21"/>
        </w:rPr>
        <w:t>USDA's Agricultural Marketing Service (AMS) has intensified Packers &amp; Stockyards Act enforcement under recently finalized rules addressing unfair practices, prompt payment, and market transparency. Livestock marketing cooperatives sit at the intersection of seller protections (producers) and buyer accountability (feedlots/packers), creating elevated compliance obligations.</w:t>
      </w:r>
      <w:r>
        <w:rPr>
          <w:color w:val="0078D4"/>
          <w:sz w:val="16"/>
          <w:vertAlign w:val="superscript"/>
        </w:rPr>
        <w:t xml:space="preserve"> [10]</w:t>
      </w:r>
    </w:p>
    <w:p>
      <w:pPr>
        <w:spacing w:before="0" w:after="160" w:line="300" w:lineRule="auto"/>
      </w:pPr>
      <w:r>
        <w:rPr>
          <w:rFonts w:ascii="Calibri" w:hAnsi="Calibri"/>
          <w:b w:val="0"/>
          <w:i w:val="0"/>
          <w:sz w:val="21"/>
        </w:rPr>
        <w:t>Additionally, CFTC oversight of commodity hedging activities and state-level livestock dealer licensing regulations create a complex compliance matrix that PLMA must navigate.</w:t>
      </w:r>
      <w:r>
        <w:rPr>
          <w:color w:val="0078D4"/>
          <w:sz w:val="16"/>
          <w:vertAlign w:val="superscript"/>
        </w:rPr>
        <w:t xml:space="preserve"> [24]</w:t>
      </w:r>
    </w:p>
    <w:p>
      <w:r>
        <w:br w:type="page"/>
      </w:r>
    </w:p>
    <w:p>
      <w:pPr>
        <w:pStyle w:val="Heading1"/>
        <w:spacing w:before="0" w:after="240" w:line="276" w:lineRule="auto"/>
        <w:pBdr>
          <w:bottom w:val="single" w:sz="12" w:space="4" w:color="003A70"/>
        </w:pBdr>
      </w:pPr>
      <w:r>
        <w:t>3. Counterparty Credit Risk Deep Dive</w:t>
      </w:r>
    </w:p>
    <w:p>
      <w:pPr>
        <w:spacing w:before="0" w:after="160" w:line="300" w:lineRule="auto"/>
      </w:pPr>
      <w:r>
        <w:rPr>
          <w:rFonts w:ascii="Calibri" w:hAnsi="Calibri"/>
          <w:b w:val="0"/>
          <w:i w:val="0"/>
          <w:sz w:val="21"/>
        </w:rPr>
        <w:t>Counterparty credit risk is the most acute financial threat to PLMA's balance sheet. This section quantifies PLMA's exposure, decomposes risk by segment and pathway, and identifies contagion vectors that could amplify losses in a stress scenario.</w:t>
      </w:r>
    </w:p>
    <w:p>
      <w:pPr>
        <w:pStyle w:val="Heading2"/>
        <w:spacing w:before="280" w:after="120" w:line="276" w:lineRule="auto"/>
      </w:pPr>
      <w:r>
        <w:t>3.1 PLMA's Counterparty Exposure Model</w:t>
      </w:r>
    </w:p>
    <w:p>
      <w:pPr>
        <w:spacing w:before="0" w:after="160" w:line="300" w:lineRule="auto"/>
      </w:pPr>
      <w:r>
        <w:rPr>
          <w:rFonts w:ascii="Calibri" w:hAnsi="Calibri"/>
          <w:b w:val="0"/>
          <w:i w:val="0"/>
          <w:sz w:val="21"/>
        </w:rPr>
        <w:t>As a cooperative livestock marketing entity, PLMA occupies a two-sided credit position: it advances funds to producers (sellers) against consigned livestock, and extends trade credit to buyers (feedlots, processors, packers) on sold livestock. This dual-sided exposure creates a credit sandwich: PLMA owes producers whether or not buyers pay, and bears the default risk on both sides.</w:t>
      </w:r>
    </w:p>
    <w:p>
      <w:pPr>
        <w:spacing w:before="0" w:after="160" w:line="300" w:lineRule="auto"/>
      </w:pPr>
      <w:r>
        <w:rPr>
          <w:rFonts w:ascii="Calibri" w:hAnsi="Calibri"/>
          <w:b w:val="0"/>
          <w:i w:val="0"/>
          <w:sz w:val="21"/>
        </w:rPr>
        <w:t>Based on industry benchmarks for a cooperative of PLMA's estimated scale (~$3.2B annual transaction volume, ~$60M in commission revenue), we estimate PLMA's aggregate working capital exposure at any given time at approximately $200M, distributed across four primary counterparty segments.</w:t>
      </w:r>
    </w:p>
    <w:p>
      <w:pPr>
        <w:pStyle w:val="Heading2"/>
        <w:spacing w:before="280" w:after="120" w:line="276" w:lineRule="auto"/>
      </w:pPr>
      <w:r>
        <w:t>3.2 Seller-Side Risk (Producer/Rancher Default)</w:t>
      </w:r>
    </w:p>
    <w:p>
      <w:pPr>
        <w:spacing w:before="0" w:after="160" w:line="300" w:lineRule="auto"/>
      </w:pPr>
      <w:r>
        <w:rPr>
          <w:rFonts w:ascii="Calibri" w:hAnsi="Calibri"/>
          <w:b w:val="0"/>
          <w:i w:val="0"/>
          <w:sz w:val="21"/>
        </w:rPr>
        <w:t>Producer-side risk manifests in three primary pathways: (i) bankruptcy or forced liquidation during the consignment window, (ii) delivery failure or mis-described livestock creating buyer rejection risk, and (iii) margin call obligations if PLMA has advanced funds against consigned cattle that subsequently decline in market value.</w:t>
      </w:r>
    </w:p>
    <w:p>
      <w:pPr>
        <w:spacing w:before="0" w:after="160" w:line="300" w:lineRule="auto"/>
      </w:pPr>
      <w:r>
        <w:rPr>
          <w:rFonts w:ascii="Calibri" w:hAnsi="Calibri"/>
          <w:b w:val="0"/>
          <w:i w:val="0"/>
          <w:sz w:val="21"/>
        </w:rPr>
        <w:t>With 315 Chapter 12 filings in 2025 and an accelerating trajectory, seller-side risk is material. However, because PLMA typically holds physical possession or legal title during the consignment window, recovery rates on producer defaults are higher than on buyer defaults—estimated at 55–70% recovery.</w:t>
      </w:r>
    </w:p>
    <w:p>
      <w:pPr>
        <w:pStyle w:val="Heading2"/>
        <w:spacing w:before="280" w:after="120" w:line="276" w:lineRule="auto"/>
      </w:pPr>
      <w:r>
        <w:t>3.3 Buyer-Side Risk (Feedlot/Processor Default)</w:t>
      </w:r>
    </w:p>
    <w:p>
      <w:pPr>
        <w:spacing w:before="0" w:after="160" w:line="300" w:lineRule="auto"/>
      </w:pPr>
      <w:r>
        <w:rPr>
          <w:rFonts w:ascii="Calibri" w:hAnsi="Calibri"/>
          <w:b w:val="0"/>
          <w:i w:val="0"/>
          <w:sz w:val="21"/>
        </w:rPr>
        <w:t>Buyer-side risk is more acute and less recoverable. When a buyer defaults on payment for livestock already delivered and slaughtered or placed, PLMA has limited recourse. Typical recovery rates on unsecured buyer trade claims in livestock bankruptcies range from 15–45% depending on segment and security position.</w:t>
      </w:r>
    </w:p>
    <w:p>
      <w:pPr>
        <w:jc w:val="center"/>
      </w:pPr>
      <w:r>
        <w:drawing>
          <wp:inline xmlns:a="http://schemas.openxmlformats.org/drawingml/2006/main" xmlns:pic="http://schemas.openxmlformats.org/drawingml/2006/picture">
            <wp:extent cx="5943600" cy="362943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629436"/>
                    </a:xfrm>
                    <a:prstGeom prst="rect"/>
                  </pic:spPr>
                </pic:pic>
              </a:graphicData>
            </a:graphic>
          </wp:inline>
        </w:drawing>
      </w:r>
    </w:p>
    <w:p>
      <w:pPr>
        <w:spacing w:before="0" w:after="240" w:line="276" w:lineRule="auto"/>
        <w:jc w:val="center"/>
      </w:pPr>
      <w:r>
        <w:rPr>
          <w:rFonts w:ascii="Calibri" w:hAnsi="Calibri"/>
          <w:i/>
          <w:color w:val="666666"/>
          <w:sz w:val="18"/>
        </w:rPr>
        <w:t>Exhibit: Backgrounders and independent feedlots carry the highest default probabilities.</w:t>
      </w:r>
    </w:p>
    <w:p>
      <w:pPr>
        <w:pStyle w:val="Heading2"/>
        <w:spacing w:before="280" w:after="120" w:line="276" w:lineRule="auto"/>
      </w:pPr>
      <w:r>
        <w:t>3.4 Concentration Risk Analysis</w:t>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KEY FINDING</w:t>
            </w:r>
          </w:p>
          <w:p>
            <w:pPr>
              <w:spacing w:before="0" w:after="80" w:line="288" w:lineRule="auto"/>
            </w:pPr>
            <w:r>
              <w:rPr>
                <w:rFonts w:ascii="Calibri" w:hAnsi="Calibri"/>
                <w:color w:val="333333"/>
                <w:sz w:val="20"/>
              </w:rPr>
              <w:t>PLMA's top 10 buyers represent approximately 55–65% of total counterparty exposure. A single large buyer default (estimated top buyer exposure: $25–35M) could generate losses exceeding 30% of annual commission revenue. This concentration is the single largest source of tail risk on the balance sheet.</w:t>
            </w:r>
          </w:p>
        </w:tc>
      </w:tr>
    </w:tbl>
    <w:p>
      <w:pPr>
        <w:spacing w:before="0" w:after="160" w:line="288" w:lineRule="auto"/>
      </w:pPr>
      <w:r>
        <w:rPr>
          <w:rFonts w:ascii="Calibri" w:hAnsi="Calibri"/>
          <w:b w:val="0"/>
          <w:i w:val="0"/>
        </w:rPr>
      </w:r>
    </w:p>
    <w:p>
      <w:pPr>
        <w:spacing w:before="0" w:after="160" w:line="300" w:lineRule="auto"/>
      </w:pPr>
      <w:r>
        <w:rPr>
          <w:rFonts w:ascii="Calibri" w:hAnsi="Calibri"/>
          <w:b w:val="0"/>
          <w:i w:val="0"/>
          <w:sz w:val="21"/>
        </w:rPr>
        <w:t>Concentration risk manifests across three dimensions:</w:t>
      </w:r>
    </w:p>
    <w:p>
      <w:pPr>
        <w:pStyle w:val="ListBullet"/>
        <w:spacing w:before="0" w:after="80" w:line="288" w:lineRule="auto"/>
      </w:pPr>
      <w:r>
        <w:rPr>
          <w:rFonts w:ascii="Calibri" w:hAnsi="Calibri"/>
          <w:b/>
          <w:color w:val="003A70"/>
          <w:sz w:val="21"/>
        </w:rPr>
        <w:t xml:space="preserve">Buyer concentration: </w:t>
      </w:r>
      <w:r>
        <w:rPr>
          <w:rFonts w:ascii="Calibri" w:hAnsi="Calibri"/>
          <w:color w:val="333333"/>
          <w:sz w:val="21"/>
        </w:rPr>
        <w:t>Top-10 buyer exposure exceeds prudent single-counterparty limits (typically 10% of equity or 15% of receivables per banking best practice).</w:t>
      </w:r>
    </w:p>
    <w:p>
      <w:pPr>
        <w:pStyle w:val="ListBullet"/>
        <w:spacing w:before="0" w:after="80" w:line="288" w:lineRule="auto"/>
      </w:pPr>
      <w:r>
        <w:rPr>
          <w:rFonts w:ascii="Calibri" w:hAnsi="Calibri"/>
          <w:b/>
          <w:color w:val="003A70"/>
          <w:sz w:val="21"/>
        </w:rPr>
        <w:t xml:space="preserve">Geographic concentration: </w:t>
      </w:r>
      <w:r>
        <w:rPr>
          <w:rFonts w:ascii="Calibri" w:hAnsi="Calibri"/>
          <w:color w:val="333333"/>
          <w:sz w:val="21"/>
        </w:rPr>
        <w:t>PLMA's operational footprint is concentrated in multi-state Plains/Mountain West regions, creating correlated exposure to regional drought, blizzards, and disease.</w:t>
      </w:r>
    </w:p>
    <w:p>
      <w:pPr>
        <w:pStyle w:val="ListBullet"/>
        <w:spacing w:before="0" w:after="80" w:line="288" w:lineRule="auto"/>
      </w:pPr>
      <w:r>
        <w:rPr>
          <w:rFonts w:ascii="Calibri" w:hAnsi="Calibri"/>
          <w:b/>
          <w:color w:val="003A70"/>
          <w:sz w:val="21"/>
        </w:rPr>
        <w:t xml:space="preserve">Segment concentration: </w:t>
      </w:r>
      <w:r>
        <w:rPr>
          <w:rFonts w:ascii="Calibri" w:hAnsi="Calibri"/>
          <w:color w:val="333333"/>
          <w:sz w:val="21"/>
        </w:rPr>
        <w:t>65% of exposure sits in feedlot and backgrounder segments, both of which face simultaneous margin compression—this is not diversified risk.</w:t>
      </w:r>
    </w:p>
    <w:p>
      <w:pPr>
        <w:pStyle w:val="Heading2"/>
        <w:spacing w:before="280" w:after="120" w:line="276" w:lineRule="auto"/>
      </w:pPr>
      <w:r>
        <w:t>3.5 Contagion and Systemic Risk Pathways</w:t>
      </w:r>
    </w:p>
    <w:p>
      <w:pPr>
        <w:jc w:val="center"/>
      </w:pPr>
      <w:r>
        <w:drawing>
          <wp:inline xmlns:a="http://schemas.openxmlformats.org/drawingml/2006/main" xmlns:pic="http://schemas.openxmlformats.org/drawingml/2006/picture">
            <wp:extent cx="5943600" cy="5753911"/>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5753911"/>
                    </a:xfrm>
                    <a:prstGeom prst="rect"/>
                  </pic:spPr>
                </pic:pic>
              </a:graphicData>
            </a:graphic>
          </wp:inline>
        </w:drawing>
      </w:r>
    </w:p>
    <w:p>
      <w:pPr>
        <w:spacing w:before="0" w:after="240" w:line="276" w:lineRule="auto"/>
        <w:jc w:val="center"/>
      </w:pPr>
      <w:r>
        <w:rPr>
          <w:rFonts w:ascii="Calibri" w:hAnsi="Calibri"/>
          <w:i/>
          <w:color w:val="666666"/>
          <w:sz w:val="18"/>
        </w:rPr>
        <w:t>Exhibit: Counterparty buyer bankruptcy, producer default, and concentration risk occupy the red zone.</w:t>
      </w:r>
    </w:p>
    <w:p>
      <w:pPr>
        <w:spacing w:before="0" w:after="160" w:line="300" w:lineRule="auto"/>
      </w:pPr>
      <w:r>
        <w:rPr>
          <w:rFonts w:ascii="Calibri" w:hAnsi="Calibri"/>
          <w:b w:val="0"/>
          <w:i w:val="0"/>
          <w:sz w:val="21"/>
        </w:rPr>
        <w:t>Contagion pathways warrant specific attention. A single large feedlot bankruptcy typically triggers: (1) emergency liquidation of cattle inventory, depressing regional fed cattle prices, (2) tightening of credit terms by packers to surviving feedlots, (3) margin calls cascading through the supply chain, and (4) second-order producer distress as feeder cattle demand softens.</w:t>
      </w:r>
      <w:r>
        <w:rPr>
          <w:color w:val="0078D4"/>
          <w:sz w:val="16"/>
          <w:vertAlign w:val="superscript"/>
        </w:rPr>
        <w:t xml:space="preserve"> [8]</w:t>
      </w:r>
    </w:p>
    <w:p>
      <w:r>
        <w:br w:type="page"/>
      </w:r>
    </w:p>
    <w:p>
      <w:pPr>
        <w:pStyle w:val="Heading1"/>
        <w:spacing w:before="0" w:after="240" w:line="276" w:lineRule="auto"/>
        <w:pBdr>
          <w:bottom w:val="single" w:sz="12" w:space="4" w:color="003A70"/>
        </w:pBdr>
      </w:pPr>
      <w:r>
        <w:t>4. Comprehensive Risk Assessment</w:t>
      </w:r>
    </w:p>
    <w:p>
      <w:pPr>
        <w:spacing w:before="0" w:after="160" w:line="300" w:lineRule="auto"/>
      </w:pPr>
      <w:r>
        <w:rPr>
          <w:rFonts w:ascii="Calibri" w:hAnsi="Calibri"/>
          <w:b w:val="0"/>
          <w:i w:val="0"/>
          <w:sz w:val="21"/>
        </w:rPr>
        <w:t>Counterparty credit risk does not exist in isolation. It is correlated with, and amplified by, a constellation of market, operational, and regulatory risks. This section applies an enterprise risk management lens to identify the full risk surface PLMA must manage, aligned to ISO 31000 risk categorization principles.</w:t>
      </w:r>
      <w:r>
        <w:rPr>
          <w:color w:val="0078D4"/>
          <w:sz w:val="16"/>
          <w:vertAlign w:val="superscript"/>
        </w:rPr>
        <w:t xml:space="preserve"> [14]</w:t>
      </w:r>
    </w:p>
    <w:p>
      <w:pPr>
        <w:pStyle w:val="Heading2"/>
        <w:spacing w:before="280" w:after="120" w:line="276" w:lineRule="auto"/>
      </w:pPr>
      <w:r>
        <w:t>4.1 Cattle Price Risk</w:t>
      </w:r>
    </w:p>
    <w:p>
      <w:pPr>
        <w:spacing w:before="0" w:after="160" w:line="300" w:lineRule="auto"/>
      </w:pPr>
      <w:r>
        <w:rPr>
          <w:rFonts w:ascii="Calibri" w:hAnsi="Calibri"/>
          <w:b w:val="0"/>
          <w:i w:val="0"/>
          <w:sz w:val="21"/>
        </w:rPr>
        <w:t>Cattle price volatility translates directly into credit risk for both producers and buyers. The current cattle cycle sits near a peak, with feeder cattle futures at record nominal levels. Historical analysis of the 2014–2016 cycle suggests that peak-to-trough corrections can exceed 35%, creating severe distress in leveraged feedlot operations. PLMA's basis risk—the differential between cash and futures prices in local markets—adds an additional 3–8% volatility layer.</w:t>
      </w:r>
    </w:p>
    <w:p>
      <w:pPr>
        <w:pStyle w:val="Heading2"/>
        <w:spacing w:before="280" w:after="120" w:line="276" w:lineRule="auto"/>
      </w:pPr>
      <w:r>
        <w:t>4.2 Pork Market Risk</w:t>
      </w:r>
    </w:p>
    <w:p>
      <w:pPr>
        <w:spacing w:before="0" w:after="160" w:line="300" w:lineRule="auto"/>
      </w:pPr>
      <w:r>
        <w:rPr>
          <w:rFonts w:ascii="Calibri" w:hAnsi="Calibri"/>
          <w:b w:val="0"/>
          <w:i w:val="0"/>
          <w:sz w:val="21"/>
        </w:rPr>
        <w:t>While cattle dominate PLMA's exposure, pork segment risk deserves attention. ASF remains the largest tail risk: a confirmed U.S. outbreak would immediately halt pork exports (~25% of production), collapse domestic prices, and bankrupt a significant share of leveraged pork finishing operations. Preliminary BioSecurity Task Force modeling estimates a 72-hour price decline of 25–40% in an outbreak scenario.</w:t>
      </w:r>
    </w:p>
    <w:p>
      <w:pPr>
        <w:pStyle w:val="Heading2"/>
        <w:spacing w:before="280" w:after="120" w:line="276" w:lineRule="auto"/>
      </w:pPr>
      <w:r>
        <w:t>4.3 Feed and Input Commodity Risk</w:t>
      </w:r>
    </w:p>
    <w:p>
      <w:pPr>
        <w:spacing w:before="0" w:after="160" w:line="300" w:lineRule="auto"/>
      </w:pPr>
      <w:r>
        <w:rPr>
          <w:rFonts w:ascii="Calibri" w:hAnsi="Calibri"/>
          <w:b w:val="0"/>
          <w:i w:val="0"/>
          <w:sz w:val="21"/>
        </w:rPr>
        <w:t>Feed costs represent 60–70% of livestock production costs. Corn and soybean meal price spikes compress feedlot and pork producer margins, elevating default probabilities across PLMA's buyer base. The correlation matrix below quantifies these linkages.</w:t>
      </w:r>
    </w:p>
    <w:p>
      <w:pPr>
        <w:jc w:val="center"/>
      </w:pPr>
      <w:r>
        <w:drawing>
          <wp:inline xmlns:a="http://schemas.openxmlformats.org/drawingml/2006/main" xmlns:pic="http://schemas.openxmlformats.org/drawingml/2006/picture">
            <wp:extent cx="5943600" cy="5411278"/>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5411278"/>
                    </a:xfrm>
                    <a:prstGeom prst="rect"/>
                  </pic:spPr>
                </pic:pic>
              </a:graphicData>
            </a:graphic>
          </wp:inline>
        </w:drawing>
      </w:r>
    </w:p>
    <w:p>
      <w:pPr>
        <w:spacing w:before="0" w:after="240" w:line="276" w:lineRule="auto"/>
        <w:jc w:val="center"/>
      </w:pPr>
      <w:r>
        <w:rPr>
          <w:rFonts w:ascii="Calibri" w:hAnsi="Calibri"/>
          <w:i/>
          <w:color w:val="666666"/>
          <w:sz w:val="18"/>
        </w:rPr>
        <w:t>Exhibit: Corn and soybean meal move together (0.72) and inversely to feeder cattle (-0.52).</w:t>
      </w:r>
    </w:p>
    <w:p>
      <w:pPr>
        <w:pStyle w:val="Heading2"/>
        <w:spacing w:before="280" w:after="120" w:line="276" w:lineRule="auto"/>
      </w:pPr>
      <w:r>
        <w:t>4.4 Interest Rate Risk</w:t>
      </w:r>
    </w:p>
    <w:p>
      <w:pPr>
        <w:spacing w:before="0" w:after="160" w:line="300" w:lineRule="auto"/>
      </w:pPr>
      <w:r>
        <w:rPr>
          <w:rFonts w:ascii="Calibri" w:hAnsi="Calibri"/>
          <w:b w:val="0"/>
          <w:i w:val="0"/>
          <w:sz w:val="21"/>
        </w:rPr>
        <w:t>Interest rates affect PLMA through two channels: (1) direct cost-of-carry on working capital exposure, and (2) indirect stress on leveraged buyers whose debt service burden rises with rates. With an estimated $200M in working capital exposure at any given time, a 100 bp rate increase translates to $1.5M in incremental annual cost-of-carry.</w:t>
      </w:r>
    </w:p>
    <w:p>
      <w:pPr>
        <w:jc w:val="center"/>
      </w:pPr>
      <w:r>
        <w:drawing>
          <wp:inline xmlns:a="http://schemas.openxmlformats.org/drawingml/2006/main" xmlns:pic="http://schemas.openxmlformats.org/drawingml/2006/picture">
            <wp:extent cx="5943600" cy="369467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3694670"/>
                    </a:xfrm>
                    <a:prstGeom prst="rect"/>
                  </pic:spPr>
                </pic:pic>
              </a:graphicData>
            </a:graphic>
          </wp:inline>
        </w:drawing>
      </w:r>
    </w:p>
    <w:p>
      <w:pPr>
        <w:spacing w:before="0" w:after="240" w:line="276" w:lineRule="auto"/>
        <w:jc w:val="center"/>
      </w:pPr>
      <w:r>
        <w:rPr>
          <w:rFonts w:ascii="Calibri" w:hAnsi="Calibri"/>
          <w:i/>
          <w:color w:val="666666"/>
          <w:sz w:val="18"/>
        </w:rPr>
        <w:t>Exhibit: PLMA's cost-of-carry rises linearly with rates while buyer financial stress rises exponentially.</w:t>
      </w:r>
    </w:p>
    <w:p>
      <w:pPr>
        <w:pStyle w:val="Heading2"/>
        <w:spacing w:before="280" w:after="120" w:line="276" w:lineRule="auto"/>
      </w:pPr>
      <w:r>
        <w:t>4.5 Regulatory &amp; Compliance Risk</w:t>
      </w:r>
    </w:p>
    <w:p>
      <w:pPr>
        <w:spacing w:before="0" w:after="160" w:line="300" w:lineRule="auto"/>
      </w:pPr>
      <w:r>
        <w:rPr>
          <w:rFonts w:ascii="Calibri" w:hAnsi="Calibri"/>
          <w:b w:val="0"/>
          <w:i w:val="0"/>
          <w:sz w:val="21"/>
        </w:rPr>
        <w:t>Packers &amp; Stockyards Act enforcement has intensified under USDA's AMS. Recent rule changes address: (i) undue preferences, (ii) prompt payment obligations (PLMA has 24-hour payment requirements on some transactions), (iii) competitive injury standards, and (iv) market transparency reporting. Non-compliance carries both civil penalties and reputational risk.</w:t>
      </w:r>
      <w:r>
        <w:rPr>
          <w:color w:val="0078D4"/>
          <w:sz w:val="16"/>
          <w:vertAlign w:val="superscript"/>
        </w:rPr>
        <w:t xml:space="preserve"> [10]</w:t>
      </w:r>
    </w:p>
    <w:p>
      <w:pPr>
        <w:spacing w:before="0" w:after="160" w:line="300" w:lineRule="auto"/>
      </w:pPr>
      <w:r>
        <w:rPr>
          <w:rFonts w:ascii="Calibri" w:hAnsi="Calibri"/>
          <w:b w:val="0"/>
          <w:i w:val="0"/>
          <w:sz w:val="21"/>
        </w:rPr>
        <w:t>State-level livestock dealer licensing regimes add a further compliance matrix. PLMA operates under bonding requirements that scale with transaction volume—rising rates and default environments can pressure bond availability.</w:t>
      </w:r>
    </w:p>
    <w:p>
      <w:pPr>
        <w:pStyle w:val="Heading2"/>
        <w:spacing w:before="280" w:after="120" w:line="276" w:lineRule="auto"/>
      </w:pPr>
      <w:r>
        <w:t>4.6 Operational Risk</w:t>
      </w:r>
    </w:p>
    <w:p>
      <w:pPr>
        <w:spacing w:before="0" w:after="160" w:line="300" w:lineRule="auto"/>
      </w:pPr>
      <w:r>
        <w:rPr>
          <w:rFonts w:ascii="Calibri" w:hAnsi="Calibri"/>
          <w:b w:val="0"/>
          <w:i w:val="0"/>
          <w:sz w:val="21"/>
        </w:rPr>
        <w:t>Operational risk categories include:</w:t>
      </w:r>
    </w:p>
    <w:p>
      <w:pPr>
        <w:pStyle w:val="ListBullet"/>
        <w:spacing w:before="0" w:after="80" w:line="288" w:lineRule="auto"/>
      </w:pPr>
      <w:r>
        <w:rPr>
          <w:rFonts w:ascii="Calibri" w:hAnsi="Calibri"/>
          <w:b/>
          <w:color w:val="003A70"/>
          <w:sz w:val="21"/>
        </w:rPr>
        <w:t xml:space="preserve">Technology: </w:t>
      </w:r>
      <w:r>
        <w:rPr>
          <w:rFonts w:ascii="Calibri" w:hAnsi="Calibri"/>
          <w:color w:val="333333"/>
          <w:sz w:val="21"/>
        </w:rPr>
        <w:t>Legacy systems create reconciliation errors, fraud exposure, and competitive disadvantage vs. fintech-native entrants.</w:t>
      </w:r>
    </w:p>
    <w:p>
      <w:pPr>
        <w:pStyle w:val="ListBullet"/>
        <w:spacing w:before="0" w:after="80" w:line="288" w:lineRule="auto"/>
      </w:pPr>
      <w:r>
        <w:rPr>
          <w:rFonts w:ascii="Calibri" w:hAnsi="Calibri"/>
          <w:b/>
          <w:color w:val="003A70"/>
          <w:sz w:val="21"/>
        </w:rPr>
        <w:t xml:space="preserve">Personnel: </w:t>
      </w:r>
      <w:r>
        <w:rPr>
          <w:rFonts w:ascii="Calibri" w:hAnsi="Calibri"/>
          <w:color w:val="333333"/>
          <w:sz w:val="21"/>
        </w:rPr>
        <w:t>Credit analyst bench depth is thin; key-person risk concentrated in senior relationship managers with tacit underwriting knowledge.</w:t>
      </w:r>
    </w:p>
    <w:p>
      <w:pPr>
        <w:pStyle w:val="ListBullet"/>
        <w:spacing w:before="0" w:after="80" w:line="288" w:lineRule="auto"/>
      </w:pPr>
      <w:r>
        <w:rPr>
          <w:rFonts w:ascii="Calibri" w:hAnsi="Calibri"/>
          <w:b/>
          <w:color w:val="003A70"/>
          <w:sz w:val="21"/>
        </w:rPr>
        <w:t xml:space="preserve">Process: </w:t>
      </w:r>
      <w:r>
        <w:rPr>
          <w:rFonts w:ascii="Calibri" w:hAnsi="Calibri"/>
          <w:color w:val="333333"/>
          <w:sz w:val="21"/>
        </w:rPr>
        <w:t>Manual credit decisions create inconsistency, slow response, and limited auditability.</w:t>
      </w:r>
    </w:p>
    <w:p>
      <w:pPr>
        <w:pStyle w:val="ListBullet"/>
        <w:spacing w:before="0" w:after="80" w:line="288" w:lineRule="auto"/>
      </w:pPr>
      <w:r>
        <w:rPr>
          <w:rFonts w:ascii="Calibri" w:hAnsi="Calibri"/>
          <w:b/>
          <w:color w:val="003A70"/>
          <w:sz w:val="21"/>
        </w:rPr>
        <w:t xml:space="preserve">Cyber: </w:t>
      </w:r>
      <w:r>
        <w:rPr>
          <w:rFonts w:ascii="Calibri" w:hAnsi="Calibri"/>
          <w:color w:val="333333"/>
          <w:sz w:val="21"/>
        </w:rPr>
        <w:t>Ag sector has been increasingly targeted by ransomware; industry benchmarks suggest $1.5–3M average incident cost for cooperatives of PLMA's size.</w:t>
      </w:r>
    </w:p>
    <w:p>
      <w:r>
        <w:br w:type="page"/>
      </w:r>
    </w:p>
    <w:p>
      <w:pPr>
        <w:pStyle w:val="Heading1"/>
        <w:spacing w:before="0" w:after="240" w:line="276" w:lineRule="auto"/>
        <w:pBdr>
          <w:bottom w:val="single" w:sz="12" w:space="4" w:color="003A70"/>
        </w:pBdr>
      </w:pPr>
      <w:r>
        <w:t>5. Strategic Framework Analysis</w:t>
      </w:r>
    </w:p>
    <w:p>
      <w:pPr>
        <w:spacing w:before="0" w:after="160" w:line="300" w:lineRule="auto"/>
      </w:pPr>
      <w:r>
        <w:rPr>
          <w:rFonts w:ascii="Calibri" w:hAnsi="Calibri"/>
          <w:b w:val="0"/>
          <w:i w:val="0"/>
          <w:sz w:val="21"/>
        </w:rPr>
        <w:t>This section applies five strategic frameworks to diagnose PLMA's competitive position, risk posture, and strategic options: Porter's Five Forces, SWOT, ISO 31000 Risk Appetite, Ansoff Matrix, and Scenario Planning. Together, these tools translate the risk analysis of prior sections into strategic direction.</w:t>
      </w:r>
    </w:p>
    <w:p>
      <w:pPr>
        <w:pStyle w:val="Heading2"/>
        <w:spacing w:before="280" w:after="120" w:line="276" w:lineRule="auto"/>
      </w:pPr>
      <w:r>
        <w:t>5.1 Porter's Five Forces — Livestock Marketing Industry</w:t>
      </w:r>
    </w:p>
    <w:p>
      <w:pPr>
        <w:spacing w:before="0" w:after="160" w:line="300" w:lineRule="auto"/>
      </w:pPr>
      <w:r>
        <w:rPr>
          <w:rFonts w:ascii="Calibri" w:hAnsi="Calibri"/>
          <w:b w:val="0"/>
          <w:i w:val="0"/>
          <w:sz w:val="21"/>
        </w:rPr>
        <w:t>The livestock marketing industry exhibits asymmetric power dynamics. Downstream buyer power is high (consolidated packers with Big-Four dominance), upstream supplier power is moderate-to-low (fragmented producer base), and rivalry is intense across cooperatives, independent auctions, and video/online marketplaces.</w:t>
      </w:r>
      <w:r>
        <w:rPr>
          <w:color w:val="0078D4"/>
          <w:sz w:val="16"/>
          <w:vertAlign w:val="superscript"/>
        </w:rPr>
        <w:t xml:space="preserve"> [12]</w:t>
      </w:r>
    </w:p>
    <w:p>
      <w:pPr>
        <w:jc w:val="center"/>
      </w:pPr>
      <w:r>
        <w:drawing>
          <wp:inline xmlns:a="http://schemas.openxmlformats.org/drawingml/2006/main" xmlns:pic="http://schemas.openxmlformats.org/drawingml/2006/picture">
            <wp:extent cx="5943600" cy="5843777"/>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5843777"/>
                    </a:xfrm>
                    <a:prstGeom prst="rect"/>
                  </pic:spPr>
                </pic:pic>
              </a:graphicData>
            </a:graphic>
          </wp:inline>
        </w:drawing>
      </w:r>
    </w:p>
    <w:p>
      <w:pPr>
        <w:spacing w:before="0" w:after="240" w:line="276" w:lineRule="auto"/>
        <w:jc w:val="center"/>
      </w:pPr>
      <w:r>
        <w:rPr>
          <w:rFonts w:ascii="Calibri" w:hAnsi="Calibri"/>
          <w:i/>
          <w:color w:val="666666"/>
          <w:sz w:val="18"/>
        </w:rPr>
        <w:t>Exhibit: Buyer power (4/5) and rivalry (4/5) are the dominant forces shaping industry economics.</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03A70"/>
            <w:vAlign w:val="center"/>
          </w:tcPr>
          <w:p>
            <w:pPr>
              <w:spacing w:before="0" w:after="40" w:line="276" w:lineRule="auto"/>
            </w:pPr>
            <w:r/>
            <w:r>
              <w:rPr>
                <w:rFonts w:ascii="Calibri" w:hAnsi="Calibri"/>
                <w:b/>
                <w:color w:val="FFFFFF"/>
                <w:sz w:val="19"/>
              </w:rPr>
              <w:t>Force</w:t>
            </w:r>
          </w:p>
        </w:tc>
        <w:tc>
          <w:tcPr>
            <w:tcW w:type="dxa" w:w="1440"/>
            <w:shd w:val="clear" w:color="auto" w:fill="003A70"/>
            <w:vAlign w:val="center"/>
          </w:tcPr>
          <w:p>
            <w:pPr>
              <w:spacing w:before="0" w:after="40" w:line="276" w:lineRule="auto"/>
            </w:pPr>
            <w:r/>
            <w:r>
              <w:rPr>
                <w:rFonts w:ascii="Calibri" w:hAnsi="Calibri"/>
                <w:b/>
                <w:color w:val="FFFFFF"/>
                <w:sz w:val="19"/>
              </w:rPr>
              <w:t>Score (1–5)</w:t>
            </w:r>
          </w:p>
        </w:tc>
        <w:tc>
          <w:tcPr>
            <w:tcW w:type="dxa" w:w="5040"/>
            <w:shd w:val="clear" w:color="auto" w:fill="003A70"/>
            <w:vAlign w:val="center"/>
          </w:tcPr>
          <w:p>
            <w:pPr>
              <w:spacing w:before="0" w:after="40" w:line="276" w:lineRule="auto"/>
            </w:pPr>
            <w:r/>
            <w:r>
              <w:rPr>
                <w:rFonts w:ascii="Calibri" w:hAnsi="Calibri"/>
                <w:b/>
                <w:color w:val="FFFFFF"/>
                <w:sz w:val="19"/>
              </w:rPr>
              <w:t>Key Drivers</w:t>
            </w:r>
          </w:p>
        </w:tc>
      </w:tr>
      <w:tr>
        <w:tc>
          <w:tcPr>
            <w:tcW w:type="dxa" w:w="2592"/>
            <w:vAlign w:val="center"/>
          </w:tcPr>
          <w:p>
            <w:pPr>
              <w:spacing w:before="0" w:after="40" w:line="276" w:lineRule="auto"/>
            </w:pPr>
            <w:r/>
            <w:r>
              <w:rPr>
                <w:rFonts w:ascii="Calibri" w:hAnsi="Calibri"/>
                <w:color w:val="333333"/>
                <w:sz w:val="19"/>
              </w:rPr>
              <w:t>Buyer Power (Packers)</w:t>
            </w:r>
          </w:p>
        </w:tc>
        <w:tc>
          <w:tcPr>
            <w:tcW w:type="dxa" w:w="1440"/>
            <w:vAlign w:val="center"/>
          </w:tcPr>
          <w:p>
            <w:pPr>
              <w:spacing w:before="0" w:after="40" w:line="276" w:lineRule="auto"/>
            </w:pPr>
            <w:r/>
            <w:r>
              <w:rPr>
                <w:rFonts w:ascii="Calibri" w:hAnsi="Calibri"/>
                <w:color w:val="333333"/>
                <w:sz w:val="19"/>
              </w:rPr>
              <w:t>4 — High</w:t>
            </w:r>
          </w:p>
        </w:tc>
        <w:tc>
          <w:tcPr>
            <w:tcW w:type="dxa" w:w="5040"/>
            <w:vAlign w:val="center"/>
          </w:tcPr>
          <w:p>
            <w:pPr>
              <w:spacing w:before="0" w:after="40" w:line="276" w:lineRule="auto"/>
            </w:pPr>
            <w:r/>
            <w:r>
              <w:rPr>
                <w:rFonts w:ascii="Calibri" w:hAnsi="Calibri"/>
                <w:color w:val="333333"/>
                <w:sz w:val="19"/>
              </w:rPr>
              <w:t>Big-4 packer concentration; fed cattle captive supply arrangements</w:t>
            </w:r>
          </w:p>
        </w:tc>
      </w:tr>
      <w:tr>
        <w:tc>
          <w:tcPr>
            <w:tcW w:type="dxa" w:w="2592"/>
            <w:shd w:val="clear" w:color="auto" w:fill="F2F2F2"/>
            <w:vAlign w:val="center"/>
          </w:tcPr>
          <w:p>
            <w:pPr>
              <w:spacing w:before="0" w:after="40" w:line="276" w:lineRule="auto"/>
            </w:pPr>
            <w:r/>
            <w:r>
              <w:rPr>
                <w:rFonts w:ascii="Calibri" w:hAnsi="Calibri"/>
                <w:color w:val="333333"/>
                <w:sz w:val="19"/>
              </w:rPr>
              <w:t>Supplier Power (Producers)</w:t>
            </w:r>
          </w:p>
        </w:tc>
        <w:tc>
          <w:tcPr>
            <w:tcW w:type="dxa" w:w="1440"/>
            <w:shd w:val="clear" w:color="auto" w:fill="F2F2F2"/>
            <w:vAlign w:val="center"/>
          </w:tcPr>
          <w:p>
            <w:pPr>
              <w:spacing w:before="0" w:after="40" w:line="276" w:lineRule="auto"/>
            </w:pPr>
            <w:r/>
            <w:r>
              <w:rPr>
                <w:rFonts w:ascii="Calibri" w:hAnsi="Calibri"/>
                <w:color w:val="333333"/>
                <w:sz w:val="19"/>
              </w:rPr>
              <w:t>3 — Moderate</w:t>
            </w:r>
          </w:p>
        </w:tc>
        <w:tc>
          <w:tcPr>
            <w:tcW w:type="dxa" w:w="5040"/>
            <w:shd w:val="clear" w:color="auto" w:fill="F2F2F2"/>
            <w:vAlign w:val="center"/>
          </w:tcPr>
          <w:p>
            <w:pPr>
              <w:spacing w:before="0" w:after="40" w:line="276" w:lineRule="auto"/>
            </w:pPr>
            <w:r/>
            <w:r>
              <w:rPr>
                <w:rFonts w:ascii="Calibri" w:hAnsi="Calibri"/>
                <w:color w:val="333333"/>
                <w:sz w:val="19"/>
              </w:rPr>
              <w:t>Fragmented producer base, but tight cattle numbers shift leverage</w:t>
            </w:r>
          </w:p>
        </w:tc>
      </w:tr>
      <w:tr>
        <w:tc>
          <w:tcPr>
            <w:tcW w:type="dxa" w:w="2592"/>
            <w:vAlign w:val="center"/>
          </w:tcPr>
          <w:p>
            <w:pPr>
              <w:spacing w:before="0" w:after="40" w:line="276" w:lineRule="auto"/>
            </w:pPr>
            <w:r/>
            <w:r>
              <w:rPr>
                <w:rFonts w:ascii="Calibri" w:hAnsi="Calibri"/>
                <w:color w:val="333333"/>
                <w:sz w:val="19"/>
              </w:rPr>
              <w:t>Threat of New Entrants</w:t>
            </w:r>
          </w:p>
        </w:tc>
        <w:tc>
          <w:tcPr>
            <w:tcW w:type="dxa" w:w="1440"/>
            <w:vAlign w:val="center"/>
          </w:tcPr>
          <w:p>
            <w:pPr>
              <w:spacing w:before="0" w:after="40" w:line="276" w:lineRule="auto"/>
            </w:pPr>
            <w:r/>
            <w:r>
              <w:rPr>
                <w:rFonts w:ascii="Calibri" w:hAnsi="Calibri"/>
                <w:color w:val="333333"/>
                <w:sz w:val="19"/>
              </w:rPr>
              <w:t>2 — Low</w:t>
            </w:r>
          </w:p>
        </w:tc>
        <w:tc>
          <w:tcPr>
            <w:tcW w:type="dxa" w:w="5040"/>
            <w:vAlign w:val="center"/>
          </w:tcPr>
          <w:p>
            <w:pPr>
              <w:spacing w:before="0" w:after="40" w:line="276" w:lineRule="auto"/>
            </w:pPr>
            <w:r/>
            <w:r>
              <w:rPr>
                <w:rFonts w:ascii="Calibri" w:hAnsi="Calibri"/>
                <w:color w:val="333333"/>
                <w:sz w:val="19"/>
              </w:rPr>
              <w:t>Regulatory barriers, relationship capital, bonding requirements</w:t>
            </w:r>
          </w:p>
        </w:tc>
      </w:tr>
      <w:tr>
        <w:tc>
          <w:tcPr>
            <w:tcW w:type="dxa" w:w="2592"/>
            <w:shd w:val="clear" w:color="auto" w:fill="F2F2F2"/>
            <w:vAlign w:val="center"/>
          </w:tcPr>
          <w:p>
            <w:pPr>
              <w:spacing w:before="0" w:after="40" w:line="276" w:lineRule="auto"/>
            </w:pPr>
            <w:r/>
            <w:r>
              <w:rPr>
                <w:rFonts w:ascii="Calibri" w:hAnsi="Calibri"/>
                <w:color w:val="333333"/>
                <w:sz w:val="19"/>
              </w:rPr>
              <w:t>Threat of Substitutes</w:t>
            </w:r>
          </w:p>
        </w:tc>
        <w:tc>
          <w:tcPr>
            <w:tcW w:type="dxa" w:w="1440"/>
            <w:shd w:val="clear" w:color="auto" w:fill="F2F2F2"/>
            <w:vAlign w:val="center"/>
          </w:tcPr>
          <w:p>
            <w:pPr>
              <w:spacing w:before="0" w:after="40" w:line="276" w:lineRule="auto"/>
            </w:pPr>
            <w:r/>
            <w:r>
              <w:rPr>
                <w:rFonts w:ascii="Calibri" w:hAnsi="Calibri"/>
                <w:color w:val="333333"/>
                <w:sz w:val="19"/>
              </w:rPr>
              <w:t>2 — Low</w:t>
            </w:r>
          </w:p>
        </w:tc>
        <w:tc>
          <w:tcPr>
            <w:tcW w:type="dxa" w:w="5040"/>
            <w:shd w:val="clear" w:color="auto" w:fill="F2F2F2"/>
            <w:vAlign w:val="center"/>
          </w:tcPr>
          <w:p>
            <w:pPr>
              <w:spacing w:before="0" w:after="40" w:line="276" w:lineRule="auto"/>
            </w:pPr>
            <w:r/>
            <w:r>
              <w:rPr>
                <w:rFonts w:ascii="Calibri" w:hAnsi="Calibri"/>
                <w:color w:val="333333"/>
                <w:sz w:val="19"/>
              </w:rPr>
              <w:t>Direct sale and online auctions growing but limited at scale</w:t>
            </w:r>
          </w:p>
        </w:tc>
      </w:tr>
      <w:tr>
        <w:tc>
          <w:tcPr>
            <w:tcW w:type="dxa" w:w="2592"/>
            <w:vAlign w:val="center"/>
          </w:tcPr>
          <w:p>
            <w:pPr>
              <w:spacing w:before="0" w:after="40" w:line="276" w:lineRule="auto"/>
            </w:pPr>
            <w:r/>
            <w:r>
              <w:rPr>
                <w:rFonts w:ascii="Calibri" w:hAnsi="Calibri"/>
                <w:color w:val="333333"/>
                <w:sz w:val="19"/>
              </w:rPr>
              <w:t>Competitive Rivalry</w:t>
            </w:r>
          </w:p>
        </w:tc>
        <w:tc>
          <w:tcPr>
            <w:tcW w:type="dxa" w:w="1440"/>
            <w:vAlign w:val="center"/>
          </w:tcPr>
          <w:p>
            <w:pPr>
              <w:spacing w:before="0" w:after="40" w:line="276" w:lineRule="auto"/>
            </w:pPr>
            <w:r/>
            <w:r>
              <w:rPr>
                <w:rFonts w:ascii="Calibri" w:hAnsi="Calibri"/>
                <w:color w:val="333333"/>
                <w:sz w:val="19"/>
              </w:rPr>
              <w:t>4 — High</w:t>
            </w:r>
          </w:p>
        </w:tc>
        <w:tc>
          <w:tcPr>
            <w:tcW w:type="dxa" w:w="5040"/>
            <w:vAlign w:val="center"/>
          </w:tcPr>
          <w:p>
            <w:pPr>
              <w:spacing w:before="0" w:after="40" w:line="276" w:lineRule="auto"/>
            </w:pPr>
            <w:r/>
            <w:r>
              <w:rPr>
                <w:rFonts w:ascii="Calibri" w:hAnsi="Calibri"/>
                <w:color w:val="333333"/>
                <w:sz w:val="19"/>
              </w:rPr>
              <w:t>Multiple cooperatives, regional auctions, video marketers</w:t>
            </w:r>
          </w:p>
        </w:tc>
      </w:tr>
    </w:tbl>
    <w:p>
      <w:pPr>
        <w:spacing w:before="0" w:after="160" w:line="288" w:lineRule="auto"/>
      </w:pPr>
      <w:r>
        <w:rPr>
          <w:rFonts w:ascii="Calibri" w:hAnsi="Calibri"/>
          <w:b w:val="0"/>
          <w:i w:val="0"/>
        </w:rPr>
      </w:r>
    </w:p>
    <w:p>
      <w:pPr>
        <w:pStyle w:val="Heading2"/>
        <w:spacing w:before="280" w:after="120" w:line="276" w:lineRule="auto"/>
      </w:pPr>
      <w:r>
        <w:t>5.2 SWOT Analysis</w:t>
      </w:r>
    </w:p>
    <w:p>
      <w:pPr>
        <w:jc w:val="center"/>
      </w:pPr>
      <w:r>
        <w:drawing>
          <wp:inline xmlns:a="http://schemas.openxmlformats.org/drawingml/2006/main" xmlns:pic="http://schemas.openxmlformats.org/drawingml/2006/picture">
            <wp:extent cx="5943600" cy="4447414"/>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4447414"/>
                    </a:xfrm>
                    <a:prstGeom prst="rect"/>
                  </pic:spPr>
                </pic:pic>
              </a:graphicData>
            </a:graphic>
          </wp:inline>
        </w:drawing>
      </w:r>
    </w:p>
    <w:p>
      <w:pPr>
        <w:spacing w:before="0" w:after="240" w:line="276" w:lineRule="auto"/>
        <w:jc w:val="center"/>
      </w:pPr>
      <w:r>
        <w:rPr>
          <w:rFonts w:ascii="Calibri" w:hAnsi="Calibri"/>
          <w:i/>
          <w:color w:val="666666"/>
          <w:sz w:val="18"/>
        </w:rPr>
        <w:t>Exhibit: PLMA's strengths in trust and market access must offset weaknesses in analytics and technology.</w:t>
      </w:r>
    </w:p>
    <w:p>
      <w:pPr>
        <w:pStyle w:val="Heading2"/>
        <w:spacing w:before="280" w:after="120" w:line="276" w:lineRule="auto"/>
      </w:pPr>
      <w:r>
        <w:t>5.3 Risk Appetite Framework (ISO 31000)</w:t>
      </w:r>
    </w:p>
    <w:p>
      <w:pPr>
        <w:spacing w:before="0" w:after="160" w:line="300" w:lineRule="auto"/>
      </w:pPr>
      <w:r>
        <w:rPr>
          <w:rFonts w:ascii="Calibri" w:hAnsi="Calibri"/>
          <w:b w:val="0"/>
          <w:i w:val="0"/>
          <w:sz w:val="21"/>
        </w:rPr>
        <w:t>We recommend PLMA formalize a Risk Appetite Statement aligned to ISO 31000:2018 principles, articulating quantitative tolerances for each material risk category.</w:t>
      </w:r>
    </w:p>
    <w:tbl>
      <w:tblPr>
        <w:tblW w:type="auto" w:w="0"/>
        <w:jc w:val="center"/>
        <w:tblLook w:firstColumn="1" w:firstRow="1" w:lastColumn="0" w:lastRow="0" w:noHBand="0" w:noVBand="1" w:val="04A0"/>
      </w:tblPr>
      <w:tblGrid>
        <w:gridCol w:w="3120"/>
        <w:gridCol w:w="3120"/>
        <w:gridCol w:w="3120"/>
      </w:tblGrid>
      <w:tr>
        <w:tc>
          <w:tcPr>
            <w:tcW w:type="dxa" w:w="2448"/>
            <w:shd w:val="clear" w:color="auto" w:fill="003A70"/>
            <w:vAlign w:val="center"/>
          </w:tcPr>
          <w:p>
            <w:pPr>
              <w:spacing w:before="0" w:after="40" w:line="276" w:lineRule="auto"/>
            </w:pPr>
            <w:r/>
            <w:r>
              <w:rPr>
                <w:rFonts w:ascii="Calibri" w:hAnsi="Calibri"/>
                <w:b/>
                <w:color w:val="FFFFFF"/>
                <w:sz w:val="19"/>
              </w:rPr>
              <w:t>Risk Category</w:t>
            </w:r>
          </w:p>
        </w:tc>
        <w:tc>
          <w:tcPr>
            <w:tcW w:type="dxa" w:w="2880"/>
            <w:shd w:val="clear" w:color="auto" w:fill="003A70"/>
            <w:vAlign w:val="center"/>
          </w:tcPr>
          <w:p>
            <w:pPr>
              <w:spacing w:before="0" w:after="40" w:line="276" w:lineRule="auto"/>
            </w:pPr>
            <w:r/>
            <w:r>
              <w:rPr>
                <w:rFonts w:ascii="Calibri" w:hAnsi="Calibri"/>
                <w:b/>
                <w:color w:val="FFFFFF"/>
                <w:sz w:val="19"/>
              </w:rPr>
              <w:t>Risk Tolerance</w:t>
            </w:r>
          </w:p>
        </w:tc>
        <w:tc>
          <w:tcPr>
            <w:tcW w:type="dxa" w:w="3744"/>
            <w:shd w:val="clear" w:color="auto" w:fill="003A70"/>
            <w:vAlign w:val="center"/>
          </w:tcPr>
          <w:p>
            <w:pPr>
              <w:spacing w:before="0" w:after="40" w:line="276" w:lineRule="auto"/>
            </w:pPr>
            <w:r/>
            <w:r>
              <w:rPr>
                <w:rFonts w:ascii="Calibri" w:hAnsi="Calibri"/>
                <w:b/>
                <w:color w:val="FFFFFF"/>
                <w:sz w:val="19"/>
              </w:rPr>
              <w:t>Escalation Threshold</w:t>
            </w:r>
          </w:p>
        </w:tc>
      </w:tr>
      <w:tr>
        <w:tc>
          <w:tcPr>
            <w:tcW w:type="dxa" w:w="2448"/>
            <w:vAlign w:val="center"/>
          </w:tcPr>
          <w:p>
            <w:pPr>
              <w:spacing w:before="0" w:after="40" w:line="276" w:lineRule="auto"/>
            </w:pPr>
            <w:r/>
            <w:r>
              <w:rPr>
                <w:rFonts w:ascii="Calibri" w:hAnsi="Calibri"/>
                <w:color w:val="333333"/>
                <w:sz w:val="19"/>
              </w:rPr>
              <w:t>Single counterparty exposure</w:t>
            </w:r>
          </w:p>
        </w:tc>
        <w:tc>
          <w:tcPr>
            <w:tcW w:type="dxa" w:w="2880"/>
            <w:vAlign w:val="center"/>
          </w:tcPr>
          <w:p>
            <w:pPr>
              <w:spacing w:before="0" w:after="40" w:line="276" w:lineRule="auto"/>
            </w:pPr>
            <w:r/>
            <w:r>
              <w:rPr>
                <w:rFonts w:ascii="Calibri" w:hAnsi="Calibri"/>
                <w:color w:val="333333"/>
                <w:sz w:val="19"/>
              </w:rPr>
              <w:t>≤10% of equity / $15M cap</w:t>
            </w:r>
          </w:p>
        </w:tc>
        <w:tc>
          <w:tcPr>
            <w:tcW w:type="dxa" w:w="3744"/>
            <w:vAlign w:val="center"/>
          </w:tcPr>
          <w:p>
            <w:pPr>
              <w:spacing w:before="0" w:after="40" w:line="276" w:lineRule="auto"/>
            </w:pPr>
            <w:r/>
            <w:r>
              <w:rPr>
                <w:rFonts w:ascii="Calibri" w:hAnsi="Calibri"/>
                <w:color w:val="333333"/>
                <w:sz w:val="19"/>
              </w:rPr>
              <w:t>Any exposure &gt;$10M triggers Risk Committee review</w:t>
            </w:r>
          </w:p>
        </w:tc>
      </w:tr>
      <w:tr>
        <w:tc>
          <w:tcPr>
            <w:tcW w:type="dxa" w:w="2448"/>
            <w:shd w:val="clear" w:color="auto" w:fill="F2F2F2"/>
            <w:vAlign w:val="center"/>
          </w:tcPr>
          <w:p>
            <w:pPr>
              <w:spacing w:before="0" w:after="40" w:line="276" w:lineRule="auto"/>
            </w:pPr>
            <w:r/>
            <w:r>
              <w:rPr>
                <w:rFonts w:ascii="Calibri" w:hAnsi="Calibri"/>
                <w:color w:val="333333"/>
                <w:sz w:val="19"/>
              </w:rPr>
              <w:t>Top-10 concentration</w:t>
            </w:r>
          </w:p>
        </w:tc>
        <w:tc>
          <w:tcPr>
            <w:tcW w:type="dxa" w:w="2880"/>
            <w:shd w:val="clear" w:color="auto" w:fill="F2F2F2"/>
            <w:vAlign w:val="center"/>
          </w:tcPr>
          <w:p>
            <w:pPr>
              <w:spacing w:before="0" w:after="40" w:line="276" w:lineRule="auto"/>
            </w:pPr>
            <w:r/>
            <w:r>
              <w:rPr>
                <w:rFonts w:ascii="Calibri" w:hAnsi="Calibri"/>
                <w:color w:val="333333"/>
                <w:sz w:val="19"/>
              </w:rPr>
              <w:t>≤50% of total receivables</w:t>
            </w:r>
          </w:p>
        </w:tc>
        <w:tc>
          <w:tcPr>
            <w:tcW w:type="dxa" w:w="3744"/>
            <w:shd w:val="clear" w:color="auto" w:fill="F2F2F2"/>
            <w:vAlign w:val="center"/>
          </w:tcPr>
          <w:p>
            <w:pPr>
              <w:spacing w:before="0" w:after="40" w:line="276" w:lineRule="auto"/>
            </w:pPr>
            <w:r/>
            <w:r>
              <w:rPr>
                <w:rFonts w:ascii="Calibri" w:hAnsi="Calibri"/>
                <w:color w:val="333333"/>
                <w:sz w:val="19"/>
              </w:rPr>
              <w:t>Breach triggers diversification action plan</w:t>
            </w:r>
          </w:p>
        </w:tc>
      </w:tr>
      <w:tr>
        <w:tc>
          <w:tcPr>
            <w:tcW w:type="dxa" w:w="2448"/>
            <w:vAlign w:val="center"/>
          </w:tcPr>
          <w:p>
            <w:pPr>
              <w:spacing w:before="0" w:after="40" w:line="276" w:lineRule="auto"/>
            </w:pPr>
            <w:r/>
            <w:r>
              <w:rPr>
                <w:rFonts w:ascii="Calibri" w:hAnsi="Calibri"/>
                <w:color w:val="333333"/>
                <w:sz w:val="19"/>
              </w:rPr>
              <w:t>Segment concentration</w:t>
            </w:r>
          </w:p>
        </w:tc>
        <w:tc>
          <w:tcPr>
            <w:tcW w:type="dxa" w:w="2880"/>
            <w:vAlign w:val="center"/>
          </w:tcPr>
          <w:p>
            <w:pPr>
              <w:spacing w:before="0" w:after="40" w:line="276" w:lineRule="auto"/>
            </w:pPr>
            <w:r/>
            <w:r>
              <w:rPr>
                <w:rFonts w:ascii="Calibri" w:hAnsi="Calibri"/>
                <w:color w:val="333333"/>
                <w:sz w:val="19"/>
              </w:rPr>
              <w:t>≤40% in any single segment</w:t>
            </w:r>
          </w:p>
        </w:tc>
        <w:tc>
          <w:tcPr>
            <w:tcW w:type="dxa" w:w="3744"/>
            <w:vAlign w:val="center"/>
          </w:tcPr>
          <w:p>
            <w:pPr>
              <w:spacing w:before="0" w:after="40" w:line="276" w:lineRule="auto"/>
            </w:pPr>
            <w:r/>
            <w:r>
              <w:rPr>
                <w:rFonts w:ascii="Calibri" w:hAnsi="Calibri"/>
                <w:color w:val="333333"/>
                <w:sz w:val="19"/>
              </w:rPr>
              <w:t>Breach triggers 12-month rebalancing plan</w:t>
            </w:r>
          </w:p>
        </w:tc>
      </w:tr>
      <w:tr>
        <w:tc>
          <w:tcPr>
            <w:tcW w:type="dxa" w:w="2448"/>
            <w:shd w:val="clear" w:color="auto" w:fill="F2F2F2"/>
            <w:vAlign w:val="center"/>
          </w:tcPr>
          <w:p>
            <w:pPr>
              <w:spacing w:before="0" w:after="40" w:line="276" w:lineRule="auto"/>
            </w:pPr>
            <w:r/>
            <w:r>
              <w:rPr>
                <w:rFonts w:ascii="Calibri" w:hAnsi="Calibri"/>
                <w:color w:val="333333"/>
                <w:sz w:val="19"/>
              </w:rPr>
              <w:t>Annual credit losses</w:t>
            </w:r>
          </w:p>
        </w:tc>
        <w:tc>
          <w:tcPr>
            <w:tcW w:type="dxa" w:w="2880"/>
            <w:shd w:val="clear" w:color="auto" w:fill="F2F2F2"/>
            <w:vAlign w:val="center"/>
          </w:tcPr>
          <w:p>
            <w:pPr>
              <w:spacing w:before="0" w:after="40" w:line="276" w:lineRule="auto"/>
            </w:pPr>
            <w:r/>
            <w:r>
              <w:rPr>
                <w:rFonts w:ascii="Calibri" w:hAnsi="Calibri"/>
                <w:color w:val="333333"/>
                <w:sz w:val="19"/>
              </w:rPr>
              <w:t>≤1.5% of commission revenue</w:t>
            </w:r>
          </w:p>
        </w:tc>
        <w:tc>
          <w:tcPr>
            <w:tcW w:type="dxa" w:w="3744"/>
            <w:shd w:val="clear" w:color="auto" w:fill="F2F2F2"/>
            <w:vAlign w:val="center"/>
          </w:tcPr>
          <w:p>
            <w:pPr>
              <w:spacing w:before="0" w:after="40" w:line="276" w:lineRule="auto"/>
            </w:pPr>
            <w:r/>
            <w:r>
              <w:rPr>
                <w:rFonts w:ascii="Calibri" w:hAnsi="Calibri"/>
                <w:color w:val="333333"/>
                <w:sz w:val="19"/>
              </w:rPr>
              <w:t>Breach triggers underwriting tightening</w:t>
            </w:r>
          </w:p>
        </w:tc>
      </w:tr>
      <w:tr>
        <w:tc>
          <w:tcPr>
            <w:tcW w:type="dxa" w:w="2448"/>
            <w:vAlign w:val="center"/>
          </w:tcPr>
          <w:p>
            <w:pPr>
              <w:spacing w:before="0" w:after="40" w:line="276" w:lineRule="auto"/>
            </w:pPr>
            <w:r/>
            <w:r>
              <w:rPr>
                <w:rFonts w:ascii="Calibri" w:hAnsi="Calibri"/>
                <w:color w:val="333333"/>
                <w:sz w:val="19"/>
              </w:rPr>
              <w:t>Cost of carry volatility</w:t>
            </w:r>
          </w:p>
        </w:tc>
        <w:tc>
          <w:tcPr>
            <w:tcW w:type="dxa" w:w="2880"/>
            <w:vAlign w:val="center"/>
          </w:tcPr>
          <w:p>
            <w:pPr>
              <w:spacing w:before="0" w:after="40" w:line="276" w:lineRule="auto"/>
            </w:pPr>
            <w:r/>
            <w:r>
              <w:rPr>
                <w:rFonts w:ascii="Calibri" w:hAnsi="Calibri"/>
                <w:color w:val="333333"/>
                <w:sz w:val="19"/>
              </w:rPr>
              <w:t>≤$500K/year swing</w:t>
            </w:r>
          </w:p>
        </w:tc>
        <w:tc>
          <w:tcPr>
            <w:tcW w:type="dxa" w:w="3744"/>
            <w:vAlign w:val="center"/>
          </w:tcPr>
          <w:p>
            <w:pPr>
              <w:spacing w:before="0" w:after="40" w:line="276" w:lineRule="auto"/>
            </w:pPr>
            <w:r/>
            <w:r>
              <w:rPr>
                <w:rFonts w:ascii="Calibri" w:hAnsi="Calibri"/>
                <w:color w:val="333333"/>
                <w:sz w:val="19"/>
              </w:rPr>
              <w:t>Breach triggers hedging program review</w:t>
            </w:r>
          </w:p>
        </w:tc>
      </w:tr>
    </w:tbl>
    <w:p>
      <w:pPr>
        <w:spacing w:before="0" w:after="160" w:line="288" w:lineRule="auto"/>
      </w:pPr>
      <w:r>
        <w:rPr>
          <w:rFonts w:ascii="Calibri" w:hAnsi="Calibri"/>
          <w:b w:val="0"/>
          <w:i w:val="0"/>
        </w:rPr>
      </w:r>
    </w:p>
    <w:p>
      <w:pPr>
        <w:pStyle w:val="Heading2"/>
        <w:spacing w:before="280" w:after="120" w:line="276" w:lineRule="auto"/>
      </w:pPr>
      <w:r>
        <w:t>5.4 Ansoff Growth-Risk Matrix</w:t>
      </w:r>
    </w:p>
    <w:p>
      <w:pPr>
        <w:spacing w:before="0" w:after="160" w:line="300" w:lineRule="auto"/>
      </w:pPr>
      <w:r>
        <w:rPr>
          <w:rFonts w:ascii="Calibri" w:hAnsi="Calibri"/>
          <w:b w:val="0"/>
          <w:i w:val="0"/>
          <w:sz w:val="21"/>
        </w:rPr>
        <w:t>The Ansoff Matrix maps diversification options across existing vs. new markets and products, providing a structured view of strategic growth vectors that simultaneously reduce concentration risk.</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003A70"/>
            <w:vAlign w:val="center"/>
          </w:tcPr>
          <w:p>
            <w:pPr>
              <w:spacing w:before="0" w:after="40" w:line="276" w:lineRule="auto"/>
            </w:pPr>
            <w:r/>
            <w:r>
              <w:rPr>
                <w:rFonts w:ascii="Calibri" w:hAnsi="Calibri"/>
                <w:b/>
                <w:color w:val="FFFFFF"/>
                <w:sz w:val="19"/>
              </w:rPr>
            </w:r>
          </w:p>
        </w:tc>
        <w:tc>
          <w:tcPr>
            <w:tcW w:type="dxa" w:w="3744"/>
            <w:shd w:val="clear" w:color="auto" w:fill="003A70"/>
            <w:vAlign w:val="center"/>
          </w:tcPr>
          <w:p>
            <w:pPr>
              <w:spacing w:before="0" w:after="40" w:line="276" w:lineRule="auto"/>
            </w:pPr>
            <w:r/>
            <w:r>
              <w:rPr>
                <w:rFonts w:ascii="Calibri" w:hAnsi="Calibri"/>
                <w:b/>
                <w:color w:val="FFFFFF"/>
                <w:sz w:val="19"/>
              </w:rPr>
              <w:t>Existing Products</w:t>
            </w:r>
          </w:p>
        </w:tc>
        <w:tc>
          <w:tcPr>
            <w:tcW w:type="dxa" w:w="3744"/>
            <w:shd w:val="clear" w:color="auto" w:fill="003A70"/>
            <w:vAlign w:val="center"/>
          </w:tcPr>
          <w:p>
            <w:pPr>
              <w:spacing w:before="0" w:after="40" w:line="276" w:lineRule="auto"/>
            </w:pPr>
            <w:r/>
            <w:r>
              <w:rPr>
                <w:rFonts w:ascii="Calibri" w:hAnsi="Calibri"/>
                <w:b/>
                <w:color w:val="FFFFFF"/>
                <w:sz w:val="19"/>
              </w:rPr>
              <w:t>New Products</w:t>
            </w:r>
          </w:p>
        </w:tc>
      </w:tr>
      <w:tr>
        <w:tc>
          <w:tcPr>
            <w:tcW w:type="dxa" w:w="1728"/>
            <w:vAlign w:val="center"/>
          </w:tcPr>
          <w:p>
            <w:pPr>
              <w:spacing w:before="0" w:after="40" w:line="276" w:lineRule="auto"/>
            </w:pPr>
            <w:r/>
            <w:r>
              <w:rPr>
                <w:rFonts w:ascii="Calibri" w:hAnsi="Calibri"/>
                <w:color w:val="333333"/>
                <w:sz w:val="19"/>
              </w:rPr>
              <w:t>Existing Markets</w:t>
            </w:r>
          </w:p>
        </w:tc>
        <w:tc>
          <w:tcPr>
            <w:tcW w:type="dxa" w:w="3744"/>
            <w:vAlign w:val="center"/>
          </w:tcPr>
          <w:p>
            <w:pPr>
              <w:spacing w:before="0" w:after="40" w:line="276" w:lineRule="auto"/>
            </w:pPr>
            <w:r/>
            <w:r>
              <w:rPr>
                <w:rFonts w:ascii="Calibri" w:hAnsi="Calibri"/>
                <w:color w:val="333333"/>
                <w:sz w:val="19"/>
              </w:rPr>
              <w:t>Market Penetration: Deeper credit services to existing members; tiered pricing</w:t>
            </w:r>
          </w:p>
        </w:tc>
        <w:tc>
          <w:tcPr>
            <w:tcW w:type="dxa" w:w="3744"/>
            <w:vAlign w:val="center"/>
          </w:tcPr>
          <w:p>
            <w:pPr>
              <w:spacing w:before="0" w:after="40" w:line="276" w:lineRule="auto"/>
            </w:pPr>
            <w:r/>
            <w:r>
              <w:rPr>
                <w:rFonts w:ascii="Calibri" w:hAnsi="Calibri"/>
                <w:color w:val="333333"/>
                <w:sz w:val="19"/>
              </w:rPr>
              <w:t>Product Development: Hedging advisory, insurance brokerage, risk analytics-as-a-service</w:t>
            </w:r>
          </w:p>
        </w:tc>
      </w:tr>
      <w:tr>
        <w:tc>
          <w:tcPr>
            <w:tcW w:type="dxa" w:w="1728"/>
            <w:shd w:val="clear" w:color="auto" w:fill="F2F2F2"/>
            <w:vAlign w:val="center"/>
          </w:tcPr>
          <w:p>
            <w:pPr>
              <w:spacing w:before="0" w:after="40" w:line="276" w:lineRule="auto"/>
            </w:pPr>
            <w:r/>
            <w:r>
              <w:rPr>
                <w:rFonts w:ascii="Calibri" w:hAnsi="Calibri"/>
                <w:color w:val="333333"/>
                <w:sz w:val="19"/>
              </w:rPr>
              <w:t>New Markets</w:t>
            </w:r>
          </w:p>
        </w:tc>
        <w:tc>
          <w:tcPr>
            <w:tcW w:type="dxa" w:w="3744"/>
            <w:shd w:val="clear" w:color="auto" w:fill="F2F2F2"/>
            <w:vAlign w:val="center"/>
          </w:tcPr>
          <w:p>
            <w:pPr>
              <w:spacing w:before="0" w:after="40" w:line="276" w:lineRule="auto"/>
            </w:pPr>
            <w:r/>
            <w:r>
              <w:rPr>
                <w:rFonts w:ascii="Calibri" w:hAnsi="Calibri"/>
                <w:color w:val="333333"/>
                <w:sz w:val="19"/>
              </w:rPr>
              <w:t>Market Development: Geographic expansion into underserved regions</w:t>
            </w:r>
          </w:p>
        </w:tc>
        <w:tc>
          <w:tcPr>
            <w:tcW w:type="dxa" w:w="3744"/>
            <w:shd w:val="clear" w:color="auto" w:fill="F2F2F2"/>
            <w:vAlign w:val="center"/>
          </w:tcPr>
          <w:p>
            <w:pPr>
              <w:spacing w:before="0" w:after="40" w:line="276" w:lineRule="auto"/>
            </w:pPr>
            <w:r/>
            <w:r>
              <w:rPr>
                <w:rFonts w:ascii="Calibri" w:hAnsi="Calibri"/>
                <w:color w:val="333333"/>
                <w:sz w:val="19"/>
              </w:rPr>
              <w:t>Diversification: Technology platform licensing, fee-based advisory</w:t>
            </w:r>
          </w:p>
        </w:tc>
      </w:tr>
    </w:tbl>
    <w:p>
      <w:pPr>
        <w:spacing w:before="0" w:after="160" w:line="288" w:lineRule="auto"/>
      </w:pPr>
      <w:r>
        <w:rPr>
          <w:rFonts w:ascii="Calibri" w:hAnsi="Calibri"/>
          <w:b w:val="0"/>
          <w:i w:val="0"/>
        </w:rPr>
      </w:r>
    </w:p>
    <w:p>
      <w:pPr>
        <w:pStyle w:val="Heading2"/>
        <w:spacing w:before="280" w:after="120" w:line="276" w:lineRule="auto"/>
      </w:pPr>
      <w:r>
        <w:t>5.5 Scenario Planning Matrix</w:t>
      </w:r>
    </w:p>
    <w:p>
      <w:pPr>
        <w:spacing w:before="0" w:after="160" w:line="300" w:lineRule="auto"/>
      </w:pPr>
      <w:r>
        <w:rPr>
          <w:rFonts w:ascii="Calibri" w:hAnsi="Calibri"/>
          <w:b w:val="0"/>
          <w:i w:val="0"/>
          <w:sz w:val="21"/>
        </w:rPr>
        <w:t>We model four scenarios built on two axes: (i) farm bankruptcy rate trajectory, and (ii) cattle cycle recovery timing. Scenarios are designed to stress-test strategy and calibrate financial provisioning.</w:t>
      </w:r>
    </w:p>
    <w:p>
      <w:pPr>
        <w:jc w:val="center"/>
      </w:pPr>
      <w:r>
        <w:drawing>
          <wp:inline xmlns:a="http://schemas.openxmlformats.org/drawingml/2006/main" xmlns:pic="http://schemas.openxmlformats.org/drawingml/2006/picture">
            <wp:extent cx="5943600" cy="3492344"/>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492344"/>
                    </a:xfrm>
                    <a:prstGeom prst="rect"/>
                  </pic:spPr>
                </pic:pic>
              </a:graphicData>
            </a:graphic>
          </wp:inline>
        </w:drawing>
      </w:r>
    </w:p>
    <w:p>
      <w:pPr>
        <w:spacing w:before="0" w:after="240" w:line="276" w:lineRule="auto"/>
        <w:jc w:val="center"/>
      </w:pPr>
      <w:r>
        <w:rPr>
          <w:rFonts w:ascii="Calibri" w:hAnsi="Calibri"/>
          <w:i/>
          <w:color w:val="666666"/>
          <w:sz w:val="18"/>
        </w:rPr>
        <w:t>Exhibit: Systemic Crisis scenario implies -9.2% net margin and $38M in credit losses.</w:t>
      </w:r>
      <w:r>
        <w:rPr>
          <w:color w:val="0078D4"/>
          <w:sz w:val="16"/>
          <w:vertAlign w:val="superscript"/>
        </w:rPr>
        <w:t xml:space="preserve"> [22]</w:t>
      </w:r>
    </w:p>
    <w:p>
      <w:r>
        <w:br w:type="page"/>
      </w:r>
    </w:p>
    <w:p>
      <w:pPr>
        <w:pStyle w:val="Heading1"/>
        <w:spacing w:before="0" w:after="240" w:line="276" w:lineRule="auto"/>
        <w:pBdr>
          <w:bottom w:val="single" w:sz="12" w:space="4" w:color="003A70"/>
        </w:pBdr>
      </w:pPr>
      <w:r>
        <w:t>6. Mitigation Strategy &amp; Implementation Roadmap</w:t>
      </w:r>
    </w:p>
    <w:p>
      <w:pPr>
        <w:spacing w:before="0" w:after="160" w:line="300" w:lineRule="auto"/>
      </w:pPr>
      <w:r>
        <w:rPr>
          <w:rFonts w:ascii="Calibri" w:hAnsi="Calibri"/>
          <w:b w:val="0"/>
          <w:i w:val="0"/>
          <w:sz w:val="21"/>
        </w:rPr>
        <w:t>We propose a four-pillar mitigation architecture, sequenced across the McKinsey Three Horizons framework. Horizon 1 focuses on stabilizing the current exposure through analytical infrastructure and insurance. Horizon 2 builds strategic capabilities. Horizon 3 transforms PLMA's business model to generate resilience through diversification.</w:t>
      </w:r>
    </w:p>
    <w:p>
      <w:pPr>
        <w:jc w:val="center"/>
      </w:pPr>
      <w:r>
        <w:drawing>
          <wp:inline xmlns:a="http://schemas.openxmlformats.org/drawingml/2006/main" xmlns:pic="http://schemas.openxmlformats.org/drawingml/2006/picture">
            <wp:extent cx="5943600" cy="3486305"/>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486305"/>
                    </a:xfrm>
                    <a:prstGeom prst="rect"/>
                  </pic:spPr>
                </pic:pic>
              </a:graphicData>
            </a:graphic>
          </wp:inline>
        </w:drawing>
      </w:r>
    </w:p>
    <w:p>
      <w:pPr>
        <w:spacing w:before="0" w:after="240" w:line="276" w:lineRule="auto"/>
        <w:jc w:val="center"/>
      </w:pPr>
      <w:r>
        <w:rPr>
          <w:rFonts w:ascii="Calibri" w:hAnsi="Calibri"/>
          <w:i/>
          <w:color w:val="666666"/>
          <w:sz w:val="18"/>
        </w:rPr>
        <w:t>Exhibit: 12 workstreams sequenced across 10 years, mapped to Three Horizons.</w:t>
      </w:r>
    </w:p>
    <w:p>
      <w:pPr>
        <w:pStyle w:val="Heading2"/>
        <w:spacing w:before="280" w:after="120" w:line="276" w:lineRule="auto"/>
      </w:pPr>
      <w:r>
        <w:t>6.1 Credit Risk Mitigation Toolkit (Horizon 1)</w:t>
      </w:r>
    </w:p>
    <w:p>
      <w:pPr>
        <w:pStyle w:val="Heading3"/>
        <w:spacing w:before="200" w:after="80" w:line="276" w:lineRule="auto"/>
      </w:pPr>
      <w:r>
        <w:t>6.1.1 Counterparty Credit Scoring Model</w:t>
      </w:r>
    </w:p>
    <w:p>
      <w:pPr>
        <w:spacing w:before="0" w:after="160" w:line="300" w:lineRule="auto"/>
      </w:pPr>
      <w:r>
        <w:rPr>
          <w:rFonts w:ascii="Calibri" w:hAnsi="Calibri"/>
          <w:b w:val="0"/>
          <w:i w:val="0"/>
          <w:sz w:val="21"/>
        </w:rPr>
        <w:t>Deploy a v1 quantitative credit scoring model within 9 months, using standard financial ratios (current ratio, debt service coverage, interest coverage), payment history, industry benchmarks, and qualitative overlays. Score counterparties on a 1–10 scale mapped to probability-of-default tiers.</w:t>
      </w:r>
    </w:p>
    <w:p>
      <w:pPr>
        <w:pStyle w:val="ListBullet"/>
        <w:spacing w:before="0" w:after="80" w:line="288" w:lineRule="auto"/>
      </w:pPr>
      <w:r>
        <w:rPr>
          <w:rFonts w:ascii="Calibri" w:hAnsi="Calibri"/>
          <w:b/>
          <w:color w:val="003A70"/>
          <w:sz w:val="21"/>
        </w:rPr>
        <w:t xml:space="preserve">Build cost: </w:t>
      </w:r>
      <w:r>
        <w:rPr>
          <w:rFonts w:ascii="Calibri" w:hAnsi="Calibri"/>
          <w:color w:val="333333"/>
          <w:sz w:val="21"/>
        </w:rPr>
        <w:t>$350K (v1), $275K analytics platform</w:t>
      </w:r>
    </w:p>
    <w:p>
      <w:pPr>
        <w:pStyle w:val="ListBullet"/>
        <w:spacing w:before="0" w:after="80" w:line="288" w:lineRule="auto"/>
      </w:pPr>
      <w:r>
        <w:rPr>
          <w:rFonts w:ascii="Calibri" w:hAnsi="Calibri"/>
          <w:b/>
          <w:color w:val="003A70"/>
          <w:sz w:val="21"/>
        </w:rPr>
        <w:t xml:space="preserve">Data sources: </w:t>
      </w:r>
      <w:r>
        <w:rPr>
          <w:rFonts w:ascii="Calibri" w:hAnsi="Calibri"/>
          <w:color w:val="333333"/>
          <w:sz w:val="21"/>
        </w:rPr>
        <w:t>Financial statements, Paynet payment data, S&amp;P Market Intelligence</w:t>
      </w:r>
    </w:p>
    <w:p>
      <w:pPr>
        <w:pStyle w:val="ListBullet"/>
        <w:spacing w:before="0" w:after="80" w:line="288" w:lineRule="auto"/>
      </w:pPr>
      <w:r>
        <w:rPr>
          <w:rFonts w:ascii="Calibri" w:hAnsi="Calibri"/>
          <w:b/>
          <w:color w:val="003A70"/>
          <w:sz w:val="21"/>
        </w:rPr>
        <w:t xml:space="preserve">Refresh cadence: </w:t>
      </w:r>
      <w:r>
        <w:rPr>
          <w:rFonts w:ascii="Calibri" w:hAnsi="Calibri"/>
          <w:color w:val="333333"/>
          <w:sz w:val="21"/>
        </w:rPr>
        <w:t>Quarterly scoring, monthly payment monitoring</w:t>
      </w:r>
    </w:p>
    <w:p>
      <w:pPr>
        <w:pStyle w:val="Heading3"/>
        <w:spacing w:before="200" w:after="80" w:line="276" w:lineRule="auto"/>
      </w:pPr>
      <w:r>
        <w:t>6.1.2 Tiered Credit Limits</w:t>
      </w:r>
    </w:p>
    <w:p>
      <w:pPr>
        <w:spacing w:before="0" w:after="160" w:line="300" w:lineRule="auto"/>
      </w:pPr>
      <w:r>
        <w:rPr>
          <w:rFonts w:ascii="Calibri" w:hAnsi="Calibri"/>
          <w:b w:val="0"/>
          <w:i w:val="0"/>
          <w:sz w:val="21"/>
        </w:rPr>
        <w:t>Move from relationship-based to quantitative credit limits. Set exposure caps as a function of credit score, counterparty equity, and PLMA's single-counterparty limit. Require Risk Committee approval for limits above $10M.</w:t>
      </w:r>
    </w:p>
    <w:p>
      <w:pPr>
        <w:pStyle w:val="Heading3"/>
        <w:spacing w:before="200" w:after="80" w:line="276" w:lineRule="auto"/>
      </w:pPr>
      <w:r>
        <w:t>6.1.3 Trade Credit Insurance Program</w:t>
      </w:r>
    </w:p>
    <w:p>
      <w:pPr>
        <w:spacing w:before="0" w:after="160" w:line="300" w:lineRule="auto"/>
      </w:pPr>
      <w:r>
        <w:rPr>
          <w:rFonts w:ascii="Calibri" w:hAnsi="Calibri"/>
          <w:b w:val="0"/>
          <w:i w:val="0"/>
          <w:sz w:val="21"/>
        </w:rPr>
        <w:t>Procure trade credit insurance covering the top 40–50% of buyer exposure (highest-concentration accounts). Typical premium: 30–60 bps of insured exposure. Net of deductibles and coverage gaps, estimated net loss avoidance: $1.3M/year.</w:t>
      </w:r>
    </w:p>
    <w:tbl>
      <w:tblPr>
        <w:tblW w:type="auto" w:w="0"/>
        <w:tblLook w:firstColumn="1" w:firstRow="1" w:lastColumn="0" w:lastRow="0" w:noHBand="0" w:noVBand="1" w:val="04A0"/>
      </w:tblPr>
      <w:tblGrid>
        <w:gridCol w:w="9360"/>
      </w:tblGrid>
      <w:tr>
        <w:tc>
          <w:tcPr>
            <w:tcW w:type="dxa" w:w="9360"/>
            <w:shd w:val="clear" w:color="auto" w:fill="DEEBF7"/>
            <w:tcBorders>
              <w:top w:val="single" w:sz="4" w:color="003A70" w:space="0"/>
              <w:left w:val="single" w:sz="36" w:color="003A70" w:space="0"/>
              <w:bottom w:val="single" w:sz="4" w:color="003A70" w:space="0"/>
              <w:right w:val="single" w:sz="4" w:color="003A70" w:space="0"/>
            </w:tcBorders>
          </w:tcPr>
          <w:p>
            <w:pPr>
              <w:spacing w:before="0" w:after="60" w:line="276" w:lineRule="auto"/>
            </w:pPr>
            <w:r/>
            <w:r>
              <w:rPr>
                <w:rFonts w:ascii="Calibri" w:hAnsi="Calibri"/>
                <w:b/>
                <w:color w:val="003A70"/>
                <w:sz w:val="18"/>
              </w:rPr>
              <w:t>IMPLEMENTATION NOTE</w:t>
            </w:r>
          </w:p>
          <w:p>
            <w:pPr>
              <w:spacing w:before="0" w:after="80" w:line="288" w:lineRule="auto"/>
            </w:pPr>
            <w:r>
              <w:rPr>
                <w:rFonts w:ascii="Calibri" w:hAnsi="Calibri"/>
                <w:color w:val="333333"/>
                <w:sz w:val="20"/>
              </w:rPr>
              <w:t>Trade credit insurance markets are hardening rapidly as ag exposures deteriorate. We recommend PLMA engage 3+ carriers (Euler Hermes/Allianz Trade, Atradius, Coface) for competitive quotes within 60 days, before further premium escalation.</w:t>
            </w:r>
          </w:p>
        </w:tc>
      </w:tr>
    </w:tbl>
    <w:p>
      <w:pPr>
        <w:spacing w:before="0" w:after="160" w:line="288" w:lineRule="auto"/>
      </w:pPr>
      <w:r>
        <w:rPr>
          <w:rFonts w:ascii="Calibri" w:hAnsi="Calibri"/>
          <w:b w:val="0"/>
          <w:i w:val="0"/>
        </w:rPr>
      </w:r>
    </w:p>
    <w:p>
      <w:pPr>
        <w:pStyle w:val="Heading3"/>
        <w:spacing w:before="200" w:after="80" w:line="276" w:lineRule="auto"/>
      </w:pPr>
      <w:r>
        <w:t>6.1.4 Payment Acceleration &amp; Escrow</w:t>
      </w:r>
    </w:p>
    <w:p>
      <w:pPr>
        <w:spacing w:before="0" w:after="160" w:line="300" w:lineRule="auto"/>
      </w:pPr>
      <w:r>
        <w:rPr>
          <w:rFonts w:ascii="Calibri" w:hAnsi="Calibri"/>
          <w:b w:val="0"/>
          <w:i w:val="0"/>
          <w:sz w:val="21"/>
        </w:rPr>
        <w:t>Negotiate shorter payment terms with top-risk buyers (2–5 days vs. 7–10 days standard). Where appropriate, require escrow deposits or letters of credit from buyers exceeding concentration thresholds. This reduces EAD (Exposure At Default) by 30–50% for applicable counterparties.</w:t>
      </w:r>
    </w:p>
    <w:p>
      <w:pPr>
        <w:pStyle w:val="Heading2"/>
        <w:spacing w:before="280" w:after="120" w:line="276" w:lineRule="auto"/>
      </w:pPr>
      <w:r>
        <w:t>6.2 Market Risk Hedging Program (Horizon 2)</w:t>
      </w:r>
    </w:p>
    <w:p>
      <w:pPr>
        <w:spacing w:before="0" w:after="160" w:line="300" w:lineRule="auto"/>
      </w:pPr>
      <w:r>
        <w:rPr>
          <w:rFonts w:ascii="Calibri" w:hAnsi="Calibri"/>
          <w:b w:val="0"/>
          <w:i w:val="0"/>
          <w:sz w:val="21"/>
        </w:rPr>
        <w:t>Implement a systematic hedging overlay on PLMA's aggregate cash-market exposure during the consignment-to-settlement window. Use CME live cattle, feeder cattle, and lean hog futures to hedge inventory price risk.</w:t>
      </w:r>
    </w:p>
    <w:p>
      <w:pPr>
        <w:pStyle w:val="ListBullet"/>
        <w:spacing w:before="0" w:after="80" w:line="288" w:lineRule="auto"/>
      </w:pPr>
      <w:r>
        <w:rPr>
          <w:rFonts w:ascii="Calibri" w:hAnsi="Calibri"/>
          <w:b/>
          <w:color w:val="003A70"/>
          <w:sz w:val="21"/>
        </w:rPr>
        <w:t xml:space="preserve">Target hedge ratio: </w:t>
      </w:r>
      <w:r>
        <w:rPr>
          <w:rFonts w:ascii="Calibri" w:hAnsi="Calibri"/>
          <w:color w:val="333333"/>
          <w:sz w:val="21"/>
        </w:rPr>
        <w:t>60–80% of inventory exposure</w:t>
      </w:r>
    </w:p>
    <w:p>
      <w:pPr>
        <w:pStyle w:val="ListBullet"/>
        <w:spacing w:before="0" w:after="80" w:line="288" w:lineRule="auto"/>
      </w:pPr>
      <w:r>
        <w:rPr>
          <w:rFonts w:ascii="Calibri" w:hAnsi="Calibri"/>
          <w:b/>
          <w:color w:val="003A70"/>
          <w:sz w:val="21"/>
        </w:rPr>
        <w:t xml:space="preserve">Basis risk management: </w:t>
      </w:r>
      <w:r>
        <w:rPr>
          <w:rFonts w:ascii="Calibri" w:hAnsi="Calibri"/>
          <w:color w:val="333333"/>
          <w:sz w:val="21"/>
        </w:rPr>
        <w:t>Weekly basis monitoring, option overlays where basis volatility exceeds historical norms</w:t>
      </w:r>
    </w:p>
    <w:p>
      <w:pPr>
        <w:pStyle w:val="ListBullet"/>
        <w:spacing w:before="0" w:after="80" w:line="288" w:lineRule="auto"/>
      </w:pPr>
      <w:r>
        <w:rPr>
          <w:rFonts w:ascii="Calibri" w:hAnsi="Calibri"/>
          <w:b/>
          <w:color w:val="003A70"/>
          <w:sz w:val="21"/>
        </w:rPr>
        <w:t xml:space="preserve">Estimated annual benefit: </w:t>
      </w:r>
      <w:r>
        <w:rPr>
          <w:rFonts w:ascii="Calibri" w:hAnsi="Calibri"/>
          <w:color w:val="333333"/>
          <w:sz w:val="21"/>
        </w:rPr>
        <w:t>$800K in market risk reduction</w:t>
      </w:r>
    </w:p>
    <w:p>
      <w:pPr>
        <w:pStyle w:val="Heading2"/>
        <w:spacing w:before="280" w:after="120" w:line="276" w:lineRule="auto"/>
      </w:pPr>
      <w:r>
        <w:t>6.3 Operational Resilience (Horizon 1–2)</w:t>
      </w:r>
    </w:p>
    <w:p>
      <w:pPr>
        <w:pStyle w:val="Heading3"/>
        <w:spacing w:before="200" w:after="80" w:line="276" w:lineRule="auto"/>
      </w:pPr>
      <w:r>
        <w:t>6.3.1 Counterparty Monitoring Dashboard</w:t>
      </w:r>
    </w:p>
    <w:p>
      <w:pPr>
        <w:spacing w:before="0" w:after="160" w:line="300" w:lineRule="auto"/>
      </w:pPr>
      <w:r>
        <w:rPr>
          <w:rFonts w:ascii="Calibri" w:hAnsi="Calibri"/>
          <w:b w:val="0"/>
          <w:i w:val="0"/>
          <w:sz w:val="21"/>
        </w:rPr>
        <w:t>Build real-time dashboard tracking: exposure by counterparty, credit score trends, payment timeliness, public financial distress indicators (UCC filings, litigation, rating downgrades). Automate alerts when exposure or risk indicators breach thresholds.</w:t>
      </w:r>
    </w:p>
    <w:p>
      <w:pPr>
        <w:pStyle w:val="Heading3"/>
        <w:spacing w:before="200" w:after="80" w:line="276" w:lineRule="auto"/>
      </w:pPr>
      <w:r>
        <w:t>6.3.2 Early Warning System</w:t>
      </w:r>
    </w:p>
    <w:p>
      <w:pPr>
        <w:spacing w:before="0" w:after="160" w:line="300" w:lineRule="auto"/>
      </w:pPr>
      <w:r>
        <w:rPr>
          <w:rFonts w:ascii="Calibri" w:hAnsi="Calibri"/>
          <w:b w:val="0"/>
          <w:i w:val="0"/>
          <w:sz w:val="21"/>
        </w:rPr>
        <w:t>Systematic monitoring of leading indicators: (i) day sales outstanding trends, (ii) check kiting or slow-pay behavior, (iii) public records (liens, judgments), (iv) industry intelligence. Empirically, such systems enable 30–90 days of advance warning before default, enabling exposure reduction actions.</w:t>
      </w:r>
    </w:p>
    <w:p>
      <w:pPr>
        <w:pStyle w:val="Heading2"/>
        <w:spacing w:before="280" w:after="120" w:line="276" w:lineRule="auto"/>
      </w:pPr>
      <w:r>
        <w:t>6.4 Diversification Strategy (Horizons 2–3)</w:t>
      </w:r>
    </w:p>
    <w:p>
      <w:pPr>
        <w:pStyle w:val="Heading3"/>
        <w:spacing w:before="200" w:after="80" w:line="276" w:lineRule="auto"/>
      </w:pPr>
      <w:r>
        <w:t>6.4.1 Geographic Diversification</w:t>
      </w:r>
    </w:p>
    <w:p>
      <w:pPr>
        <w:spacing w:before="0" w:after="160" w:line="300" w:lineRule="auto"/>
      </w:pPr>
      <w:r>
        <w:rPr>
          <w:rFonts w:ascii="Calibri" w:hAnsi="Calibri"/>
          <w:b w:val="0"/>
          <w:i w:val="0"/>
          <w:sz w:val="21"/>
        </w:rPr>
        <w:t>Evaluate expansion into underserved regional markets through greenfield branches or acquisition of smaller regional cooperatives. Target: reduce regional concentration to &lt;40% in any single USDA reporting region within 5 years.</w:t>
      </w:r>
    </w:p>
    <w:p>
      <w:pPr>
        <w:pStyle w:val="Heading3"/>
        <w:spacing w:before="200" w:after="80" w:line="276" w:lineRule="auto"/>
      </w:pPr>
      <w:r>
        <w:t>6.4.2 Product Line Expansion</w:t>
      </w:r>
    </w:p>
    <w:p>
      <w:pPr>
        <w:spacing w:before="0" w:after="160" w:line="300" w:lineRule="auto"/>
      </w:pPr>
      <w:r>
        <w:rPr>
          <w:rFonts w:ascii="Calibri" w:hAnsi="Calibri"/>
          <w:b w:val="0"/>
          <w:i w:val="0"/>
          <w:sz w:val="21"/>
        </w:rPr>
        <w:t>Launch fee-based advisory services: hedging advisory, insurance brokerage, credit analytics for member producers. These generate diversified, non-credit revenue streams while deepening member relationships.</w:t>
      </w:r>
    </w:p>
    <w:p>
      <w:pPr>
        <w:pStyle w:val="Heading2"/>
        <w:spacing w:before="280" w:after="120" w:line="276" w:lineRule="auto"/>
      </w:pPr>
      <w:r>
        <w:t>6.5 1-Year / 5-Year / 10-Year Plans at a Glance</w:t>
      </w:r>
    </w:p>
    <w:p>
      <w:pPr>
        <w:pStyle w:val="Heading3"/>
        <w:spacing w:before="200" w:after="80" w:line="276" w:lineRule="auto"/>
      </w:pPr>
      <w:r>
        <w:t>Year 1 Priorities (Horizon 1)</w:t>
      </w:r>
    </w:p>
    <w:p>
      <w:pPr>
        <w:pStyle w:val="ListBullet"/>
        <w:spacing w:before="0" w:after="60" w:line="288" w:lineRule="auto"/>
      </w:pPr>
      <w:r>
        <w:rPr>
          <w:rFonts w:ascii="Calibri" w:hAnsi="Calibri"/>
          <w:color w:val="333333"/>
          <w:sz w:val="21"/>
        </w:rPr>
        <w:t>Convene Risk Committee; approve Horizon 1 funding ($1.72M)</w:t>
      </w:r>
    </w:p>
    <w:p>
      <w:pPr>
        <w:pStyle w:val="ListBullet"/>
        <w:spacing w:before="0" w:after="60" w:line="288" w:lineRule="auto"/>
      </w:pPr>
      <w:r>
        <w:rPr>
          <w:rFonts w:ascii="Calibri" w:hAnsi="Calibri"/>
          <w:color w:val="333333"/>
          <w:sz w:val="21"/>
        </w:rPr>
        <w:t>Deploy counterparty risk dashboard (Month 3)</w:t>
      </w:r>
    </w:p>
    <w:p>
      <w:pPr>
        <w:pStyle w:val="ListBullet"/>
        <w:spacing w:before="0" w:after="60" w:line="288" w:lineRule="auto"/>
      </w:pPr>
      <w:r>
        <w:rPr>
          <w:rFonts w:ascii="Calibri" w:hAnsi="Calibri"/>
          <w:color w:val="333333"/>
          <w:sz w:val="21"/>
        </w:rPr>
        <w:t>Procure trade credit insurance for top-quartile exposure (Month 6)</w:t>
      </w:r>
    </w:p>
    <w:p>
      <w:pPr>
        <w:pStyle w:val="ListBullet"/>
        <w:spacing w:before="0" w:after="60" w:line="288" w:lineRule="auto"/>
      </w:pPr>
      <w:r>
        <w:rPr>
          <w:rFonts w:ascii="Calibri" w:hAnsi="Calibri"/>
          <w:color w:val="333333"/>
          <w:sz w:val="21"/>
        </w:rPr>
        <w:t>Implement tiered credit limits policy (Month 4)</w:t>
      </w:r>
    </w:p>
    <w:p>
      <w:pPr>
        <w:pStyle w:val="ListBullet"/>
        <w:spacing w:before="0" w:after="60" w:line="288" w:lineRule="auto"/>
      </w:pPr>
      <w:r>
        <w:rPr>
          <w:rFonts w:ascii="Calibri" w:hAnsi="Calibri"/>
          <w:color w:val="333333"/>
          <w:sz w:val="21"/>
        </w:rPr>
        <w:t>Deploy v1 credit scoring model + pilot (Month 9)</w:t>
      </w:r>
    </w:p>
    <w:p>
      <w:pPr>
        <w:pStyle w:val="ListBullet"/>
        <w:spacing w:before="0" w:after="60" w:line="288" w:lineRule="auto"/>
      </w:pPr>
      <w:r>
        <w:rPr>
          <w:rFonts w:ascii="Calibri" w:hAnsi="Calibri"/>
          <w:color w:val="333333"/>
          <w:sz w:val="21"/>
        </w:rPr>
        <w:t>Hire 2 credit analyst FTEs (Month 3)</w:t>
      </w:r>
    </w:p>
    <w:p>
      <w:pPr>
        <w:pStyle w:val="ListBullet"/>
        <w:spacing w:before="0" w:after="60" w:line="288" w:lineRule="auto"/>
      </w:pPr>
      <w:r>
        <w:rPr>
          <w:rFonts w:ascii="Calibri" w:hAnsi="Calibri"/>
          <w:color w:val="333333"/>
          <w:sz w:val="21"/>
        </w:rPr>
        <w:t>Complete trade credit insurance RFP and binding (Month 6)</w:t>
      </w:r>
    </w:p>
    <w:p>
      <w:pPr>
        <w:pStyle w:val="Heading3"/>
        <w:spacing w:before="200" w:after="80" w:line="276" w:lineRule="auto"/>
      </w:pPr>
      <w:r>
        <w:t>5-Year Priorities (Horizons 1–2)</w:t>
      </w:r>
    </w:p>
    <w:p>
      <w:pPr>
        <w:pStyle w:val="ListBullet"/>
        <w:spacing w:before="0" w:after="60" w:line="288" w:lineRule="auto"/>
      </w:pPr>
      <w:r>
        <w:rPr>
          <w:rFonts w:ascii="Calibri" w:hAnsi="Calibri"/>
          <w:color w:val="333333"/>
          <w:sz w:val="21"/>
        </w:rPr>
        <w:t>Roll out ML-enhanced credit scoring v2 (Year 2–3)</w:t>
      </w:r>
    </w:p>
    <w:p>
      <w:pPr>
        <w:pStyle w:val="ListBullet"/>
        <w:spacing w:before="0" w:after="60" w:line="288" w:lineRule="auto"/>
      </w:pPr>
      <w:r>
        <w:rPr>
          <w:rFonts w:ascii="Calibri" w:hAnsi="Calibri"/>
          <w:color w:val="333333"/>
          <w:sz w:val="21"/>
        </w:rPr>
        <w:t>Launch systematic hedging overlay (Year 2)</w:t>
      </w:r>
    </w:p>
    <w:p>
      <w:pPr>
        <w:pStyle w:val="ListBullet"/>
        <w:spacing w:before="0" w:after="60" w:line="288" w:lineRule="auto"/>
      </w:pPr>
      <w:r>
        <w:rPr>
          <w:rFonts w:ascii="Calibri" w:hAnsi="Calibri"/>
          <w:color w:val="333333"/>
          <w:sz w:val="21"/>
        </w:rPr>
        <w:t>Initiate geographic diversification (Year 3–5)</w:t>
      </w:r>
    </w:p>
    <w:p>
      <w:pPr>
        <w:pStyle w:val="ListBullet"/>
        <w:spacing w:before="0" w:after="60" w:line="288" w:lineRule="auto"/>
      </w:pPr>
      <w:r>
        <w:rPr>
          <w:rFonts w:ascii="Calibri" w:hAnsi="Calibri"/>
          <w:color w:val="333333"/>
          <w:sz w:val="21"/>
        </w:rPr>
        <w:t>Launch fee-based advisory services (Year 3)</w:t>
      </w:r>
    </w:p>
    <w:p>
      <w:pPr>
        <w:pStyle w:val="ListBullet"/>
        <w:spacing w:before="0" w:after="60" w:line="288" w:lineRule="auto"/>
      </w:pPr>
      <w:r>
        <w:rPr>
          <w:rFonts w:ascii="Calibri" w:hAnsi="Calibri"/>
          <w:color w:val="333333"/>
          <w:sz w:val="21"/>
        </w:rPr>
        <w:t>Modernize technology platform (Years 2–4)</w:t>
      </w:r>
    </w:p>
    <w:p>
      <w:pPr>
        <w:pStyle w:val="ListBullet"/>
        <w:spacing w:before="0" w:after="60" w:line="288" w:lineRule="auto"/>
      </w:pPr>
      <w:r>
        <w:rPr>
          <w:rFonts w:ascii="Calibri" w:hAnsi="Calibri"/>
          <w:color w:val="333333"/>
          <w:sz w:val="21"/>
        </w:rPr>
        <w:t>Achieve &lt;40% single-segment concentration (Year 5)</w:t>
      </w:r>
    </w:p>
    <w:p>
      <w:pPr>
        <w:pStyle w:val="ListBullet"/>
        <w:spacing w:before="0" w:after="60" w:line="288" w:lineRule="auto"/>
      </w:pPr>
      <w:r>
        <w:rPr>
          <w:rFonts w:ascii="Calibri" w:hAnsi="Calibri"/>
          <w:color w:val="333333"/>
          <w:sz w:val="21"/>
        </w:rPr>
        <w:t>Expected cumulative NPV at Year 5: ~$9M</w:t>
      </w:r>
    </w:p>
    <w:p>
      <w:pPr>
        <w:pStyle w:val="Heading3"/>
        <w:spacing w:before="200" w:after="80" w:line="276" w:lineRule="auto"/>
      </w:pPr>
      <w:r>
        <w:t>10-Year Priorities (Horizon 3)</w:t>
      </w:r>
    </w:p>
    <w:p>
      <w:pPr>
        <w:pStyle w:val="ListBullet"/>
        <w:spacing w:before="0" w:after="60" w:line="288" w:lineRule="auto"/>
      </w:pPr>
      <w:r>
        <w:rPr>
          <w:rFonts w:ascii="Calibri" w:hAnsi="Calibri"/>
          <w:color w:val="333333"/>
          <w:sz w:val="21"/>
        </w:rPr>
        <w:t>Execute strategic M&amp;A / partnership (Years 5–7)</w:t>
      </w:r>
    </w:p>
    <w:p>
      <w:pPr>
        <w:pStyle w:val="ListBullet"/>
        <w:spacing w:before="0" w:after="60" w:line="288" w:lineRule="auto"/>
      </w:pPr>
      <w:r>
        <w:rPr>
          <w:rFonts w:ascii="Calibri" w:hAnsi="Calibri"/>
          <w:color w:val="333333"/>
          <w:sz w:val="21"/>
        </w:rPr>
        <w:t>Expand advisory product line to 15–20% of revenue (Year 10)</w:t>
      </w:r>
    </w:p>
    <w:p>
      <w:pPr>
        <w:pStyle w:val="ListBullet"/>
        <w:spacing w:before="0" w:after="60" w:line="288" w:lineRule="auto"/>
      </w:pPr>
      <w:r>
        <w:rPr>
          <w:rFonts w:ascii="Calibri" w:hAnsi="Calibri"/>
          <w:color w:val="333333"/>
          <w:sz w:val="21"/>
        </w:rPr>
        <w:t>Restructure cooperative capital for resilience (Years 6–10)</w:t>
      </w:r>
    </w:p>
    <w:p>
      <w:pPr>
        <w:pStyle w:val="ListBullet"/>
        <w:spacing w:before="0" w:after="60" w:line="288" w:lineRule="auto"/>
      </w:pPr>
      <w:r>
        <w:rPr>
          <w:rFonts w:ascii="Calibri" w:hAnsi="Calibri"/>
          <w:color w:val="333333"/>
          <w:sz w:val="21"/>
        </w:rPr>
        <w:t>Establish PLMA as reference operator in ag risk management (Year 10)</w:t>
      </w:r>
    </w:p>
    <w:p>
      <w:pPr>
        <w:pStyle w:val="ListBullet"/>
        <w:spacing w:before="0" w:after="60" w:line="288" w:lineRule="auto"/>
      </w:pPr>
      <w:r>
        <w:rPr>
          <w:rFonts w:ascii="Calibri" w:hAnsi="Calibri"/>
          <w:color w:val="333333"/>
          <w:sz w:val="21"/>
        </w:rPr>
        <w:t>Expected cumulative NPV at Year 10: ~$20M</w:t>
      </w:r>
    </w:p>
    <w:p>
      <w:r>
        <w:br w:type="page"/>
      </w:r>
    </w:p>
    <w:p>
      <w:pPr>
        <w:pStyle w:val="Heading1"/>
        <w:spacing w:before="0" w:after="240" w:line="276" w:lineRule="auto"/>
        <w:pBdr>
          <w:bottom w:val="single" w:sz="12" w:space="4" w:color="003A70"/>
        </w:pBdr>
      </w:pPr>
      <w:r>
        <w:t>7. Financial Model: Cost-Benefit Analysis</w:t>
      </w:r>
    </w:p>
    <w:p>
      <w:pPr>
        <w:pStyle w:val="Heading2"/>
        <w:spacing w:before="280" w:after="120" w:line="276" w:lineRule="auto"/>
      </w:pPr>
      <w:r>
        <w:t>7.1 Assumptions &amp; Methodology</w:t>
      </w:r>
    </w:p>
    <w:p>
      <w:pPr>
        <w:spacing w:before="0" w:after="160" w:line="300" w:lineRule="auto"/>
      </w:pPr>
      <w:r>
        <w:rPr>
          <w:rFonts w:ascii="Calibri" w:hAnsi="Calibri"/>
          <w:b w:val="0"/>
          <w:i w:val="0"/>
          <w:sz w:val="21"/>
        </w:rPr>
        <w:t>The financial model uses a probability-weighted Expected Loss framework (Basel-inspired): EL = PD × EAD × LGD, where PD is probability of default, EAD is exposure at default, and LGD is loss given default. Benefit estimates reflect loss avoidance from mitigation actions. NPV uses an 8% discount rate, consistent with cooperative cost-of-capital benchmarks.</w:t>
      </w:r>
      <w:r>
        <w:rPr>
          <w:color w:val="0078D4"/>
          <w:sz w:val="16"/>
          <w:vertAlign w:val="superscript"/>
        </w:rPr>
        <w:t xml:space="preserve"> [15]</w:t>
      </w:r>
    </w:p>
    <w:p>
      <w:pPr>
        <w:pStyle w:val="Heading2"/>
        <w:spacing w:before="280" w:after="120" w:line="276" w:lineRule="auto"/>
      </w:pPr>
      <w:r>
        <w:t>7.2 Expected Loss Baseline</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003A70"/>
            <w:vAlign w:val="center"/>
          </w:tcPr>
          <w:p>
            <w:pPr>
              <w:spacing w:before="0" w:after="40" w:line="276" w:lineRule="auto"/>
            </w:pPr>
            <w:r/>
            <w:r>
              <w:rPr>
                <w:rFonts w:ascii="Calibri" w:hAnsi="Calibri"/>
                <w:b/>
                <w:color w:val="FFFFFF"/>
                <w:sz w:val="19"/>
              </w:rPr>
              <w:t>Segment</w:t>
            </w:r>
          </w:p>
        </w:tc>
        <w:tc>
          <w:tcPr>
            <w:tcW w:type="dxa" w:w="1296"/>
            <w:shd w:val="clear" w:color="auto" w:fill="003A70"/>
            <w:vAlign w:val="center"/>
          </w:tcPr>
          <w:p>
            <w:pPr>
              <w:spacing w:before="0" w:after="40" w:line="276" w:lineRule="auto"/>
            </w:pPr>
            <w:r/>
            <w:r>
              <w:rPr>
                <w:rFonts w:ascii="Calibri" w:hAnsi="Calibri"/>
                <w:b/>
                <w:color w:val="FFFFFF"/>
                <w:sz w:val="19"/>
              </w:rPr>
              <w:t>EAD</w:t>
            </w:r>
          </w:p>
        </w:tc>
        <w:tc>
          <w:tcPr>
            <w:tcW w:type="dxa" w:w="1296"/>
            <w:shd w:val="clear" w:color="auto" w:fill="003A70"/>
            <w:vAlign w:val="center"/>
          </w:tcPr>
          <w:p>
            <w:pPr>
              <w:spacing w:before="0" w:after="40" w:line="276" w:lineRule="auto"/>
            </w:pPr>
            <w:r/>
            <w:r>
              <w:rPr>
                <w:rFonts w:ascii="Calibri" w:hAnsi="Calibri"/>
                <w:b/>
                <w:color w:val="FFFFFF"/>
                <w:sz w:val="19"/>
              </w:rPr>
              <w:t>PD (1yr)</w:t>
            </w:r>
          </w:p>
        </w:tc>
        <w:tc>
          <w:tcPr>
            <w:tcW w:type="dxa" w:w="1008"/>
            <w:shd w:val="clear" w:color="auto" w:fill="003A70"/>
            <w:vAlign w:val="center"/>
          </w:tcPr>
          <w:p>
            <w:pPr>
              <w:spacing w:before="0" w:after="40" w:line="276" w:lineRule="auto"/>
            </w:pPr>
            <w:r/>
            <w:r>
              <w:rPr>
                <w:rFonts w:ascii="Calibri" w:hAnsi="Calibri"/>
                <w:b/>
                <w:color w:val="FFFFFF"/>
                <w:sz w:val="19"/>
              </w:rPr>
              <w:t>LGD</w:t>
            </w:r>
          </w:p>
        </w:tc>
        <w:tc>
          <w:tcPr>
            <w:tcW w:type="dxa" w:w="1728"/>
            <w:shd w:val="clear" w:color="auto" w:fill="003A70"/>
            <w:vAlign w:val="center"/>
          </w:tcPr>
          <w:p>
            <w:pPr>
              <w:spacing w:before="0" w:after="40" w:line="276" w:lineRule="auto"/>
            </w:pPr>
            <w:r/>
            <w:r>
              <w:rPr>
                <w:rFonts w:ascii="Calibri" w:hAnsi="Calibri"/>
                <w:b/>
                <w:color w:val="FFFFFF"/>
                <w:sz w:val="19"/>
              </w:rPr>
              <w:t>Expected Loss</w:t>
            </w:r>
          </w:p>
        </w:tc>
      </w:tr>
      <w:tr>
        <w:tc>
          <w:tcPr>
            <w:tcW w:type="dxa" w:w="3168"/>
            <w:vAlign w:val="center"/>
          </w:tcPr>
          <w:p>
            <w:pPr>
              <w:spacing w:before="0" w:after="40" w:line="276" w:lineRule="auto"/>
            </w:pPr>
            <w:r/>
            <w:r>
              <w:rPr>
                <w:rFonts w:ascii="Calibri" w:hAnsi="Calibri"/>
                <w:color w:val="333333"/>
                <w:sz w:val="19"/>
              </w:rPr>
              <w:t>Independent Feedlots</w:t>
            </w:r>
          </w:p>
        </w:tc>
        <w:tc>
          <w:tcPr>
            <w:tcW w:type="dxa" w:w="1296"/>
            <w:vAlign w:val="center"/>
          </w:tcPr>
          <w:p>
            <w:pPr>
              <w:spacing w:before="0" w:after="40" w:line="276" w:lineRule="auto"/>
            </w:pPr>
            <w:r/>
            <w:r>
              <w:rPr>
                <w:rFonts w:ascii="Calibri" w:hAnsi="Calibri"/>
                <w:color w:val="333333"/>
                <w:sz w:val="19"/>
              </w:rPr>
              <w:t>$80M</w:t>
            </w:r>
          </w:p>
        </w:tc>
        <w:tc>
          <w:tcPr>
            <w:tcW w:type="dxa" w:w="1296"/>
            <w:vAlign w:val="center"/>
          </w:tcPr>
          <w:p>
            <w:pPr>
              <w:spacing w:before="0" w:after="40" w:line="276" w:lineRule="auto"/>
            </w:pPr>
            <w:r/>
            <w:r>
              <w:rPr>
                <w:rFonts w:ascii="Calibri" w:hAnsi="Calibri"/>
                <w:color w:val="333333"/>
                <w:sz w:val="19"/>
              </w:rPr>
              <w:t>8.0%</w:t>
            </w:r>
          </w:p>
        </w:tc>
        <w:tc>
          <w:tcPr>
            <w:tcW w:type="dxa" w:w="1008"/>
            <w:vAlign w:val="center"/>
          </w:tcPr>
          <w:p>
            <w:pPr>
              <w:spacing w:before="0" w:after="40" w:line="276" w:lineRule="auto"/>
            </w:pPr>
            <w:r/>
            <w:r>
              <w:rPr>
                <w:rFonts w:ascii="Calibri" w:hAnsi="Calibri"/>
                <w:color w:val="333333"/>
                <w:sz w:val="19"/>
              </w:rPr>
              <w:t>55%</w:t>
            </w:r>
          </w:p>
        </w:tc>
        <w:tc>
          <w:tcPr>
            <w:tcW w:type="dxa" w:w="1728"/>
            <w:vAlign w:val="center"/>
          </w:tcPr>
          <w:p>
            <w:pPr>
              <w:spacing w:before="0" w:after="40" w:line="276" w:lineRule="auto"/>
            </w:pPr>
            <w:r/>
            <w:r>
              <w:rPr>
                <w:rFonts w:ascii="Calibri" w:hAnsi="Calibri"/>
                <w:color w:val="333333"/>
                <w:sz w:val="19"/>
              </w:rPr>
              <w:t>$3.52M</w:t>
            </w:r>
          </w:p>
        </w:tc>
      </w:tr>
      <w:tr>
        <w:tc>
          <w:tcPr>
            <w:tcW w:type="dxa" w:w="3168"/>
            <w:shd w:val="clear" w:color="auto" w:fill="F2F2F2"/>
            <w:vAlign w:val="center"/>
          </w:tcPr>
          <w:p>
            <w:pPr>
              <w:spacing w:before="0" w:after="40" w:line="276" w:lineRule="auto"/>
            </w:pPr>
            <w:r/>
            <w:r>
              <w:rPr>
                <w:rFonts w:ascii="Calibri" w:hAnsi="Calibri"/>
                <w:color w:val="333333"/>
                <w:sz w:val="19"/>
              </w:rPr>
              <w:t>Small/Mid Processors</w:t>
            </w:r>
          </w:p>
        </w:tc>
        <w:tc>
          <w:tcPr>
            <w:tcW w:type="dxa" w:w="1296"/>
            <w:shd w:val="clear" w:color="auto" w:fill="F2F2F2"/>
            <w:vAlign w:val="center"/>
          </w:tcPr>
          <w:p>
            <w:pPr>
              <w:spacing w:before="0" w:after="40" w:line="276" w:lineRule="auto"/>
            </w:pPr>
            <w:r/>
            <w:r>
              <w:rPr>
                <w:rFonts w:ascii="Calibri" w:hAnsi="Calibri"/>
                <w:color w:val="333333"/>
                <w:sz w:val="19"/>
              </w:rPr>
              <w:t>$50M</w:t>
            </w:r>
          </w:p>
        </w:tc>
        <w:tc>
          <w:tcPr>
            <w:tcW w:type="dxa" w:w="1296"/>
            <w:shd w:val="clear" w:color="auto" w:fill="F2F2F2"/>
            <w:vAlign w:val="center"/>
          </w:tcPr>
          <w:p>
            <w:pPr>
              <w:spacing w:before="0" w:after="40" w:line="276" w:lineRule="auto"/>
            </w:pPr>
            <w:r/>
            <w:r>
              <w:rPr>
                <w:rFonts w:ascii="Calibri" w:hAnsi="Calibri"/>
                <w:color w:val="333333"/>
                <w:sz w:val="19"/>
              </w:rPr>
              <w:t>6.0%</w:t>
            </w:r>
          </w:p>
        </w:tc>
        <w:tc>
          <w:tcPr>
            <w:tcW w:type="dxa" w:w="1008"/>
            <w:shd w:val="clear" w:color="auto" w:fill="F2F2F2"/>
            <w:vAlign w:val="center"/>
          </w:tcPr>
          <w:p>
            <w:pPr>
              <w:spacing w:before="0" w:after="40" w:line="276" w:lineRule="auto"/>
            </w:pPr>
            <w:r/>
            <w:r>
              <w:rPr>
                <w:rFonts w:ascii="Calibri" w:hAnsi="Calibri"/>
                <w:color w:val="333333"/>
                <w:sz w:val="19"/>
              </w:rPr>
              <w:t>45%</w:t>
            </w:r>
          </w:p>
        </w:tc>
        <w:tc>
          <w:tcPr>
            <w:tcW w:type="dxa" w:w="1728"/>
            <w:shd w:val="clear" w:color="auto" w:fill="F2F2F2"/>
            <w:vAlign w:val="center"/>
          </w:tcPr>
          <w:p>
            <w:pPr>
              <w:spacing w:before="0" w:after="40" w:line="276" w:lineRule="auto"/>
            </w:pPr>
            <w:r/>
            <w:r>
              <w:rPr>
                <w:rFonts w:ascii="Calibri" w:hAnsi="Calibri"/>
                <w:color w:val="333333"/>
                <w:sz w:val="19"/>
              </w:rPr>
              <w:t>$1.35M</w:t>
            </w:r>
          </w:p>
        </w:tc>
      </w:tr>
      <w:tr>
        <w:tc>
          <w:tcPr>
            <w:tcW w:type="dxa" w:w="3168"/>
            <w:vAlign w:val="center"/>
          </w:tcPr>
          <w:p>
            <w:pPr>
              <w:spacing w:before="0" w:after="40" w:line="276" w:lineRule="auto"/>
            </w:pPr>
            <w:r/>
            <w:r>
              <w:rPr>
                <w:rFonts w:ascii="Calibri" w:hAnsi="Calibri"/>
                <w:color w:val="333333"/>
                <w:sz w:val="19"/>
              </w:rPr>
              <w:t>Large Packers</w:t>
            </w:r>
          </w:p>
        </w:tc>
        <w:tc>
          <w:tcPr>
            <w:tcW w:type="dxa" w:w="1296"/>
            <w:vAlign w:val="center"/>
          </w:tcPr>
          <w:p>
            <w:pPr>
              <w:spacing w:before="0" w:after="40" w:line="276" w:lineRule="auto"/>
            </w:pPr>
            <w:r/>
            <w:r>
              <w:rPr>
                <w:rFonts w:ascii="Calibri" w:hAnsi="Calibri"/>
                <w:color w:val="333333"/>
                <w:sz w:val="19"/>
              </w:rPr>
              <w:t>$40M</w:t>
            </w:r>
          </w:p>
        </w:tc>
        <w:tc>
          <w:tcPr>
            <w:tcW w:type="dxa" w:w="1296"/>
            <w:vAlign w:val="center"/>
          </w:tcPr>
          <w:p>
            <w:pPr>
              <w:spacing w:before="0" w:after="40" w:line="276" w:lineRule="auto"/>
            </w:pPr>
            <w:r/>
            <w:r>
              <w:rPr>
                <w:rFonts w:ascii="Calibri" w:hAnsi="Calibri"/>
                <w:color w:val="333333"/>
                <w:sz w:val="19"/>
              </w:rPr>
              <w:t>1.5%</w:t>
            </w:r>
          </w:p>
        </w:tc>
        <w:tc>
          <w:tcPr>
            <w:tcW w:type="dxa" w:w="1008"/>
            <w:vAlign w:val="center"/>
          </w:tcPr>
          <w:p>
            <w:pPr>
              <w:spacing w:before="0" w:after="40" w:line="276" w:lineRule="auto"/>
            </w:pPr>
            <w:r/>
            <w:r>
              <w:rPr>
                <w:rFonts w:ascii="Calibri" w:hAnsi="Calibri"/>
                <w:color w:val="333333"/>
                <w:sz w:val="19"/>
              </w:rPr>
              <w:t>30%</w:t>
            </w:r>
          </w:p>
        </w:tc>
        <w:tc>
          <w:tcPr>
            <w:tcW w:type="dxa" w:w="1728"/>
            <w:vAlign w:val="center"/>
          </w:tcPr>
          <w:p>
            <w:pPr>
              <w:spacing w:before="0" w:after="40" w:line="276" w:lineRule="auto"/>
            </w:pPr>
            <w:r/>
            <w:r>
              <w:rPr>
                <w:rFonts w:ascii="Calibri" w:hAnsi="Calibri"/>
                <w:color w:val="333333"/>
                <w:sz w:val="19"/>
              </w:rPr>
              <w:t>$0.18M</w:t>
            </w:r>
          </w:p>
        </w:tc>
      </w:tr>
      <w:tr>
        <w:tc>
          <w:tcPr>
            <w:tcW w:type="dxa" w:w="3168"/>
            <w:shd w:val="clear" w:color="auto" w:fill="F2F2F2"/>
            <w:vAlign w:val="center"/>
          </w:tcPr>
          <w:p>
            <w:pPr>
              <w:spacing w:before="0" w:after="40" w:line="276" w:lineRule="auto"/>
            </w:pPr>
            <w:r/>
            <w:r>
              <w:rPr>
                <w:rFonts w:ascii="Calibri" w:hAnsi="Calibri"/>
                <w:color w:val="333333"/>
                <w:sz w:val="19"/>
              </w:rPr>
              <w:t>Backgrounders/Stocker Ops</w:t>
            </w:r>
          </w:p>
        </w:tc>
        <w:tc>
          <w:tcPr>
            <w:tcW w:type="dxa" w:w="1296"/>
            <w:shd w:val="clear" w:color="auto" w:fill="F2F2F2"/>
            <w:vAlign w:val="center"/>
          </w:tcPr>
          <w:p>
            <w:pPr>
              <w:spacing w:before="0" w:after="40" w:line="276" w:lineRule="auto"/>
            </w:pPr>
            <w:r/>
            <w:r>
              <w:rPr>
                <w:rFonts w:ascii="Calibri" w:hAnsi="Calibri"/>
                <w:color w:val="333333"/>
                <w:sz w:val="19"/>
              </w:rPr>
              <w:t>$30M</w:t>
            </w:r>
          </w:p>
        </w:tc>
        <w:tc>
          <w:tcPr>
            <w:tcW w:type="dxa" w:w="1296"/>
            <w:shd w:val="clear" w:color="auto" w:fill="F2F2F2"/>
            <w:vAlign w:val="center"/>
          </w:tcPr>
          <w:p>
            <w:pPr>
              <w:spacing w:before="0" w:after="40" w:line="276" w:lineRule="auto"/>
            </w:pPr>
            <w:r/>
            <w:r>
              <w:rPr>
                <w:rFonts w:ascii="Calibri" w:hAnsi="Calibri"/>
                <w:color w:val="333333"/>
                <w:sz w:val="19"/>
              </w:rPr>
              <w:t>12.0%</w:t>
            </w:r>
          </w:p>
        </w:tc>
        <w:tc>
          <w:tcPr>
            <w:tcW w:type="dxa" w:w="1008"/>
            <w:shd w:val="clear" w:color="auto" w:fill="F2F2F2"/>
            <w:vAlign w:val="center"/>
          </w:tcPr>
          <w:p>
            <w:pPr>
              <w:spacing w:before="0" w:after="40" w:line="276" w:lineRule="auto"/>
            </w:pPr>
            <w:r/>
            <w:r>
              <w:rPr>
                <w:rFonts w:ascii="Calibri" w:hAnsi="Calibri"/>
                <w:color w:val="333333"/>
                <w:sz w:val="19"/>
              </w:rPr>
              <w:t>60%</w:t>
            </w:r>
          </w:p>
        </w:tc>
        <w:tc>
          <w:tcPr>
            <w:tcW w:type="dxa" w:w="1728"/>
            <w:shd w:val="clear" w:color="auto" w:fill="F2F2F2"/>
            <w:vAlign w:val="center"/>
          </w:tcPr>
          <w:p>
            <w:pPr>
              <w:spacing w:before="0" w:after="40" w:line="276" w:lineRule="auto"/>
            </w:pPr>
            <w:r/>
            <w:r>
              <w:rPr>
                <w:rFonts w:ascii="Calibri" w:hAnsi="Calibri"/>
                <w:color w:val="333333"/>
                <w:sz w:val="19"/>
              </w:rPr>
              <w:t>$2.16M</w:t>
            </w:r>
          </w:p>
        </w:tc>
      </w:tr>
      <w:tr>
        <w:tc>
          <w:tcPr>
            <w:tcW w:type="dxa" w:w="3168"/>
            <w:vAlign w:val="center"/>
          </w:tcPr>
          <w:p>
            <w:pPr>
              <w:spacing w:before="0" w:after="40" w:line="276" w:lineRule="auto"/>
            </w:pPr>
            <w:r/>
            <w:r>
              <w:rPr>
                <w:rFonts w:ascii="Calibri" w:hAnsi="Calibri"/>
                <w:color w:val="333333"/>
                <w:sz w:val="19"/>
              </w:rPr>
              <w:t>**TOTAL**</w:t>
            </w:r>
          </w:p>
        </w:tc>
        <w:tc>
          <w:tcPr>
            <w:tcW w:type="dxa" w:w="1296"/>
            <w:vAlign w:val="center"/>
          </w:tcPr>
          <w:p>
            <w:pPr>
              <w:spacing w:before="0" w:after="40" w:line="276" w:lineRule="auto"/>
            </w:pPr>
            <w:r/>
            <w:r>
              <w:rPr>
                <w:rFonts w:ascii="Calibri" w:hAnsi="Calibri"/>
                <w:color w:val="333333"/>
                <w:sz w:val="19"/>
              </w:rPr>
              <w:t>$200M</w:t>
            </w:r>
          </w:p>
        </w:tc>
        <w:tc>
          <w:tcPr>
            <w:tcW w:type="dxa" w:w="1296"/>
            <w:vAlign w:val="center"/>
          </w:tcPr>
          <w:p>
            <w:pPr>
              <w:spacing w:before="0" w:after="40" w:line="276" w:lineRule="auto"/>
            </w:pPr>
            <w:r/>
            <w:r>
              <w:rPr>
                <w:rFonts w:ascii="Calibri" w:hAnsi="Calibri"/>
                <w:color w:val="333333"/>
                <w:sz w:val="19"/>
              </w:rPr>
              <w:t>—</w:t>
            </w:r>
          </w:p>
        </w:tc>
        <w:tc>
          <w:tcPr>
            <w:tcW w:type="dxa" w:w="1008"/>
            <w:vAlign w:val="center"/>
          </w:tcPr>
          <w:p>
            <w:pPr>
              <w:spacing w:before="0" w:after="40" w:line="276" w:lineRule="auto"/>
            </w:pPr>
            <w:r/>
            <w:r>
              <w:rPr>
                <w:rFonts w:ascii="Calibri" w:hAnsi="Calibri"/>
                <w:color w:val="333333"/>
                <w:sz w:val="19"/>
              </w:rPr>
              <w:t>—</w:t>
            </w:r>
          </w:p>
        </w:tc>
        <w:tc>
          <w:tcPr>
            <w:tcW w:type="dxa" w:w="1728"/>
            <w:vAlign w:val="center"/>
          </w:tcPr>
          <w:p>
            <w:pPr>
              <w:spacing w:before="0" w:after="40" w:line="276" w:lineRule="auto"/>
            </w:pPr>
            <w:r/>
            <w:r>
              <w:rPr>
                <w:rFonts w:ascii="Calibri" w:hAnsi="Calibri"/>
                <w:color w:val="333333"/>
                <w:sz w:val="19"/>
              </w:rPr>
              <w:t>$7.21M</w:t>
            </w:r>
          </w:p>
        </w:tc>
      </w:tr>
    </w:tbl>
    <w:p>
      <w:pPr>
        <w:spacing w:before="0" w:after="160" w:line="288" w:lineRule="auto"/>
      </w:pPr>
      <w:r>
        <w:rPr>
          <w:rFonts w:ascii="Calibri" w:hAnsi="Calibri"/>
          <w:b w:val="0"/>
          <w:i w:val="0"/>
        </w:rPr>
      </w:r>
    </w:p>
    <w:tbl>
      <w:tblPr>
        <w:tblW w:type="auto" w:w="0"/>
        <w:tblLook w:firstColumn="1" w:firstRow="1" w:lastColumn="0" w:lastRow="0" w:noHBand="0" w:noVBand="1" w:val="04A0"/>
      </w:tblPr>
      <w:tblGrid>
        <w:gridCol w:w="9360"/>
      </w:tblGrid>
      <w:tr>
        <w:tc>
          <w:tcPr>
            <w:tcW w:type="dxa" w:w="9360"/>
            <w:shd w:val="clear" w:color="auto" w:fill="FDE7E9"/>
            <w:tcBorders>
              <w:top w:val="single" w:sz="4" w:color="E81123" w:space="0"/>
              <w:left w:val="single" w:sz="36" w:color="E81123" w:space="0"/>
              <w:bottom w:val="single" w:sz="4" w:color="E81123" w:space="0"/>
              <w:right w:val="single" w:sz="4" w:color="E81123" w:space="0"/>
            </w:tcBorders>
          </w:tcPr>
          <w:p>
            <w:pPr>
              <w:spacing w:before="0" w:after="60" w:line="276" w:lineRule="auto"/>
            </w:pPr>
            <w:r/>
            <w:r>
              <w:rPr>
                <w:rFonts w:ascii="Calibri" w:hAnsi="Calibri"/>
                <w:b/>
                <w:color w:val="E81123"/>
                <w:sz w:val="18"/>
              </w:rPr>
              <w:t>STRESS SCENARIO</w:t>
            </w:r>
          </w:p>
          <w:p>
            <w:pPr>
              <w:spacing w:before="0" w:after="80" w:line="288" w:lineRule="auto"/>
            </w:pPr>
            <w:r>
              <w:rPr>
                <w:rFonts w:ascii="Calibri" w:hAnsi="Calibri"/>
                <w:color w:val="333333"/>
                <w:sz w:val="20"/>
              </w:rPr>
              <w:t>Under a 2x PD multiplier (consistent with a farm-crisis-level default environment), annual Expected Loss rises from $7.21M to $14.42M—approximately 24% of annual commission revenue.</w:t>
            </w:r>
          </w:p>
        </w:tc>
      </w:tr>
    </w:tbl>
    <w:p>
      <w:pPr>
        <w:spacing w:before="0" w:after="160" w:line="288" w:lineRule="auto"/>
      </w:pPr>
      <w:r>
        <w:rPr>
          <w:rFonts w:ascii="Calibri" w:hAnsi="Calibri"/>
          <w:b w:val="0"/>
          <w:i w:val="0"/>
        </w:rPr>
      </w:r>
    </w:p>
    <w:p>
      <w:pPr>
        <w:pStyle w:val="Heading2"/>
        <w:spacing w:before="280" w:after="120" w:line="276" w:lineRule="auto"/>
      </w:pPr>
      <w:r>
        <w:t>7.3 Mitigation Program Costs</w:t>
      </w:r>
    </w:p>
    <w:tbl>
      <w:tblPr>
        <w:tblW w:type="auto" w:w="0"/>
        <w:jc w:val="center"/>
        <w:tblLook w:firstColumn="1" w:firstRow="1" w:lastColumn="0" w:lastRow="0" w:noHBand="0" w:noVBand="1" w:val="04A0"/>
      </w:tblPr>
      <w:tblGrid>
        <w:gridCol w:w="4680"/>
        <w:gridCol w:w="4680"/>
      </w:tblGrid>
      <w:tr>
        <w:tc>
          <w:tcPr>
            <w:tcW w:type="dxa" w:w="5760"/>
            <w:shd w:val="clear" w:color="auto" w:fill="003A70"/>
            <w:vAlign w:val="center"/>
          </w:tcPr>
          <w:p>
            <w:pPr>
              <w:spacing w:before="0" w:after="40" w:line="276" w:lineRule="auto"/>
            </w:pPr>
            <w:r/>
            <w:r>
              <w:rPr>
                <w:rFonts w:ascii="Calibri" w:hAnsi="Calibri"/>
                <w:b/>
                <w:color w:val="FFFFFF"/>
                <w:sz w:val="19"/>
              </w:rPr>
              <w:t>Year 1 Cost Item</w:t>
            </w:r>
          </w:p>
        </w:tc>
        <w:tc>
          <w:tcPr>
            <w:tcW w:type="dxa" w:w="2160"/>
            <w:shd w:val="clear" w:color="auto" w:fill="003A70"/>
            <w:vAlign w:val="center"/>
          </w:tcPr>
          <w:p>
            <w:pPr>
              <w:spacing w:before="0" w:after="40" w:line="276" w:lineRule="auto"/>
            </w:pPr>
            <w:r/>
            <w:r>
              <w:rPr>
                <w:rFonts w:ascii="Calibri" w:hAnsi="Calibri"/>
                <w:b/>
                <w:color w:val="FFFFFF"/>
                <w:sz w:val="19"/>
              </w:rPr>
              <w:t>Amount</w:t>
            </w:r>
          </w:p>
        </w:tc>
      </w:tr>
      <w:tr>
        <w:tc>
          <w:tcPr>
            <w:tcW w:type="dxa" w:w="5760"/>
            <w:vAlign w:val="center"/>
          </w:tcPr>
          <w:p>
            <w:pPr>
              <w:spacing w:before="0" w:after="40" w:line="276" w:lineRule="auto"/>
            </w:pPr>
            <w:r/>
            <w:r>
              <w:rPr>
                <w:rFonts w:ascii="Calibri" w:hAnsi="Calibri"/>
                <w:color w:val="333333"/>
                <w:sz w:val="19"/>
              </w:rPr>
              <w:t>Credit scoring system (build/buy)</w:t>
            </w:r>
          </w:p>
        </w:tc>
        <w:tc>
          <w:tcPr>
            <w:tcW w:type="dxa" w:w="2160"/>
            <w:vAlign w:val="center"/>
          </w:tcPr>
          <w:p>
            <w:pPr>
              <w:spacing w:before="0" w:after="40" w:line="276" w:lineRule="auto"/>
            </w:pPr>
            <w:r/>
            <w:r>
              <w:rPr>
                <w:rFonts w:ascii="Calibri" w:hAnsi="Calibri"/>
                <w:color w:val="333333"/>
                <w:sz w:val="19"/>
              </w:rPr>
              <w:t>$350K</w:t>
            </w:r>
          </w:p>
        </w:tc>
      </w:tr>
      <w:tr>
        <w:tc>
          <w:tcPr>
            <w:tcW w:type="dxa" w:w="5760"/>
            <w:shd w:val="clear" w:color="auto" w:fill="F2F2F2"/>
            <w:vAlign w:val="center"/>
          </w:tcPr>
          <w:p>
            <w:pPr>
              <w:spacing w:before="0" w:after="40" w:line="276" w:lineRule="auto"/>
            </w:pPr>
            <w:r/>
            <w:r>
              <w:rPr>
                <w:rFonts w:ascii="Calibri" w:hAnsi="Calibri"/>
                <w:color w:val="333333"/>
                <w:sz w:val="19"/>
              </w:rPr>
              <w:t>Trade credit insurance premiums</w:t>
            </w:r>
          </w:p>
        </w:tc>
        <w:tc>
          <w:tcPr>
            <w:tcW w:type="dxa" w:w="2160"/>
            <w:shd w:val="clear" w:color="auto" w:fill="F2F2F2"/>
            <w:vAlign w:val="center"/>
          </w:tcPr>
          <w:p>
            <w:pPr>
              <w:spacing w:before="0" w:after="40" w:line="276" w:lineRule="auto"/>
            </w:pPr>
            <w:r/>
            <w:r>
              <w:rPr>
                <w:rFonts w:ascii="Calibri" w:hAnsi="Calibri"/>
                <w:color w:val="333333"/>
                <w:sz w:val="19"/>
              </w:rPr>
              <w:t>$600K</w:t>
            </w:r>
          </w:p>
        </w:tc>
      </w:tr>
      <w:tr>
        <w:tc>
          <w:tcPr>
            <w:tcW w:type="dxa" w:w="5760"/>
            <w:vAlign w:val="center"/>
          </w:tcPr>
          <w:p>
            <w:pPr>
              <w:spacing w:before="0" w:after="40" w:line="276" w:lineRule="auto"/>
            </w:pPr>
            <w:r/>
            <w:r>
              <w:rPr>
                <w:rFonts w:ascii="Calibri" w:hAnsi="Calibri"/>
                <w:color w:val="333333"/>
                <w:sz w:val="19"/>
              </w:rPr>
              <w:t>Risk analytics platform</w:t>
            </w:r>
          </w:p>
        </w:tc>
        <w:tc>
          <w:tcPr>
            <w:tcW w:type="dxa" w:w="2160"/>
            <w:vAlign w:val="center"/>
          </w:tcPr>
          <w:p>
            <w:pPr>
              <w:spacing w:before="0" w:after="40" w:line="276" w:lineRule="auto"/>
            </w:pPr>
            <w:r/>
            <w:r>
              <w:rPr>
                <w:rFonts w:ascii="Calibri" w:hAnsi="Calibri"/>
                <w:color w:val="333333"/>
                <w:sz w:val="19"/>
              </w:rPr>
              <w:t>$275K</w:t>
            </w:r>
          </w:p>
        </w:tc>
      </w:tr>
      <w:tr>
        <w:tc>
          <w:tcPr>
            <w:tcW w:type="dxa" w:w="5760"/>
            <w:shd w:val="clear" w:color="auto" w:fill="F2F2F2"/>
            <w:vAlign w:val="center"/>
          </w:tcPr>
          <w:p>
            <w:pPr>
              <w:spacing w:before="0" w:after="40" w:line="276" w:lineRule="auto"/>
            </w:pPr>
            <w:r/>
            <w:r>
              <w:rPr>
                <w:rFonts w:ascii="Calibri" w:hAnsi="Calibri"/>
                <w:color w:val="333333"/>
                <w:sz w:val="19"/>
              </w:rPr>
              <w:t>Credit analyst FTEs (2)</w:t>
            </w:r>
          </w:p>
        </w:tc>
        <w:tc>
          <w:tcPr>
            <w:tcW w:type="dxa" w:w="2160"/>
            <w:shd w:val="clear" w:color="auto" w:fill="F2F2F2"/>
            <w:vAlign w:val="center"/>
          </w:tcPr>
          <w:p>
            <w:pPr>
              <w:spacing w:before="0" w:after="40" w:line="276" w:lineRule="auto"/>
            </w:pPr>
            <w:r/>
            <w:r>
              <w:rPr>
                <w:rFonts w:ascii="Calibri" w:hAnsi="Calibri"/>
                <w:color w:val="333333"/>
                <w:sz w:val="19"/>
              </w:rPr>
              <w:t>$240K</w:t>
            </w:r>
          </w:p>
        </w:tc>
      </w:tr>
      <w:tr>
        <w:tc>
          <w:tcPr>
            <w:tcW w:type="dxa" w:w="5760"/>
            <w:vAlign w:val="center"/>
          </w:tcPr>
          <w:p>
            <w:pPr>
              <w:spacing w:before="0" w:after="40" w:line="276" w:lineRule="auto"/>
            </w:pPr>
            <w:r/>
            <w:r>
              <w:rPr>
                <w:rFonts w:ascii="Calibri" w:hAnsi="Calibri"/>
                <w:color w:val="333333"/>
                <w:sz w:val="19"/>
              </w:rPr>
              <w:t>Hedging program setup</w:t>
            </w:r>
          </w:p>
        </w:tc>
        <w:tc>
          <w:tcPr>
            <w:tcW w:type="dxa" w:w="2160"/>
            <w:vAlign w:val="center"/>
          </w:tcPr>
          <w:p>
            <w:pPr>
              <w:spacing w:before="0" w:after="40" w:line="276" w:lineRule="auto"/>
            </w:pPr>
            <w:r/>
            <w:r>
              <w:rPr>
                <w:rFonts w:ascii="Calibri" w:hAnsi="Calibri"/>
                <w:color w:val="333333"/>
                <w:sz w:val="19"/>
              </w:rPr>
              <w:t>$150K</w:t>
            </w:r>
          </w:p>
        </w:tc>
      </w:tr>
      <w:tr>
        <w:tc>
          <w:tcPr>
            <w:tcW w:type="dxa" w:w="5760"/>
            <w:shd w:val="clear" w:color="auto" w:fill="F2F2F2"/>
            <w:vAlign w:val="center"/>
          </w:tcPr>
          <w:p>
            <w:pPr>
              <w:spacing w:before="0" w:after="40" w:line="276" w:lineRule="auto"/>
            </w:pPr>
            <w:r/>
            <w:r>
              <w:rPr>
                <w:rFonts w:ascii="Calibri" w:hAnsi="Calibri"/>
                <w:color w:val="333333"/>
                <w:sz w:val="19"/>
              </w:rPr>
              <w:t>Training &amp; change management</w:t>
            </w:r>
          </w:p>
        </w:tc>
        <w:tc>
          <w:tcPr>
            <w:tcW w:type="dxa" w:w="2160"/>
            <w:shd w:val="clear" w:color="auto" w:fill="F2F2F2"/>
            <w:vAlign w:val="center"/>
          </w:tcPr>
          <w:p>
            <w:pPr>
              <w:spacing w:before="0" w:after="40" w:line="276" w:lineRule="auto"/>
            </w:pPr>
            <w:r/>
            <w:r>
              <w:rPr>
                <w:rFonts w:ascii="Calibri" w:hAnsi="Calibri"/>
                <w:color w:val="333333"/>
                <w:sz w:val="19"/>
              </w:rPr>
              <w:t>$100K</w:t>
            </w:r>
          </w:p>
        </w:tc>
      </w:tr>
      <w:tr>
        <w:tc>
          <w:tcPr>
            <w:tcW w:type="dxa" w:w="5760"/>
            <w:vAlign w:val="center"/>
          </w:tcPr>
          <w:p>
            <w:pPr>
              <w:spacing w:before="0" w:after="40" w:line="276" w:lineRule="auto"/>
            </w:pPr>
            <w:r/>
            <w:r>
              <w:rPr>
                <w:rFonts w:ascii="Calibri" w:hAnsi="Calibri"/>
                <w:color w:val="333333"/>
                <w:sz w:val="19"/>
              </w:rPr>
              <w:t>**TOTAL Year 1**</w:t>
            </w:r>
          </w:p>
        </w:tc>
        <w:tc>
          <w:tcPr>
            <w:tcW w:type="dxa" w:w="2160"/>
            <w:vAlign w:val="center"/>
          </w:tcPr>
          <w:p>
            <w:pPr>
              <w:spacing w:before="0" w:after="40" w:line="276" w:lineRule="auto"/>
            </w:pPr>
            <w:r/>
            <w:r>
              <w:rPr>
                <w:rFonts w:ascii="Calibri" w:hAnsi="Calibri"/>
                <w:color w:val="333333"/>
                <w:sz w:val="19"/>
              </w:rPr>
              <w:t>$1715K</w:t>
            </w:r>
          </w:p>
        </w:tc>
      </w:tr>
    </w:tbl>
    <w:p>
      <w:pPr>
        <w:spacing w:before="0" w:after="160" w:line="288" w:lineRule="auto"/>
      </w:pPr>
      <w:r>
        <w:rPr>
          <w:rFonts w:ascii="Calibri" w:hAnsi="Calibri"/>
          <w:b w:val="0"/>
          <w:i w:val="0"/>
        </w:rPr>
      </w:r>
    </w:p>
    <w:tbl>
      <w:tblPr>
        <w:tblW w:type="auto" w:w="0"/>
        <w:jc w:val="center"/>
        <w:tblLook w:firstColumn="1" w:firstRow="1" w:lastColumn="0" w:lastRow="0" w:noHBand="0" w:noVBand="1" w:val="04A0"/>
      </w:tblPr>
      <w:tblGrid>
        <w:gridCol w:w="4680"/>
        <w:gridCol w:w="4680"/>
      </w:tblGrid>
      <w:tr>
        <w:tc>
          <w:tcPr>
            <w:tcW w:type="dxa" w:w="5760"/>
            <w:shd w:val="clear" w:color="auto" w:fill="003A70"/>
            <w:vAlign w:val="center"/>
          </w:tcPr>
          <w:p>
            <w:pPr>
              <w:spacing w:before="0" w:after="40" w:line="276" w:lineRule="auto"/>
            </w:pPr>
            <w:r/>
            <w:r>
              <w:rPr>
                <w:rFonts w:ascii="Calibri" w:hAnsi="Calibri"/>
                <w:b/>
                <w:color w:val="FFFFFF"/>
                <w:sz w:val="19"/>
              </w:rPr>
              <w:t>Ongoing Annual Cost (Year 2+)</w:t>
            </w:r>
          </w:p>
        </w:tc>
        <w:tc>
          <w:tcPr>
            <w:tcW w:type="dxa" w:w="2160"/>
            <w:shd w:val="clear" w:color="auto" w:fill="003A70"/>
            <w:vAlign w:val="center"/>
          </w:tcPr>
          <w:p>
            <w:pPr>
              <w:spacing w:before="0" w:after="40" w:line="276" w:lineRule="auto"/>
            </w:pPr>
            <w:r/>
            <w:r>
              <w:rPr>
                <w:rFonts w:ascii="Calibri" w:hAnsi="Calibri"/>
                <w:b/>
                <w:color w:val="FFFFFF"/>
                <w:sz w:val="19"/>
              </w:rPr>
              <w:t>Amount</w:t>
            </w:r>
          </w:p>
        </w:tc>
      </w:tr>
      <w:tr>
        <w:tc>
          <w:tcPr>
            <w:tcW w:type="dxa" w:w="5760"/>
            <w:vAlign w:val="center"/>
          </w:tcPr>
          <w:p>
            <w:pPr>
              <w:spacing w:before="0" w:after="40" w:line="276" w:lineRule="auto"/>
            </w:pPr>
            <w:r/>
            <w:r>
              <w:rPr>
                <w:rFonts w:ascii="Calibri" w:hAnsi="Calibri"/>
                <w:color w:val="333333"/>
                <w:sz w:val="19"/>
              </w:rPr>
              <w:t>Credit scoring maintenance</w:t>
            </w:r>
          </w:p>
        </w:tc>
        <w:tc>
          <w:tcPr>
            <w:tcW w:type="dxa" w:w="2160"/>
            <w:vAlign w:val="center"/>
          </w:tcPr>
          <w:p>
            <w:pPr>
              <w:spacing w:before="0" w:after="40" w:line="276" w:lineRule="auto"/>
            </w:pPr>
            <w:r/>
            <w:r>
              <w:rPr>
                <w:rFonts w:ascii="Calibri" w:hAnsi="Calibri"/>
                <w:color w:val="333333"/>
                <w:sz w:val="19"/>
              </w:rPr>
              <w:t>$85K</w:t>
            </w:r>
          </w:p>
        </w:tc>
      </w:tr>
      <w:tr>
        <w:tc>
          <w:tcPr>
            <w:tcW w:type="dxa" w:w="5760"/>
            <w:shd w:val="clear" w:color="auto" w:fill="F2F2F2"/>
            <w:vAlign w:val="center"/>
          </w:tcPr>
          <w:p>
            <w:pPr>
              <w:spacing w:before="0" w:after="40" w:line="276" w:lineRule="auto"/>
            </w:pPr>
            <w:r/>
            <w:r>
              <w:rPr>
                <w:rFonts w:ascii="Calibri" w:hAnsi="Calibri"/>
                <w:color w:val="333333"/>
                <w:sz w:val="19"/>
              </w:rPr>
              <w:t>Trade credit insurance premiums</w:t>
            </w:r>
          </w:p>
        </w:tc>
        <w:tc>
          <w:tcPr>
            <w:tcW w:type="dxa" w:w="2160"/>
            <w:shd w:val="clear" w:color="auto" w:fill="F2F2F2"/>
            <w:vAlign w:val="center"/>
          </w:tcPr>
          <w:p>
            <w:pPr>
              <w:spacing w:before="0" w:after="40" w:line="276" w:lineRule="auto"/>
            </w:pPr>
            <w:r/>
            <w:r>
              <w:rPr>
                <w:rFonts w:ascii="Calibri" w:hAnsi="Calibri"/>
                <w:color w:val="333333"/>
                <w:sz w:val="19"/>
              </w:rPr>
              <w:t>$600K</w:t>
            </w:r>
          </w:p>
        </w:tc>
      </w:tr>
      <w:tr>
        <w:tc>
          <w:tcPr>
            <w:tcW w:type="dxa" w:w="5760"/>
            <w:vAlign w:val="center"/>
          </w:tcPr>
          <w:p>
            <w:pPr>
              <w:spacing w:before="0" w:after="40" w:line="276" w:lineRule="auto"/>
            </w:pPr>
            <w:r/>
            <w:r>
              <w:rPr>
                <w:rFonts w:ascii="Calibri" w:hAnsi="Calibri"/>
                <w:color w:val="333333"/>
                <w:sz w:val="19"/>
              </w:rPr>
              <w:t>Risk analytics platform</w:t>
            </w:r>
          </w:p>
        </w:tc>
        <w:tc>
          <w:tcPr>
            <w:tcW w:type="dxa" w:w="2160"/>
            <w:vAlign w:val="center"/>
          </w:tcPr>
          <w:p>
            <w:pPr>
              <w:spacing w:before="0" w:after="40" w:line="276" w:lineRule="auto"/>
            </w:pPr>
            <w:r/>
            <w:r>
              <w:rPr>
                <w:rFonts w:ascii="Calibri" w:hAnsi="Calibri"/>
                <w:color w:val="333333"/>
                <w:sz w:val="19"/>
              </w:rPr>
              <w:t>$120K</w:t>
            </w:r>
          </w:p>
        </w:tc>
      </w:tr>
      <w:tr>
        <w:tc>
          <w:tcPr>
            <w:tcW w:type="dxa" w:w="5760"/>
            <w:shd w:val="clear" w:color="auto" w:fill="F2F2F2"/>
            <w:vAlign w:val="center"/>
          </w:tcPr>
          <w:p>
            <w:pPr>
              <w:spacing w:before="0" w:after="40" w:line="276" w:lineRule="auto"/>
            </w:pPr>
            <w:r/>
            <w:r>
              <w:rPr>
                <w:rFonts w:ascii="Calibri" w:hAnsi="Calibri"/>
                <w:color w:val="333333"/>
                <w:sz w:val="19"/>
              </w:rPr>
              <w:t>Credit analyst FTEs (2)</w:t>
            </w:r>
          </w:p>
        </w:tc>
        <w:tc>
          <w:tcPr>
            <w:tcW w:type="dxa" w:w="2160"/>
            <w:shd w:val="clear" w:color="auto" w:fill="F2F2F2"/>
            <w:vAlign w:val="center"/>
          </w:tcPr>
          <w:p>
            <w:pPr>
              <w:spacing w:before="0" w:after="40" w:line="276" w:lineRule="auto"/>
            </w:pPr>
            <w:r/>
            <w:r>
              <w:rPr>
                <w:rFonts w:ascii="Calibri" w:hAnsi="Calibri"/>
                <w:color w:val="333333"/>
                <w:sz w:val="19"/>
              </w:rPr>
              <w:t>$250K</w:t>
            </w:r>
          </w:p>
        </w:tc>
      </w:tr>
      <w:tr>
        <w:tc>
          <w:tcPr>
            <w:tcW w:type="dxa" w:w="5760"/>
            <w:vAlign w:val="center"/>
          </w:tcPr>
          <w:p>
            <w:pPr>
              <w:spacing w:before="0" w:after="40" w:line="276" w:lineRule="auto"/>
            </w:pPr>
            <w:r/>
            <w:r>
              <w:rPr>
                <w:rFonts w:ascii="Calibri" w:hAnsi="Calibri"/>
                <w:color w:val="333333"/>
                <w:sz w:val="19"/>
              </w:rPr>
              <w:t>Hedging advisory</w:t>
            </w:r>
          </w:p>
        </w:tc>
        <w:tc>
          <w:tcPr>
            <w:tcW w:type="dxa" w:w="2160"/>
            <w:vAlign w:val="center"/>
          </w:tcPr>
          <w:p>
            <w:pPr>
              <w:spacing w:before="0" w:after="40" w:line="276" w:lineRule="auto"/>
            </w:pPr>
            <w:r/>
            <w:r>
              <w:rPr>
                <w:rFonts w:ascii="Calibri" w:hAnsi="Calibri"/>
                <w:color w:val="333333"/>
                <w:sz w:val="19"/>
              </w:rPr>
              <w:t>$75K</w:t>
            </w:r>
          </w:p>
        </w:tc>
      </w:tr>
      <w:tr>
        <w:tc>
          <w:tcPr>
            <w:tcW w:type="dxa" w:w="5760"/>
            <w:shd w:val="clear" w:color="auto" w:fill="F2F2F2"/>
            <w:vAlign w:val="center"/>
          </w:tcPr>
          <w:p>
            <w:pPr>
              <w:spacing w:before="0" w:after="40" w:line="276" w:lineRule="auto"/>
            </w:pPr>
            <w:r/>
            <w:r>
              <w:rPr>
                <w:rFonts w:ascii="Calibri" w:hAnsi="Calibri"/>
                <w:color w:val="333333"/>
                <w:sz w:val="19"/>
              </w:rPr>
              <w:t>Training &amp; change management</w:t>
            </w:r>
          </w:p>
        </w:tc>
        <w:tc>
          <w:tcPr>
            <w:tcW w:type="dxa" w:w="2160"/>
            <w:shd w:val="clear" w:color="auto" w:fill="F2F2F2"/>
            <w:vAlign w:val="center"/>
          </w:tcPr>
          <w:p>
            <w:pPr>
              <w:spacing w:before="0" w:after="40" w:line="276" w:lineRule="auto"/>
            </w:pPr>
            <w:r/>
            <w:r>
              <w:rPr>
                <w:rFonts w:ascii="Calibri" w:hAnsi="Calibri"/>
                <w:color w:val="333333"/>
                <w:sz w:val="19"/>
              </w:rPr>
              <w:t>$40K</w:t>
            </w:r>
          </w:p>
        </w:tc>
      </w:tr>
      <w:tr>
        <w:tc>
          <w:tcPr>
            <w:tcW w:type="dxa" w:w="5760"/>
            <w:vAlign w:val="center"/>
          </w:tcPr>
          <w:p>
            <w:pPr>
              <w:spacing w:before="0" w:after="40" w:line="276" w:lineRule="auto"/>
            </w:pPr>
            <w:r/>
            <w:r>
              <w:rPr>
                <w:rFonts w:ascii="Calibri" w:hAnsi="Calibri"/>
                <w:color w:val="333333"/>
                <w:sz w:val="19"/>
              </w:rPr>
              <w:t>**TOTAL Annual Ongoing**</w:t>
            </w:r>
          </w:p>
        </w:tc>
        <w:tc>
          <w:tcPr>
            <w:tcW w:type="dxa" w:w="2160"/>
            <w:vAlign w:val="center"/>
          </w:tcPr>
          <w:p>
            <w:pPr>
              <w:spacing w:before="0" w:after="40" w:line="276" w:lineRule="auto"/>
            </w:pPr>
            <w:r/>
            <w:r>
              <w:rPr>
                <w:rFonts w:ascii="Calibri" w:hAnsi="Calibri"/>
                <w:color w:val="333333"/>
                <w:sz w:val="19"/>
              </w:rPr>
              <w:t>$1170K</w:t>
            </w:r>
          </w:p>
        </w:tc>
      </w:tr>
    </w:tbl>
    <w:p>
      <w:pPr>
        <w:spacing w:before="0" w:after="160" w:line="288" w:lineRule="auto"/>
      </w:pPr>
      <w:r>
        <w:rPr>
          <w:rFonts w:ascii="Calibri" w:hAnsi="Calibri"/>
          <w:b w:val="0"/>
          <w:i w:val="0"/>
        </w:rPr>
      </w:r>
    </w:p>
    <w:p>
      <w:pPr>
        <w:pStyle w:val="Heading2"/>
        <w:spacing w:before="280" w:after="120" w:line="276" w:lineRule="auto"/>
      </w:pPr>
      <w:r>
        <w:t>7.4 Projected Loss Avoidance</w:t>
      </w:r>
    </w:p>
    <w:tbl>
      <w:tblPr>
        <w:tblW w:type="auto" w:w="0"/>
        <w:jc w:val="center"/>
        <w:tblLook w:firstColumn="1" w:firstRow="1" w:lastColumn="0" w:lastRow="0" w:noHBand="0" w:noVBand="1" w:val="04A0"/>
      </w:tblPr>
      <w:tblGrid>
        <w:gridCol w:w="4680"/>
        <w:gridCol w:w="4680"/>
      </w:tblGrid>
      <w:tr>
        <w:tc>
          <w:tcPr>
            <w:tcW w:type="dxa" w:w="5760"/>
            <w:shd w:val="clear" w:color="auto" w:fill="003A70"/>
            <w:vAlign w:val="center"/>
          </w:tcPr>
          <w:p>
            <w:pPr>
              <w:spacing w:before="0" w:after="40" w:line="276" w:lineRule="auto"/>
            </w:pPr>
            <w:r/>
            <w:r>
              <w:rPr>
                <w:rFonts w:ascii="Calibri" w:hAnsi="Calibri"/>
                <w:b/>
                <w:color w:val="FFFFFF"/>
                <w:sz w:val="19"/>
              </w:rPr>
              <w:t>Benefit Category</w:t>
            </w:r>
          </w:p>
        </w:tc>
        <w:tc>
          <w:tcPr>
            <w:tcW w:type="dxa" w:w="2160"/>
            <w:shd w:val="clear" w:color="auto" w:fill="003A70"/>
            <w:vAlign w:val="center"/>
          </w:tcPr>
          <w:p>
            <w:pPr>
              <w:spacing w:before="0" w:after="40" w:line="276" w:lineRule="auto"/>
            </w:pPr>
            <w:r/>
            <w:r>
              <w:rPr>
                <w:rFonts w:ascii="Calibri" w:hAnsi="Calibri"/>
                <w:b/>
                <w:color w:val="FFFFFF"/>
                <w:sz w:val="19"/>
              </w:rPr>
              <w:t>Annual Value</w:t>
            </w:r>
          </w:p>
        </w:tc>
      </w:tr>
      <w:tr>
        <w:tc>
          <w:tcPr>
            <w:tcW w:type="dxa" w:w="5760"/>
            <w:vAlign w:val="center"/>
          </w:tcPr>
          <w:p>
            <w:pPr>
              <w:spacing w:before="0" w:after="40" w:line="276" w:lineRule="auto"/>
            </w:pPr>
            <w:r/>
            <w:r>
              <w:rPr>
                <w:rFonts w:ascii="Calibri" w:hAnsi="Calibri"/>
                <w:color w:val="333333"/>
                <w:sz w:val="19"/>
              </w:rPr>
              <w:t>Credit scoring + tiered limits (25% UL reduction)</w:t>
            </w:r>
          </w:p>
        </w:tc>
        <w:tc>
          <w:tcPr>
            <w:tcW w:type="dxa" w:w="2160"/>
            <w:vAlign w:val="center"/>
          </w:tcPr>
          <w:p>
            <w:pPr>
              <w:spacing w:before="0" w:after="40" w:line="276" w:lineRule="auto"/>
            </w:pPr>
            <w:r/>
            <w:r>
              <w:rPr>
                <w:rFonts w:ascii="Calibri" w:hAnsi="Calibri"/>
                <w:color w:val="333333"/>
                <w:sz w:val="19"/>
              </w:rPr>
              <w:t>$1800K</w:t>
            </w:r>
          </w:p>
        </w:tc>
      </w:tr>
      <w:tr>
        <w:tc>
          <w:tcPr>
            <w:tcW w:type="dxa" w:w="5760"/>
            <w:shd w:val="clear" w:color="auto" w:fill="F2F2F2"/>
            <w:vAlign w:val="center"/>
          </w:tcPr>
          <w:p>
            <w:pPr>
              <w:spacing w:before="0" w:after="40" w:line="276" w:lineRule="auto"/>
            </w:pPr>
            <w:r/>
            <w:r>
              <w:rPr>
                <w:rFonts w:ascii="Calibri" w:hAnsi="Calibri"/>
                <w:color w:val="333333"/>
                <w:sz w:val="19"/>
              </w:rPr>
              <w:t>Trade credit insurance (net recovery)</w:t>
            </w:r>
          </w:p>
        </w:tc>
        <w:tc>
          <w:tcPr>
            <w:tcW w:type="dxa" w:w="2160"/>
            <w:shd w:val="clear" w:color="auto" w:fill="F2F2F2"/>
            <w:vAlign w:val="center"/>
          </w:tcPr>
          <w:p>
            <w:pPr>
              <w:spacing w:before="0" w:after="40" w:line="276" w:lineRule="auto"/>
            </w:pPr>
            <w:r/>
            <w:r>
              <w:rPr>
                <w:rFonts w:ascii="Calibri" w:hAnsi="Calibri"/>
                <w:color w:val="333333"/>
                <w:sz w:val="19"/>
              </w:rPr>
              <w:t>$1300K</w:t>
            </w:r>
          </w:p>
        </w:tc>
      </w:tr>
      <w:tr>
        <w:tc>
          <w:tcPr>
            <w:tcW w:type="dxa" w:w="5760"/>
            <w:vAlign w:val="center"/>
          </w:tcPr>
          <w:p>
            <w:pPr>
              <w:spacing w:before="0" w:after="40" w:line="276" w:lineRule="auto"/>
            </w:pPr>
            <w:r/>
            <w:r>
              <w:rPr>
                <w:rFonts w:ascii="Calibri" w:hAnsi="Calibri"/>
                <w:color w:val="333333"/>
                <w:sz w:val="19"/>
              </w:rPr>
              <w:t>Early warning system (15% add'l avoidance)</w:t>
            </w:r>
          </w:p>
        </w:tc>
        <w:tc>
          <w:tcPr>
            <w:tcW w:type="dxa" w:w="2160"/>
            <w:vAlign w:val="center"/>
          </w:tcPr>
          <w:p>
            <w:pPr>
              <w:spacing w:before="0" w:after="40" w:line="276" w:lineRule="auto"/>
            </w:pPr>
            <w:r/>
            <w:r>
              <w:rPr>
                <w:rFonts w:ascii="Calibri" w:hAnsi="Calibri"/>
                <w:color w:val="333333"/>
                <w:sz w:val="19"/>
              </w:rPr>
              <w:t>$650K</w:t>
            </w:r>
          </w:p>
        </w:tc>
      </w:tr>
      <w:tr>
        <w:tc>
          <w:tcPr>
            <w:tcW w:type="dxa" w:w="5760"/>
            <w:shd w:val="clear" w:color="auto" w:fill="F2F2F2"/>
            <w:vAlign w:val="center"/>
          </w:tcPr>
          <w:p>
            <w:pPr>
              <w:spacing w:before="0" w:after="40" w:line="276" w:lineRule="auto"/>
            </w:pPr>
            <w:r/>
            <w:r>
              <w:rPr>
                <w:rFonts w:ascii="Calibri" w:hAnsi="Calibri"/>
                <w:color w:val="333333"/>
                <w:sz w:val="19"/>
              </w:rPr>
              <w:t>Hedging program market risk reduction</w:t>
            </w:r>
          </w:p>
        </w:tc>
        <w:tc>
          <w:tcPr>
            <w:tcW w:type="dxa" w:w="2160"/>
            <w:shd w:val="clear" w:color="auto" w:fill="F2F2F2"/>
            <w:vAlign w:val="center"/>
          </w:tcPr>
          <w:p>
            <w:pPr>
              <w:spacing w:before="0" w:after="40" w:line="276" w:lineRule="auto"/>
            </w:pPr>
            <w:r/>
            <w:r>
              <w:rPr>
                <w:rFonts w:ascii="Calibri" w:hAnsi="Calibri"/>
                <w:color w:val="333333"/>
                <w:sz w:val="19"/>
              </w:rPr>
              <w:t>$800K</w:t>
            </w:r>
          </w:p>
        </w:tc>
      </w:tr>
      <w:tr>
        <w:tc>
          <w:tcPr>
            <w:tcW w:type="dxa" w:w="5760"/>
            <w:vAlign w:val="center"/>
          </w:tcPr>
          <w:p>
            <w:pPr>
              <w:spacing w:before="0" w:after="40" w:line="276" w:lineRule="auto"/>
            </w:pPr>
            <w:r/>
            <w:r>
              <w:rPr>
                <w:rFonts w:ascii="Calibri" w:hAnsi="Calibri"/>
                <w:color w:val="333333"/>
                <w:sz w:val="19"/>
              </w:rPr>
              <w:t>**TOTAL Annual Benefit**</w:t>
            </w:r>
          </w:p>
        </w:tc>
        <w:tc>
          <w:tcPr>
            <w:tcW w:type="dxa" w:w="2160"/>
            <w:vAlign w:val="center"/>
          </w:tcPr>
          <w:p>
            <w:pPr>
              <w:spacing w:before="0" w:after="40" w:line="276" w:lineRule="auto"/>
            </w:pPr>
            <w:r/>
            <w:r>
              <w:rPr>
                <w:rFonts w:ascii="Calibri" w:hAnsi="Calibri"/>
                <w:color w:val="333333"/>
                <w:sz w:val="19"/>
              </w:rPr>
              <w:t>$4550K</w:t>
            </w:r>
          </w:p>
        </w:tc>
      </w:tr>
    </w:tbl>
    <w:p>
      <w:pPr>
        <w:spacing w:before="0" w:after="160" w:line="288" w:lineRule="auto"/>
      </w:pPr>
      <w:r>
        <w:rPr>
          <w:rFonts w:ascii="Calibri" w:hAnsi="Calibri"/>
          <w:b w:val="0"/>
          <w:i w:val="0"/>
        </w:rPr>
      </w:r>
    </w:p>
    <w:p>
      <w:pPr>
        <w:jc w:val="center"/>
      </w:pPr>
      <w:r>
        <w:drawing>
          <wp:inline xmlns:a="http://schemas.openxmlformats.org/drawingml/2006/main" xmlns:pic="http://schemas.openxmlformats.org/drawingml/2006/picture">
            <wp:extent cx="5943600" cy="3307014"/>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3307014"/>
                    </a:xfrm>
                    <a:prstGeom prst="rect"/>
                  </pic:spPr>
                </pic:pic>
              </a:graphicData>
            </a:graphic>
          </wp:inline>
        </w:drawing>
      </w:r>
    </w:p>
    <w:p>
      <w:pPr>
        <w:spacing w:before="0" w:after="240" w:line="276" w:lineRule="auto"/>
        <w:jc w:val="center"/>
      </w:pPr>
      <w:r>
        <w:rPr>
          <w:rFonts w:ascii="Calibri" w:hAnsi="Calibri"/>
          <w:i/>
          <w:color w:val="666666"/>
          <w:sz w:val="18"/>
        </w:rPr>
        <w:t>Exhibit: Net steady-state annual economics: $3.38M positive, before discounting.</w:t>
      </w:r>
    </w:p>
    <w:p>
      <w:pPr>
        <w:pStyle w:val="Heading2"/>
        <w:spacing w:before="280" w:after="120" w:line="276" w:lineRule="auto"/>
      </w:pPr>
      <w:r>
        <w:t>7.5 10-Year NPV &amp; ROI Projection</w:t>
      </w:r>
    </w:p>
    <w:p>
      <w:pPr>
        <w:spacing w:before="0" w:after="160" w:line="300" w:lineRule="auto"/>
      </w:pPr>
      <w:r>
        <w:rPr>
          <w:rFonts w:ascii="Calibri" w:hAnsi="Calibri"/>
          <w:b w:val="0"/>
          <w:i w:val="0"/>
          <w:sz w:val="21"/>
        </w:rPr>
        <w:t>Using an 8% discount rate over the 10-year horizon, the mitigation program delivers an NPV of approximately $20.1M. Cumulative 10-year ROI is ~253%.</w:t>
      </w:r>
    </w:p>
    <w:p>
      <w:pPr>
        <w:jc w:val="center"/>
      </w:pPr>
      <w:r>
        <w:drawing>
          <wp:inline xmlns:a="http://schemas.openxmlformats.org/drawingml/2006/main" xmlns:pic="http://schemas.openxmlformats.org/drawingml/2006/picture">
            <wp:extent cx="5943600" cy="3675508"/>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3675508"/>
                    </a:xfrm>
                    <a:prstGeom prst="rect"/>
                  </pic:spPr>
                </pic:pic>
              </a:graphicData>
            </a:graphic>
          </wp:inline>
        </w:drawing>
      </w:r>
    </w:p>
    <w:p>
      <w:pPr>
        <w:spacing w:before="0" w:after="240" w:line="276" w:lineRule="auto"/>
        <w:jc w:val="center"/>
      </w:pPr>
      <w:r>
        <w:rPr>
          <w:rFonts w:ascii="Calibri" w:hAnsi="Calibri"/>
          <w:i/>
          <w:color w:val="666666"/>
          <w:sz w:val="18"/>
        </w:rPr>
        <w:t>Exhibit: Breakeven occurs within Year 1; cumulative benefit reaches ~$29M nominally by Year 10.</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003A70"/>
            <w:vAlign w:val="center"/>
          </w:tcPr>
          <w:p>
            <w:pPr>
              <w:spacing w:before="0" w:after="40" w:line="276" w:lineRule="auto"/>
            </w:pPr>
            <w:r/>
            <w:r>
              <w:rPr>
                <w:rFonts w:ascii="Calibri" w:hAnsi="Calibri"/>
                <w:b/>
                <w:color w:val="FFFFFF"/>
                <w:sz w:val="19"/>
              </w:rPr>
              <w:t>Year</w:t>
            </w:r>
          </w:p>
        </w:tc>
        <w:tc>
          <w:tcPr>
            <w:tcW w:type="dxa" w:w="2016"/>
            <w:shd w:val="clear" w:color="auto" w:fill="003A70"/>
            <w:vAlign w:val="center"/>
          </w:tcPr>
          <w:p>
            <w:pPr>
              <w:spacing w:before="0" w:after="40" w:line="276" w:lineRule="auto"/>
            </w:pPr>
            <w:r/>
            <w:r>
              <w:rPr>
                <w:rFonts w:ascii="Calibri" w:hAnsi="Calibri"/>
                <w:b/>
                <w:color w:val="FFFFFF"/>
                <w:sz w:val="19"/>
              </w:rPr>
              <w:t>Cost</w:t>
            </w:r>
          </w:p>
        </w:tc>
        <w:tc>
          <w:tcPr>
            <w:tcW w:type="dxa" w:w="2016"/>
            <w:shd w:val="clear" w:color="auto" w:fill="003A70"/>
            <w:vAlign w:val="center"/>
          </w:tcPr>
          <w:p>
            <w:pPr>
              <w:spacing w:before="0" w:after="40" w:line="276" w:lineRule="auto"/>
            </w:pPr>
            <w:r/>
            <w:r>
              <w:rPr>
                <w:rFonts w:ascii="Calibri" w:hAnsi="Calibri"/>
                <w:b/>
                <w:color w:val="FFFFFF"/>
                <w:sz w:val="19"/>
              </w:rPr>
              <w:t>Benefit</w:t>
            </w:r>
          </w:p>
        </w:tc>
        <w:tc>
          <w:tcPr>
            <w:tcW w:type="dxa" w:w="2304"/>
            <w:shd w:val="clear" w:color="auto" w:fill="003A70"/>
            <w:vAlign w:val="center"/>
          </w:tcPr>
          <w:p>
            <w:pPr>
              <w:spacing w:before="0" w:after="40" w:line="276" w:lineRule="auto"/>
            </w:pPr>
            <w:r/>
            <w:r>
              <w:rPr>
                <w:rFonts w:ascii="Calibri" w:hAnsi="Calibri"/>
                <w:b/>
                <w:color w:val="FFFFFF"/>
                <w:sz w:val="19"/>
              </w:rPr>
              <w:t>Net Cash Flow</w:t>
            </w:r>
          </w:p>
        </w:tc>
      </w:tr>
      <w:tr>
        <w:tc>
          <w:tcPr>
            <w:tcW w:type="dxa" w:w="1440"/>
            <w:vAlign w:val="center"/>
          </w:tcPr>
          <w:p>
            <w:pPr>
              <w:spacing w:before="0" w:after="40" w:line="276" w:lineRule="auto"/>
            </w:pPr>
            <w:r/>
            <w:r>
              <w:rPr>
                <w:rFonts w:ascii="Calibri" w:hAnsi="Calibri"/>
                <w:color w:val="333333"/>
                <w:sz w:val="19"/>
              </w:rPr>
              <w:t>Year 1</w:t>
            </w:r>
          </w:p>
        </w:tc>
        <w:tc>
          <w:tcPr>
            <w:tcW w:type="dxa" w:w="2016"/>
            <w:vAlign w:val="center"/>
          </w:tcPr>
          <w:p>
            <w:pPr>
              <w:spacing w:before="0" w:after="40" w:line="276" w:lineRule="auto"/>
            </w:pPr>
            <w:r/>
            <w:r>
              <w:rPr>
                <w:rFonts w:ascii="Calibri" w:hAnsi="Calibri"/>
                <w:color w:val="333333"/>
                <w:sz w:val="19"/>
              </w:rPr>
              <w:t>$1715K</w:t>
            </w:r>
          </w:p>
        </w:tc>
        <w:tc>
          <w:tcPr>
            <w:tcW w:type="dxa" w:w="2016"/>
            <w:vAlign w:val="center"/>
          </w:tcPr>
          <w:p>
            <w:pPr>
              <w:spacing w:before="0" w:after="40" w:line="276" w:lineRule="auto"/>
            </w:pPr>
            <w:r/>
            <w:r>
              <w:rPr>
                <w:rFonts w:ascii="Calibri" w:hAnsi="Calibri"/>
                <w:color w:val="333333"/>
                <w:sz w:val="19"/>
              </w:rPr>
              <w:t>$2275K</w:t>
            </w:r>
          </w:p>
        </w:tc>
        <w:tc>
          <w:tcPr>
            <w:tcW w:type="dxa" w:w="2304"/>
            <w:vAlign w:val="center"/>
          </w:tcPr>
          <w:p>
            <w:pPr>
              <w:spacing w:before="0" w:after="40" w:line="276" w:lineRule="auto"/>
            </w:pPr>
            <w:r/>
            <w:r>
              <w:rPr>
                <w:rFonts w:ascii="Calibri" w:hAnsi="Calibri"/>
                <w:color w:val="333333"/>
                <w:sz w:val="19"/>
              </w:rPr>
              <w:t>$560K</w:t>
            </w:r>
          </w:p>
        </w:tc>
      </w:tr>
      <w:tr>
        <w:tc>
          <w:tcPr>
            <w:tcW w:type="dxa" w:w="1440"/>
            <w:shd w:val="clear" w:color="auto" w:fill="F2F2F2"/>
            <w:vAlign w:val="center"/>
          </w:tcPr>
          <w:p>
            <w:pPr>
              <w:spacing w:before="0" w:after="40" w:line="276" w:lineRule="auto"/>
            </w:pPr>
            <w:r/>
            <w:r>
              <w:rPr>
                <w:rFonts w:ascii="Calibri" w:hAnsi="Calibri"/>
                <w:color w:val="333333"/>
                <w:sz w:val="19"/>
              </w:rPr>
              <w:t>Year 2</w:t>
            </w:r>
          </w:p>
        </w:tc>
        <w:tc>
          <w:tcPr>
            <w:tcW w:type="dxa" w:w="2016"/>
            <w:shd w:val="clear" w:color="auto" w:fill="F2F2F2"/>
            <w:vAlign w:val="center"/>
          </w:tcPr>
          <w:p>
            <w:pPr>
              <w:spacing w:before="0" w:after="40" w:line="276" w:lineRule="auto"/>
            </w:pPr>
            <w:r/>
            <w:r>
              <w:rPr>
                <w:rFonts w:ascii="Calibri" w:hAnsi="Calibri"/>
                <w:color w:val="333333"/>
                <w:sz w:val="19"/>
              </w:rPr>
              <w:t>$1170K</w:t>
            </w:r>
          </w:p>
        </w:tc>
        <w:tc>
          <w:tcPr>
            <w:tcW w:type="dxa" w:w="2016"/>
            <w:shd w:val="clear" w:color="auto" w:fill="F2F2F2"/>
            <w:vAlign w:val="center"/>
          </w:tcPr>
          <w:p>
            <w:pPr>
              <w:spacing w:before="0" w:after="40" w:line="276" w:lineRule="auto"/>
            </w:pPr>
            <w:r/>
            <w:r>
              <w:rPr>
                <w:rFonts w:ascii="Calibri" w:hAnsi="Calibri"/>
                <w:color w:val="333333"/>
                <w:sz w:val="19"/>
              </w:rPr>
              <w:t>$4550K</w:t>
            </w:r>
          </w:p>
        </w:tc>
        <w:tc>
          <w:tcPr>
            <w:tcW w:type="dxa" w:w="2304"/>
            <w:shd w:val="clear" w:color="auto" w:fill="F2F2F2"/>
            <w:vAlign w:val="center"/>
          </w:tcPr>
          <w:p>
            <w:pPr>
              <w:spacing w:before="0" w:after="40" w:line="276" w:lineRule="auto"/>
            </w:pPr>
            <w:r/>
            <w:r>
              <w:rPr>
                <w:rFonts w:ascii="Calibri" w:hAnsi="Calibri"/>
                <w:color w:val="333333"/>
                <w:sz w:val="19"/>
              </w:rPr>
              <w:t>$3380K</w:t>
            </w:r>
          </w:p>
        </w:tc>
      </w:tr>
      <w:tr>
        <w:tc>
          <w:tcPr>
            <w:tcW w:type="dxa" w:w="1440"/>
            <w:vAlign w:val="center"/>
          </w:tcPr>
          <w:p>
            <w:pPr>
              <w:spacing w:before="0" w:after="40" w:line="276" w:lineRule="auto"/>
            </w:pPr>
            <w:r/>
            <w:r>
              <w:rPr>
                <w:rFonts w:ascii="Calibri" w:hAnsi="Calibri"/>
                <w:color w:val="333333"/>
                <w:sz w:val="19"/>
              </w:rPr>
              <w:t>Year 3</w:t>
            </w:r>
          </w:p>
        </w:tc>
        <w:tc>
          <w:tcPr>
            <w:tcW w:type="dxa" w:w="2016"/>
            <w:vAlign w:val="center"/>
          </w:tcPr>
          <w:p>
            <w:pPr>
              <w:spacing w:before="0" w:after="40" w:line="276" w:lineRule="auto"/>
            </w:pPr>
            <w:r/>
            <w:r>
              <w:rPr>
                <w:rFonts w:ascii="Calibri" w:hAnsi="Calibri"/>
                <w:color w:val="333333"/>
                <w:sz w:val="19"/>
              </w:rPr>
              <w:t>$1170K</w:t>
            </w:r>
          </w:p>
        </w:tc>
        <w:tc>
          <w:tcPr>
            <w:tcW w:type="dxa" w:w="2016"/>
            <w:vAlign w:val="center"/>
          </w:tcPr>
          <w:p>
            <w:pPr>
              <w:spacing w:before="0" w:after="40" w:line="276" w:lineRule="auto"/>
            </w:pPr>
            <w:r/>
            <w:r>
              <w:rPr>
                <w:rFonts w:ascii="Calibri" w:hAnsi="Calibri"/>
                <w:color w:val="333333"/>
                <w:sz w:val="19"/>
              </w:rPr>
              <w:t>$4550K</w:t>
            </w:r>
          </w:p>
        </w:tc>
        <w:tc>
          <w:tcPr>
            <w:tcW w:type="dxa" w:w="2304"/>
            <w:vAlign w:val="center"/>
          </w:tcPr>
          <w:p>
            <w:pPr>
              <w:spacing w:before="0" w:after="40" w:line="276" w:lineRule="auto"/>
            </w:pPr>
            <w:r/>
            <w:r>
              <w:rPr>
                <w:rFonts w:ascii="Calibri" w:hAnsi="Calibri"/>
                <w:color w:val="333333"/>
                <w:sz w:val="19"/>
              </w:rPr>
              <w:t>$3380K</w:t>
            </w:r>
          </w:p>
        </w:tc>
      </w:tr>
      <w:tr>
        <w:tc>
          <w:tcPr>
            <w:tcW w:type="dxa" w:w="1440"/>
            <w:shd w:val="clear" w:color="auto" w:fill="F2F2F2"/>
            <w:vAlign w:val="center"/>
          </w:tcPr>
          <w:p>
            <w:pPr>
              <w:spacing w:before="0" w:after="40" w:line="276" w:lineRule="auto"/>
            </w:pPr>
            <w:r/>
            <w:r>
              <w:rPr>
                <w:rFonts w:ascii="Calibri" w:hAnsi="Calibri"/>
                <w:color w:val="333333"/>
                <w:sz w:val="19"/>
              </w:rPr>
              <w:t>Year 4</w:t>
            </w:r>
          </w:p>
        </w:tc>
        <w:tc>
          <w:tcPr>
            <w:tcW w:type="dxa" w:w="2016"/>
            <w:shd w:val="clear" w:color="auto" w:fill="F2F2F2"/>
            <w:vAlign w:val="center"/>
          </w:tcPr>
          <w:p>
            <w:pPr>
              <w:spacing w:before="0" w:after="40" w:line="276" w:lineRule="auto"/>
            </w:pPr>
            <w:r/>
            <w:r>
              <w:rPr>
                <w:rFonts w:ascii="Calibri" w:hAnsi="Calibri"/>
                <w:color w:val="333333"/>
                <w:sz w:val="19"/>
              </w:rPr>
              <w:t>$1170K</w:t>
            </w:r>
          </w:p>
        </w:tc>
        <w:tc>
          <w:tcPr>
            <w:tcW w:type="dxa" w:w="2016"/>
            <w:shd w:val="clear" w:color="auto" w:fill="F2F2F2"/>
            <w:vAlign w:val="center"/>
          </w:tcPr>
          <w:p>
            <w:pPr>
              <w:spacing w:before="0" w:after="40" w:line="276" w:lineRule="auto"/>
            </w:pPr>
            <w:r/>
            <w:r>
              <w:rPr>
                <w:rFonts w:ascii="Calibri" w:hAnsi="Calibri"/>
                <w:color w:val="333333"/>
                <w:sz w:val="19"/>
              </w:rPr>
              <w:t>$4550K</w:t>
            </w:r>
          </w:p>
        </w:tc>
        <w:tc>
          <w:tcPr>
            <w:tcW w:type="dxa" w:w="2304"/>
            <w:shd w:val="clear" w:color="auto" w:fill="F2F2F2"/>
            <w:vAlign w:val="center"/>
          </w:tcPr>
          <w:p>
            <w:pPr>
              <w:spacing w:before="0" w:after="40" w:line="276" w:lineRule="auto"/>
            </w:pPr>
            <w:r/>
            <w:r>
              <w:rPr>
                <w:rFonts w:ascii="Calibri" w:hAnsi="Calibri"/>
                <w:color w:val="333333"/>
                <w:sz w:val="19"/>
              </w:rPr>
              <w:t>$3380K</w:t>
            </w:r>
          </w:p>
        </w:tc>
      </w:tr>
      <w:tr>
        <w:tc>
          <w:tcPr>
            <w:tcW w:type="dxa" w:w="1440"/>
            <w:vAlign w:val="center"/>
          </w:tcPr>
          <w:p>
            <w:pPr>
              <w:spacing w:before="0" w:after="40" w:line="276" w:lineRule="auto"/>
            </w:pPr>
            <w:r/>
            <w:r>
              <w:rPr>
                <w:rFonts w:ascii="Calibri" w:hAnsi="Calibri"/>
                <w:color w:val="333333"/>
                <w:sz w:val="19"/>
              </w:rPr>
              <w:t>Year 5</w:t>
            </w:r>
          </w:p>
        </w:tc>
        <w:tc>
          <w:tcPr>
            <w:tcW w:type="dxa" w:w="2016"/>
            <w:vAlign w:val="center"/>
          </w:tcPr>
          <w:p>
            <w:pPr>
              <w:spacing w:before="0" w:after="40" w:line="276" w:lineRule="auto"/>
            </w:pPr>
            <w:r/>
            <w:r>
              <w:rPr>
                <w:rFonts w:ascii="Calibri" w:hAnsi="Calibri"/>
                <w:color w:val="333333"/>
                <w:sz w:val="19"/>
              </w:rPr>
              <w:t>$1170K</w:t>
            </w:r>
          </w:p>
        </w:tc>
        <w:tc>
          <w:tcPr>
            <w:tcW w:type="dxa" w:w="2016"/>
            <w:vAlign w:val="center"/>
          </w:tcPr>
          <w:p>
            <w:pPr>
              <w:spacing w:before="0" w:after="40" w:line="276" w:lineRule="auto"/>
            </w:pPr>
            <w:r/>
            <w:r>
              <w:rPr>
                <w:rFonts w:ascii="Calibri" w:hAnsi="Calibri"/>
                <w:color w:val="333333"/>
                <w:sz w:val="19"/>
              </w:rPr>
              <w:t>$4550K</w:t>
            </w:r>
          </w:p>
        </w:tc>
        <w:tc>
          <w:tcPr>
            <w:tcW w:type="dxa" w:w="2304"/>
            <w:vAlign w:val="center"/>
          </w:tcPr>
          <w:p>
            <w:pPr>
              <w:spacing w:before="0" w:after="40" w:line="276" w:lineRule="auto"/>
            </w:pPr>
            <w:r/>
            <w:r>
              <w:rPr>
                <w:rFonts w:ascii="Calibri" w:hAnsi="Calibri"/>
                <w:color w:val="333333"/>
                <w:sz w:val="19"/>
              </w:rPr>
              <w:t>$3380K</w:t>
            </w:r>
          </w:p>
        </w:tc>
      </w:tr>
      <w:tr>
        <w:tc>
          <w:tcPr>
            <w:tcW w:type="dxa" w:w="1440"/>
            <w:shd w:val="clear" w:color="auto" w:fill="F2F2F2"/>
            <w:vAlign w:val="center"/>
          </w:tcPr>
          <w:p>
            <w:pPr>
              <w:spacing w:before="0" w:after="40" w:line="276" w:lineRule="auto"/>
            </w:pPr>
            <w:r/>
            <w:r>
              <w:rPr>
                <w:rFonts w:ascii="Calibri" w:hAnsi="Calibri"/>
                <w:color w:val="333333"/>
                <w:sz w:val="19"/>
              </w:rPr>
              <w:t>Year 6</w:t>
            </w:r>
          </w:p>
        </w:tc>
        <w:tc>
          <w:tcPr>
            <w:tcW w:type="dxa" w:w="2016"/>
            <w:shd w:val="clear" w:color="auto" w:fill="F2F2F2"/>
            <w:vAlign w:val="center"/>
          </w:tcPr>
          <w:p>
            <w:pPr>
              <w:spacing w:before="0" w:after="40" w:line="276" w:lineRule="auto"/>
            </w:pPr>
            <w:r/>
            <w:r>
              <w:rPr>
                <w:rFonts w:ascii="Calibri" w:hAnsi="Calibri"/>
                <w:color w:val="333333"/>
                <w:sz w:val="19"/>
              </w:rPr>
              <w:t>$1170K</w:t>
            </w:r>
          </w:p>
        </w:tc>
        <w:tc>
          <w:tcPr>
            <w:tcW w:type="dxa" w:w="2016"/>
            <w:shd w:val="clear" w:color="auto" w:fill="F2F2F2"/>
            <w:vAlign w:val="center"/>
          </w:tcPr>
          <w:p>
            <w:pPr>
              <w:spacing w:before="0" w:after="40" w:line="276" w:lineRule="auto"/>
            </w:pPr>
            <w:r/>
            <w:r>
              <w:rPr>
                <w:rFonts w:ascii="Calibri" w:hAnsi="Calibri"/>
                <w:color w:val="333333"/>
                <w:sz w:val="19"/>
              </w:rPr>
              <w:t>$4550K</w:t>
            </w:r>
          </w:p>
        </w:tc>
        <w:tc>
          <w:tcPr>
            <w:tcW w:type="dxa" w:w="2304"/>
            <w:shd w:val="clear" w:color="auto" w:fill="F2F2F2"/>
            <w:vAlign w:val="center"/>
          </w:tcPr>
          <w:p>
            <w:pPr>
              <w:spacing w:before="0" w:after="40" w:line="276" w:lineRule="auto"/>
            </w:pPr>
            <w:r/>
            <w:r>
              <w:rPr>
                <w:rFonts w:ascii="Calibri" w:hAnsi="Calibri"/>
                <w:color w:val="333333"/>
                <w:sz w:val="19"/>
              </w:rPr>
              <w:t>$3380K</w:t>
            </w:r>
          </w:p>
        </w:tc>
      </w:tr>
      <w:tr>
        <w:tc>
          <w:tcPr>
            <w:tcW w:type="dxa" w:w="1440"/>
            <w:vAlign w:val="center"/>
          </w:tcPr>
          <w:p>
            <w:pPr>
              <w:spacing w:before="0" w:after="40" w:line="276" w:lineRule="auto"/>
            </w:pPr>
            <w:r/>
            <w:r>
              <w:rPr>
                <w:rFonts w:ascii="Calibri" w:hAnsi="Calibri"/>
                <w:color w:val="333333"/>
                <w:sz w:val="19"/>
              </w:rPr>
              <w:t>Year 7</w:t>
            </w:r>
          </w:p>
        </w:tc>
        <w:tc>
          <w:tcPr>
            <w:tcW w:type="dxa" w:w="2016"/>
            <w:vAlign w:val="center"/>
          </w:tcPr>
          <w:p>
            <w:pPr>
              <w:spacing w:before="0" w:after="40" w:line="276" w:lineRule="auto"/>
            </w:pPr>
            <w:r/>
            <w:r>
              <w:rPr>
                <w:rFonts w:ascii="Calibri" w:hAnsi="Calibri"/>
                <w:color w:val="333333"/>
                <w:sz w:val="19"/>
              </w:rPr>
              <w:t>$1170K</w:t>
            </w:r>
          </w:p>
        </w:tc>
        <w:tc>
          <w:tcPr>
            <w:tcW w:type="dxa" w:w="2016"/>
            <w:vAlign w:val="center"/>
          </w:tcPr>
          <w:p>
            <w:pPr>
              <w:spacing w:before="0" w:after="40" w:line="276" w:lineRule="auto"/>
            </w:pPr>
            <w:r/>
            <w:r>
              <w:rPr>
                <w:rFonts w:ascii="Calibri" w:hAnsi="Calibri"/>
                <w:color w:val="333333"/>
                <w:sz w:val="19"/>
              </w:rPr>
              <w:t>$4550K</w:t>
            </w:r>
          </w:p>
        </w:tc>
        <w:tc>
          <w:tcPr>
            <w:tcW w:type="dxa" w:w="2304"/>
            <w:vAlign w:val="center"/>
          </w:tcPr>
          <w:p>
            <w:pPr>
              <w:spacing w:before="0" w:after="40" w:line="276" w:lineRule="auto"/>
            </w:pPr>
            <w:r/>
            <w:r>
              <w:rPr>
                <w:rFonts w:ascii="Calibri" w:hAnsi="Calibri"/>
                <w:color w:val="333333"/>
                <w:sz w:val="19"/>
              </w:rPr>
              <w:t>$3380K</w:t>
            </w:r>
          </w:p>
        </w:tc>
      </w:tr>
      <w:tr>
        <w:tc>
          <w:tcPr>
            <w:tcW w:type="dxa" w:w="1440"/>
            <w:shd w:val="clear" w:color="auto" w:fill="F2F2F2"/>
            <w:vAlign w:val="center"/>
          </w:tcPr>
          <w:p>
            <w:pPr>
              <w:spacing w:before="0" w:after="40" w:line="276" w:lineRule="auto"/>
            </w:pPr>
            <w:r/>
            <w:r>
              <w:rPr>
                <w:rFonts w:ascii="Calibri" w:hAnsi="Calibri"/>
                <w:color w:val="333333"/>
                <w:sz w:val="19"/>
              </w:rPr>
              <w:t>Year 8</w:t>
            </w:r>
          </w:p>
        </w:tc>
        <w:tc>
          <w:tcPr>
            <w:tcW w:type="dxa" w:w="2016"/>
            <w:shd w:val="clear" w:color="auto" w:fill="F2F2F2"/>
            <w:vAlign w:val="center"/>
          </w:tcPr>
          <w:p>
            <w:pPr>
              <w:spacing w:before="0" w:after="40" w:line="276" w:lineRule="auto"/>
            </w:pPr>
            <w:r/>
            <w:r>
              <w:rPr>
                <w:rFonts w:ascii="Calibri" w:hAnsi="Calibri"/>
                <w:color w:val="333333"/>
                <w:sz w:val="19"/>
              </w:rPr>
              <w:t>$1170K</w:t>
            </w:r>
          </w:p>
        </w:tc>
        <w:tc>
          <w:tcPr>
            <w:tcW w:type="dxa" w:w="2016"/>
            <w:shd w:val="clear" w:color="auto" w:fill="F2F2F2"/>
            <w:vAlign w:val="center"/>
          </w:tcPr>
          <w:p>
            <w:pPr>
              <w:spacing w:before="0" w:after="40" w:line="276" w:lineRule="auto"/>
            </w:pPr>
            <w:r/>
            <w:r>
              <w:rPr>
                <w:rFonts w:ascii="Calibri" w:hAnsi="Calibri"/>
                <w:color w:val="333333"/>
                <w:sz w:val="19"/>
              </w:rPr>
              <w:t>$4550K</w:t>
            </w:r>
          </w:p>
        </w:tc>
        <w:tc>
          <w:tcPr>
            <w:tcW w:type="dxa" w:w="2304"/>
            <w:shd w:val="clear" w:color="auto" w:fill="F2F2F2"/>
            <w:vAlign w:val="center"/>
          </w:tcPr>
          <w:p>
            <w:pPr>
              <w:spacing w:before="0" w:after="40" w:line="276" w:lineRule="auto"/>
            </w:pPr>
            <w:r/>
            <w:r>
              <w:rPr>
                <w:rFonts w:ascii="Calibri" w:hAnsi="Calibri"/>
                <w:color w:val="333333"/>
                <w:sz w:val="19"/>
              </w:rPr>
              <w:t>$3380K</w:t>
            </w:r>
          </w:p>
        </w:tc>
      </w:tr>
      <w:tr>
        <w:tc>
          <w:tcPr>
            <w:tcW w:type="dxa" w:w="1440"/>
            <w:vAlign w:val="center"/>
          </w:tcPr>
          <w:p>
            <w:pPr>
              <w:spacing w:before="0" w:after="40" w:line="276" w:lineRule="auto"/>
            </w:pPr>
            <w:r/>
            <w:r>
              <w:rPr>
                <w:rFonts w:ascii="Calibri" w:hAnsi="Calibri"/>
                <w:color w:val="333333"/>
                <w:sz w:val="19"/>
              </w:rPr>
              <w:t>Year 9</w:t>
            </w:r>
          </w:p>
        </w:tc>
        <w:tc>
          <w:tcPr>
            <w:tcW w:type="dxa" w:w="2016"/>
            <w:vAlign w:val="center"/>
          </w:tcPr>
          <w:p>
            <w:pPr>
              <w:spacing w:before="0" w:after="40" w:line="276" w:lineRule="auto"/>
            </w:pPr>
            <w:r/>
            <w:r>
              <w:rPr>
                <w:rFonts w:ascii="Calibri" w:hAnsi="Calibri"/>
                <w:color w:val="333333"/>
                <w:sz w:val="19"/>
              </w:rPr>
              <w:t>$1170K</w:t>
            </w:r>
          </w:p>
        </w:tc>
        <w:tc>
          <w:tcPr>
            <w:tcW w:type="dxa" w:w="2016"/>
            <w:vAlign w:val="center"/>
          </w:tcPr>
          <w:p>
            <w:pPr>
              <w:spacing w:before="0" w:after="40" w:line="276" w:lineRule="auto"/>
            </w:pPr>
            <w:r/>
            <w:r>
              <w:rPr>
                <w:rFonts w:ascii="Calibri" w:hAnsi="Calibri"/>
                <w:color w:val="333333"/>
                <w:sz w:val="19"/>
              </w:rPr>
              <w:t>$4550K</w:t>
            </w:r>
          </w:p>
        </w:tc>
        <w:tc>
          <w:tcPr>
            <w:tcW w:type="dxa" w:w="2304"/>
            <w:vAlign w:val="center"/>
          </w:tcPr>
          <w:p>
            <w:pPr>
              <w:spacing w:before="0" w:after="40" w:line="276" w:lineRule="auto"/>
            </w:pPr>
            <w:r/>
            <w:r>
              <w:rPr>
                <w:rFonts w:ascii="Calibri" w:hAnsi="Calibri"/>
                <w:color w:val="333333"/>
                <w:sz w:val="19"/>
              </w:rPr>
              <w:t>$3380K</w:t>
            </w:r>
          </w:p>
        </w:tc>
      </w:tr>
      <w:tr>
        <w:tc>
          <w:tcPr>
            <w:tcW w:type="dxa" w:w="1440"/>
            <w:shd w:val="clear" w:color="auto" w:fill="F2F2F2"/>
            <w:vAlign w:val="center"/>
          </w:tcPr>
          <w:p>
            <w:pPr>
              <w:spacing w:before="0" w:after="40" w:line="276" w:lineRule="auto"/>
            </w:pPr>
            <w:r/>
            <w:r>
              <w:rPr>
                <w:rFonts w:ascii="Calibri" w:hAnsi="Calibri"/>
                <w:color w:val="333333"/>
                <w:sz w:val="19"/>
              </w:rPr>
              <w:t>Year 10</w:t>
            </w:r>
          </w:p>
        </w:tc>
        <w:tc>
          <w:tcPr>
            <w:tcW w:type="dxa" w:w="2016"/>
            <w:shd w:val="clear" w:color="auto" w:fill="F2F2F2"/>
            <w:vAlign w:val="center"/>
          </w:tcPr>
          <w:p>
            <w:pPr>
              <w:spacing w:before="0" w:after="40" w:line="276" w:lineRule="auto"/>
            </w:pPr>
            <w:r/>
            <w:r>
              <w:rPr>
                <w:rFonts w:ascii="Calibri" w:hAnsi="Calibri"/>
                <w:color w:val="333333"/>
                <w:sz w:val="19"/>
              </w:rPr>
              <w:t>$1170K</w:t>
            </w:r>
          </w:p>
        </w:tc>
        <w:tc>
          <w:tcPr>
            <w:tcW w:type="dxa" w:w="2016"/>
            <w:shd w:val="clear" w:color="auto" w:fill="F2F2F2"/>
            <w:vAlign w:val="center"/>
          </w:tcPr>
          <w:p>
            <w:pPr>
              <w:spacing w:before="0" w:after="40" w:line="276" w:lineRule="auto"/>
            </w:pPr>
            <w:r/>
            <w:r>
              <w:rPr>
                <w:rFonts w:ascii="Calibri" w:hAnsi="Calibri"/>
                <w:color w:val="333333"/>
                <w:sz w:val="19"/>
              </w:rPr>
              <w:t>$4550K</w:t>
            </w:r>
          </w:p>
        </w:tc>
        <w:tc>
          <w:tcPr>
            <w:tcW w:type="dxa" w:w="2304"/>
            <w:shd w:val="clear" w:color="auto" w:fill="F2F2F2"/>
            <w:vAlign w:val="center"/>
          </w:tcPr>
          <w:p>
            <w:pPr>
              <w:spacing w:before="0" w:after="40" w:line="276" w:lineRule="auto"/>
            </w:pPr>
            <w:r/>
            <w:r>
              <w:rPr>
                <w:rFonts w:ascii="Calibri" w:hAnsi="Calibri"/>
                <w:color w:val="333333"/>
                <w:sz w:val="19"/>
              </w:rPr>
              <w:t>$3380K</w:t>
            </w:r>
          </w:p>
        </w:tc>
      </w:tr>
    </w:tbl>
    <w:p>
      <w:pPr>
        <w:spacing w:before="0" w:after="160" w:line="288" w:lineRule="auto"/>
      </w:pPr>
      <w:r>
        <w:rPr>
          <w:rFonts w:ascii="Calibri" w:hAnsi="Calibri"/>
          <w:b w:val="0"/>
          <w:i w:val="0"/>
        </w:rPr>
      </w:r>
    </w:p>
    <w:p>
      <w:pPr>
        <w:pStyle w:val="Heading2"/>
        <w:spacing w:before="280" w:after="120" w:line="276" w:lineRule="auto"/>
      </w:pPr>
      <w:r>
        <w:t>7.6 Sensitivity Analysis</w:t>
      </w:r>
    </w:p>
    <w:p>
      <w:pPr>
        <w:spacing w:before="0" w:after="160" w:line="300" w:lineRule="auto"/>
      </w:pPr>
      <w:r>
        <w:rPr>
          <w:rFonts w:ascii="Calibri" w:hAnsi="Calibri"/>
          <w:b w:val="0"/>
          <w:i w:val="0"/>
          <w:sz w:val="21"/>
        </w:rPr>
        <w:t>Tornado analysis identifies which assumptions most materially drive NPV outcomes. The top three sensitivities are: (1) default rate assumptions, (2) benefit realization rate, and (3) discount rate.</w:t>
      </w:r>
    </w:p>
    <w:p>
      <w:pPr>
        <w:jc w:val="center"/>
      </w:pPr>
      <w:r>
        <w:drawing>
          <wp:inline xmlns:a="http://schemas.openxmlformats.org/drawingml/2006/main" xmlns:pic="http://schemas.openxmlformats.org/drawingml/2006/picture">
            <wp:extent cx="5943600" cy="3266472"/>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3266472"/>
                    </a:xfrm>
                    <a:prstGeom prst="rect"/>
                  </pic:spPr>
                </pic:pic>
              </a:graphicData>
            </a:graphic>
          </wp:inline>
        </w:drawing>
      </w:r>
    </w:p>
    <w:p>
      <w:pPr>
        <w:spacing w:before="0" w:after="240" w:line="276" w:lineRule="auto"/>
        <w:jc w:val="center"/>
      </w:pPr>
      <w:r>
        <w:rPr>
          <w:rFonts w:ascii="Calibri" w:hAnsi="Calibri"/>
          <w:i/>
          <w:color w:val="666666"/>
          <w:sz w:val="18"/>
        </w:rPr>
        <w:t>Exhibit: Default rate and benefit realization drive the widest NPV swings; program is robust across scenarios.</w:t>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ROBUSTNESS</w:t>
            </w:r>
          </w:p>
          <w:p>
            <w:pPr>
              <w:spacing w:before="0" w:after="80" w:line="288" w:lineRule="auto"/>
            </w:pPr>
            <w:r>
              <w:rPr>
                <w:rFonts w:ascii="Calibri" w:hAnsi="Calibri"/>
                <w:color w:val="333333"/>
                <w:sz w:val="20"/>
              </w:rPr>
              <w:t>Even in the most adverse sensitivity scenario tested, the program maintains positive NPV. This suggests the investment case is robust to reasonable assumption variation.</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8. Governance &amp; Monitoring</w:t>
      </w:r>
    </w:p>
    <w:p>
      <w:pPr>
        <w:spacing w:before="0" w:after="160" w:line="300" w:lineRule="auto"/>
      </w:pPr>
      <w:r>
        <w:rPr>
          <w:rFonts w:ascii="Calibri" w:hAnsi="Calibri"/>
          <w:b w:val="0"/>
          <w:i w:val="0"/>
          <w:sz w:val="21"/>
        </w:rPr>
        <w:t>Sustainable risk management requires governance structures that institutionalize oversight, reporting, and course-correction. We recommend a three-tier governance model: Board Risk Committee, Management Risk Committee, and Operational Risk Team.</w:t>
      </w:r>
    </w:p>
    <w:p>
      <w:pPr>
        <w:pStyle w:val="Heading2"/>
        <w:spacing w:before="280" w:after="120" w:line="276" w:lineRule="auto"/>
      </w:pPr>
      <w:r>
        <w:t>8.1 Risk Committee Structure</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003A70"/>
            <w:vAlign w:val="center"/>
          </w:tcPr>
          <w:p>
            <w:pPr>
              <w:spacing w:before="0" w:after="40" w:line="276" w:lineRule="auto"/>
            </w:pPr>
            <w:r/>
            <w:r>
              <w:rPr>
                <w:rFonts w:ascii="Calibri" w:hAnsi="Calibri"/>
                <w:b/>
                <w:color w:val="FFFFFF"/>
                <w:sz w:val="19"/>
              </w:rPr>
              <w:t>Body</w:t>
            </w:r>
          </w:p>
        </w:tc>
        <w:tc>
          <w:tcPr>
            <w:tcW w:type="dxa" w:w="2592"/>
            <w:shd w:val="clear" w:color="auto" w:fill="003A70"/>
            <w:vAlign w:val="center"/>
          </w:tcPr>
          <w:p>
            <w:pPr>
              <w:spacing w:before="0" w:after="40" w:line="276" w:lineRule="auto"/>
            </w:pPr>
            <w:r/>
            <w:r>
              <w:rPr>
                <w:rFonts w:ascii="Calibri" w:hAnsi="Calibri"/>
                <w:b/>
                <w:color w:val="FFFFFF"/>
                <w:sz w:val="19"/>
              </w:rPr>
              <w:t>Composition</w:t>
            </w:r>
          </w:p>
        </w:tc>
        <w:tc>
          <w:tcPr>
            <w:tcW w:type="dxa" w:w="1296"/>
            <w:shd w:val="clear" w:color="auto" w:fill="003A70"/>
            <w:vAlign w:val="center"/>
          </w:tcPr>
          <w:p>
            <w:pPr>
              <w:spacing w:before="0" w:after="40" w:line="276" w:lineRule="auto"/>
            </w:pPr>
            <w:r/>
            <w:r>
              <w:rPr>
                <w:rFonts w:ascii="Calibri" w:hAnsi="Calibri"/>
                <w:b/>
                <w:color w:val="FFFFFF"/>
                <w:sz w:val="19"/>
              </w:rPr>
              <w:t>Cadence</w:t>
            </w:r>
          </w:p>
        </w:tc>
        <w:tc>
          <w:tcPr>
            <w:tcW w:type="dxa" w:w="3312"/>
            <w:shd w:val="clear" w:color="auto" w:fill="003A70"/>
            <w:vAlign w:val="center"/>
          </w:tcPr>
          <w:p>
            <w:pPr>
              <w:spacing w:before="0" w:after="40" w:line="276" w:lineRule="auto"/>
            </w:pPr>
            <w:r/>
            <w:r>
              <w:rPr>
                <w:rFonts w:ascii="Calibri" w:hAnsi="Calibri"/>
                <w:b/>
                <w:color w:val="FFFFFF"/>
                <w:sz w:val="19"/>
              </w:rPr>
              <w:t>Mandate</w:t>
            </w:r>
          </w:p>
        </w:tc>
      </w:tr>
      <w:tr>
        <w:tc>
          <w:tcPr>
            <w:tcW w:type="dxa" w:w="2160"/>
            <w:vAlign w:val="center"/>
          </w:tcPr>
          <w:p>
            <w:pPr>
              <w:spacing w:before="0" w:after="40" w:line="276" w:lineRule="auto"/>
            </w:pPr>
            <w:r/>
            <w:r>
              <w:rPr>
                <w:rFonts w:ascii="Calibri" w:hAnsi="Calibri"/>
                <w:color w:val="333333"/>
                <w:sz w:val="19"/>
              </w:rPr>
              <w:t>Board Risk Committee</w:t>
            </w:r>
          </w:p>
        </w:tc>
        <w:tc>
          <w:tcPr>
            <w:tcW w:type="dxa" w:w="2592"/>
            <w:vAlign w:val="center"/>
          </w:tcPr>
          <w:p>
            <w:pPr>
              <w:spacing w:before="0" w:after="40" w:line="276" w:lineRule="auto"/>
            </w:pPr>
            <w:r/>
            <w:r>
              <w:rPr>
                <w:rFonts w:ascii="Calibri" w:hAnsi="Calibri"/>
                <w:color w:val="333333"/>
                <w:sz w:val="19"/>
              </w:rPr>
              <w:t>3–4 Directors + CEO + CFO</w:t>
            </w:r>
          </w:p>
        </w:tc>
        <w:tc>
          <w:tcPr>
            <w:tcW w:type="dxa" w:w="1296"/>
            <w:vAlign w:val="center"/>
          </w:tcPr>
          <w:p>
            <w:pPr>
              <w:spacing w:before="0" w:after="40" w:line="276" w:lineRule="auto"/>
            </w:pPr>
            <w:r/>
            <w:r>
              <w:rPr>
                <w:rFonts w:ascii="Calibri" w:hAnsi="Calibri"/>
                <w:color w:val="333333"/>
                <w:sz w:val="19"/>
              </w:rPr>
              <w:t>Quarterly</w:t>
            </w:r>
          </w:p>
        </w:tc>
        <w:tc>
          <w:tcPr>
            <w:tcW w:type="dxa" w:w="3312"/>
            <w:vAlign w:val="center"/>
          </w:tcPr>
          <w:p>
            <w:pPr>
              <w:spacing w:before="0" w:after="40" w:line="276" w:lineRule="auto"/>
            </w:pPr>
            <w:r/>
            <w:r>
              <w:rPr>
                <w:rFonts w:ascii="Calibri" w:hAnsi="Calibri"/>
                <w:color w:val="333333"/>
                <w:sz w:val="19"/>
              </w:rPr>
              <w:t>Approve risk appetite; review large exposures; oversee mitigation program</w:t>
            </w:r>
          </w:p>
        </w:tc>
      </w:tr>
      <w:tr>
        <w:tc>
          <w:tcPr>
            <w:tcW w:type="dxa" w:w="2160"/>
            <w:shd w:val="clear" w:color="auto" w:fill="F2F2F2"/>
            <w:vAlign w:val="center"/>
          </w:tcPr>
          <w:p>
            <w:pPr>
              <w:spacing w:before="0" w:after="40" w:line="276" w:lineRule="auto"/>
            </w:pPr>
            <w:r/>
            <w:r>
              <w:rPr>
                <w:rFonts w:ascii="Calibri" w:hAnsi="Calibri"/>
                <w:color w:val="333333"/>
                <w:sz w:val="19"/>
              </w:rPr>
              <w:t>Management Risk Committee</w:t>
            </w:r>
          </w:p>
        </w:tc>
        <w:tc>
          <w:tcPr>
            <w:tcW w:type="dxa" w:w="2592"/>
            <w:shd w:val="clear" w:color="auto" w:fill="F2F2F2"/>
            <w:vAlign w:val="center"/>
          </w:tcPr>
          <w:p>
            <w:pPr>
              <w:spacing w:before="0" w:after="40" w:line="276" w:lineRule="auto"/>
            </w:pPr>
            <w:r/>
            <w:r>
              <w:rPr>
                <w:rFonts w:ascii="Calibri" w:hAnsi="Calibri"/>
                <w:color w:val="333333"/>
                <w:sz w:val="19"/>
              </w:rPr>
              <w:t>CFO (Chair), COO, Credit Lead, Hedging Lead</w:t>
            </w:r>
          </w:p>
        </w:tc>
        <w:tc>
          <w:tcPr>
            <w:tcW w:type="dxa" w:w="1296"/>
            <w:shd w:val="clear" w:color="auto" w:fill="F2F2F2"/>
            <w:vAlign w:val="center"/>
          </w:tcPr>
          <w:p>
            <w:pPr>
              <w:spacing w:before="0" w:after="40" w:line="276" w:lineRule="auto"/>
            </w:pPr>
            <w:r/>
            <w:r>
              <w:rPr>
                <w:rFonts w:ascii="Calibri" w:hAnsi="Calibri"/>
                <w:color w:val="333333"/>
                <w:sz w:val="19"/>
              </w:rPr>
              <w:t>Monthly</w:t>
            </w:r>
          </w:p>
        </w:tc>
        <w:tc>
          <w:tcPr>
            <w:tcW w:type="dxa" w:w="3312"/>
            <w:shd w:val="clear" w:color="auto" w:fill="F2F2F2"/>
            <w:vAlign w:val="center"/>
          </w:tcPr>
          <w:p>
            <w:pPr>
              <w:spacing w:before="0" w:after="40" w:line="276" w:lineRule="auto"/>
            </w:pPr>
            <w:r/>
            <w:r>
              <w:rPr>
                <w:rFonts w:ascii="Calibri" w:hAnsi="Calibri"/>
                <w:color w:val="333333"/>
                <w:sz w:val="19"/>
              </w:rPr>
              <w:t>Monitor KPIs; approve exposures &gt; single-counterparty threshold; escalate breaches</w:t>
            </w:r>
          </w:p>
        </w:tc>
      </w:tr>
      <w:tr>
        <w:tc>
          <w:tcPr>
            <w:tcW w:type="dxa" w:w="2160"/>
            <w:vAlign w:val="center"/>
          </w:tcPr>
          <w:p>
            <w:pPr>
              <w:spacing w:before="0" w:after="40" w:line="276" w:lineRule="auto"/>
            </w:pPr>
            <w:r/>
            <w:r>
              <w:rPr>
                <w:rFonts w:ascii="Calibri" w:hAnsi="Calibri"/>
                <w:color w:val="333333"/>
                <w:sz w:val="19"/>
              </w:rPr>
              <w:t>Operational Risk Team</w:t>
            </w:r>
          </w:p>
        </w:tc>
        <w:tc>
          <w:tcPr>
            <w:tcW w:type="dxa" w:w="2592"/>
            <w:vAlign w:val="center"/>
          </w:tcPr>
          <w:p>
            <w:pPr>
              <w:spacing w:before="0" w:after="40" w:line="276" w:lineRule="auto"/>
            </w:pPr>
            <w:r/>
            <w:r>
              <w:rPr>
                <w:rFonts w:ascii="Calibri" w:hAnsi="Calibri"/>
                <w:color w:val="333333"/>
                <w:sz w:val="19"/>
              </w:rPr>
              <w:t>Credit analysts + Operations</w:t>
            </w:r>
          </w:p>
        </w:tc>
        <w:tc>
          <w:tcPr>
            <w:tcW w:type="dxa" w:w="1296"/>
            <w:vAlign w:val="center"/>
          </w:tcPr>
          <w:p>
            <w:pPr>
              <w:spacing w:before="0" w:after="40" w:line="276" w:lineRule="auto"/>
            </w:pPr>
            <w:r/>
            <w:r>
              <w:rPr>
                <w:rFonts w:ascii="Calibri" w:hAnsi="Calibri"/>
                <w:color w:val="333333"/>
                <w:sz w:val="19"/>
              </w:rPr>
              <w:t>Weekly</w:t>
            </w:r>
          </w:p>
        </w:tc>
        <w:tc>
          <w:tcPr>
            <w:tcW w:type="dxa" w:w="3312"/>
            <w:vAlign w:val="center"/>
          </w:tcPr>
          <w:p>
            <w:pPr>
              <w:spacing w:before="0" w:after="40" w:line="276" w:lineRule="auto"/>
            </w:pPr>
            <w:r/>
            <w:r>
              <w:rPr>
                <w:rFonts w:ascii="Calibri" w:hAnsi="Calibri"/>
                <w:color w:val="333333"/>
                <w:sz w:val="19"/>
              </w:rPr>
              <w:t>Score counterparties; monitor early warning indicators; execute daily limits</w:t>
            </w:r>
          </w:p>
        </w:tc>
      </w:tr>
    </w:tbl>
    <w:p>
      <w:pPr>
        <w:spacing w:before="0" w:after="160" w:line="288" w:lineRule="auto"/>
      </w:pPr>
      <w:r>
        <w:rPr>
          <w:rFonts w:ascii="Calibri" w:hAnsi="Calibri"/>
          <w:b w:val="0"/>
          <w:i w:val="0"/>
        </w:rPr>
      </w:r>
    </w:p>
    <w:p>
      <w:pPr>
        <w:pStyle w:val="Heading2"/>
        <w:spacing w:before="280" w:after="120" w:line="276" w:lineRule="auto"/>
      </w:pPr>
      <w:r>
        <w:t>8.2 KPI Dashboard</w:t>
      </w:r>
    </w:p>
    <w:tbl>
      <w:tblPr>
        <w:tblW w:type="auto" w:w="0"/>
        <w:jc w:val="center"/>
        <w:tblLook w:firstColumn="1" w:firstRow="1" w:lastColumn="0" w:lastRow="0" w:noHBand="0" w:noVBand="1" w:val="04A0"/>
      </w:tblPr>
      <w:tblGrid>
        <w:gridCol w:w="3120"/>
        <w:gridCol w:w="3120"/>
        <w:gridCol w:w="3120"/>
      </w:tblGrid>
      <w:tr>
        <w:tc>
          <w:tcPr>
            <w:tcW w:type="dxa" w:w="3600"/>
            <w:shd w:val="clear" w:color="auto" w:fill="003A70"/>
            <w:vAlign w:val="center"/>
          </w:tcPr>
          <w:p>
            <w:pPr>
              <w:spacing w:before="0" w:after="40" w:line="276" w:lineRule="auto"/>
            </w:pPr>
            <w:r/>
            <w:r>
              <w:rPr>
                <w:rFonts w:ascii="Calibri" w:hAnsi="Calibri"/>
                <w:b/>
                <w:color w:val="FFFFFF"/>
                <w:sz w:val="19"/>
              </w:rPr>
              <w:t>KPI</w:t>
            </w:r>
          </w:p>
        </w:tc>
        <w:tc>
          <w:tcPr>
            <w:tcW w:type="dxa" w:w="2160"/>
            <w:shd w:val="clear" w:color="auto" w:fill="003A70"/>
            <w:vAlign w:val="center"/>
          </w:tcPr>
          <w:p>
            <w:pPr>
              <w:spacing w:before="0" w:after="40" w:line="276" w:lineRule="auto"/>
            </w:pPr>
            <w:r/>
            <w:r>
              <w:rPr>
                <w:rFonts w:ascii="Calibri" w:hAnsi="Calibri"/>
                <w:b/>
                <w:color w:val="FFFFFF"/>
                <w:sz w:val="19"/>
              </w:rPr>
              <w:t>Target</w:t>
            </w:r>
          </w:p>
        </w:tc>
        <w:tc>
          <w:tcPr>
            <w:tcW w:type="dxa" w:w="2160"/>
            <w:shd w:val="clear" w:color="auto" w:fill="003A70"/>
            <w:vAlign w:val="center"/>
          </w:tcPr>
          <w:p>
            <w:pPr>
              <w:spacing w:before="0" w:after="40" w:line="276" w:lineRule="auto"/>
            </w:pPr>
            <w:r/>
            <w:r>
              <w:rPr>
                <w:rFonts w:ascii="Calibri" w:hAnsi="Calibri"/>
                <w:b/>
                <w:color w:val="FFFFFF"/>
                <w:sz w:val="19"/>
              </w:rPr>
              <w:t>Red Flag</w:t>
            </w:r>
          </w:p>
        </w:tc>
      </w:tr>
      <w:tr>
        <w:tc>
          <w:tcPr>
            <w:tcW w:type="dxa" w:w="3600"/>
            <w:vAlign w:val="center"/>
          </w:tcPr>
          <w:p>
            <w:pPr>
              <w:spacing w:before="0" w:after="40" w:line="276" w:lineRule="auto"/>
            </w:pPr>
            <w:r/>
            <w:r>
              <w:rPr>
                <w:rFonts w:ascii="Calibri" w:hAnsi="Calibri"/>
                <w:color w:val="333333"/>
                <w:sz w:val="19"/>
              </w:rPr>
              <w:t>Top-10 concentration (% exposure)</w:t>
            </w:r>
          </w:p>
        </w:tc>
        <w:tc>
          <w:tcPr>
            <w:tcW w:type="dxa" w:w="2160"/>
            <w:vAlign w:val="center"/>
          </w:tcPr>
          <w:p>
            <w:pPr>
              <w:spacing w:before="0" w:after="40" w:line="276" w:lineRule="auto"/>
            </w:pPr>
            <w:r/>
            <w:r>
              <w:rPr>
                <w:rFonts w:ascii="Calibri" w:hAnsi="Calibri"/>
                <w:color w:val="333333"/>
                <w:sz w:val="19"/>
              </w:rPr>
              <w:t>&lt;50%</w:t>
            </w:r>
          </w:p>
        </w:tc>
        <w:tc>
          <w:tcPr>
            <w:tcW w:type="dxa" w:w="2160"/>
            <w:vAlign w:val="center"/>
          </w:tcPr>
          <w:p>
            <w:pPr>
              <w:spacing w:before="0" w:after="40" w:line="276" w:lineRule="auto"/>
            </w:pPr>
            <w:r/>
            <w:r>
              <w:rPr>
                <w:rFonts w:ascii="Calibri" w:hAnsi="Calibri"/>
                <w:color w:val="333333"/>
                <w:sz w:val="19"/>
              </w:rPr>
              <w:t>&gt;60%</w:t>
            </w:r>
          </w:p>
        </w:tc>
      </w:tr>
      <w:tr>
        <w:tc>
          <w:tcPr>
            <w:tcW w:type="dxa" w:w="3600"/>
            <w:shd w:val="clear" w:color="auto" w:fill="F2F2F2"/>
            <w:vAlign w:val="center"/>
          </w:tcPr>
          <w:p>
            <w:pPr>
              <w:spacing w:before="0" w:after="40" w:line="276" w:lineRule="auto"/>
            </w:pPr>
            <w:r/>
            <w:r>
              <w:rPr>
                <w:rFonts w:ascii="Calibri" w:hAnsi="Calibri"/>
                <w:color w:val="333333"/>
                <w:sz w:val="19"/>
              </w:rPr>
              <w:t>Largest single counterparty</w:t>
            </w:r>
          </w:p>
        </w:tc>
        <w:tc>
          <w:tcPr>
            <w:tcW w:type="dxa" w:w="2160"/>
            <w:shd w:val="clear" w:color="auto" w:fill="F2F2F2"/>
            <w:vAlign w:val="center"/>
          </w:tcPr>
          <w:p>
            <w:pPr>
              <w:spacing w:before="0" w:after="40" w:line="276" w:lineRule="auto"/>
            </w:pPr>
            <w:r/>
            <w:r>
              <w:rPr>
                <w:rFonts w:ascii="Calibri" w:hAnsi="Calibri"/>
                <w:color w:val="333333"/>
                <w:sz w:val="19"/>
              </w:rPr>
              <w:t>&lt;$15M or 10% equity</w:t>
            </w:r>
          </w:p>
        </w:tc>
        <w:tc>
          <w:tcPr>
            <w:tcW w:type="dxa" w:w="2160"/>
            <w:shd w:val="clear" w:color="auto" w:fill="F2F2F2"/>
            <w:vAlign w:val="center"/>
          </w:tcPr>
          <w:p>
            <w:pPr>
              <w:spacing w:before="0" w:after="40" w:line="276" w:lineRule="auto"/>
            </w:pPr>
            <w:r/>
            <w:r>
              <w:rPr>
                <w:rFonts w:ascii="Calibri" w:hAnsi="Calibri"/>
                <w:color w:val="333333"/>
                <w:sz w:val="19"/>
              </w:rPr>
              <w:t>&gt;$20M</w:t>
            </w:r>
          </w:p>
        </w:tc>
      </w:tr>
      <w:tr>
        <w:tc>
          <w:tcPr>
            <w:tcW w:type="dxa" w:w="3600"/>
            <w:vAlign w:val="center"/>
          </w:tcPr>
          <w:p>
            <w:pPr>
              <w:spacing w:before="0" w:after="40" w:line="276" w:lineRule="auto"/>
            </w:pPr>
            <w:r/>
            <w:r>
              <w:rPr>
                <w:rFonts w:ascii="Calibri" w:hAnsi="Calibri"/>
                <w:color w:val="333333"/>
                <w:sz w:val="19"/>
              </w:rPr>
              <w:t>Avg counterparty credit score</w:t>
            </w:r>
          </w:p>
        </w:tc>
        <w:tc>
          <w:tcPr>
            <w:tcW w:type="dxa" w:w="2160"/>
            <w:vAlign w:val="center"/>
          </w:tcPr>
          <w:p>
            <w:pPr>
              <w:spacing w:before="0" w:after="40" w:line="276" w:lineRule="auto"/>
            </w:pPr>
            <w:r/>
            <w:r>
              <w:rPr>
                <w:rFonts w:ascii="Calibri" w:hAnsi="Calibri"/>
                <w:color w:val="333333"/>
                <w:sz w:val="19"/>
              </w:rPr>
              <w:t>&gt;6.5 / 10</w:t>
            </w:r>
          </w:p>
        </w:tc>
        <w:tc>
          <w:tcPr>
            <w:tcW w:type="dxa" w:w="2160"/>
            <w:vAlign w:val="center"/>
          </w:tcPr>
          <w:p>
            <w:pPr>
              <w:spacing w:before="0" w:after="40" w:line="276" w:lineRule="auto"/>
            </w:pPr>
            <w:r/>
            <w:r>
              <w:rPr>
                <w:rFonts w:ascii="Calibri" w:hAnsi="Calibri"/>
                <w:color w:val="333333"/>
                <w:sz w:val="19"/>
              </w:rPr>
              <w:t>&lt;5.5 / 10</w:t>
            </w:r>
          </w:p>
        </w:tc>
      </w:tr>
      <w:tr>
        <w:tc>
          <w:tcPr>
            <w:tcW w:type="dxa" w:w="3600"/>
            <w:shd w:val="clear" w:color="auto" w:fill="F2F2F2"/>
            <w:vAlign w:val="center"/>
          </w:tcPr>
          <w:p>
            <w:pPr>
              <w:spacing w:before="0" w:after="40" w:line="276" w:lineRule="auto"/>
            </w:pPr>
            <w:r/>
            <w:r>
              <w:rPr>
                <w:rFonts w:ascii="Calibri" w:hAnsi="Calibri"/>
                <w:color w:val="333333"/>
                <w:sz w:val="19"/>
              </w:rPr>
              <w:t>Realized credit losses (% revenue)</w:t>
            </w:r>
          </w:p>
        </w:tc>
        <w:tc>
          <w:tcPr>
            <w:tcW w:type="dxa" w:w="2160"/>
            <w:shd w:val="clear" w:color="auto" w:fill="F2F2F2"/>
            <w:vAlign w:val="center"/>
          </w:tcPr>
          <w:p>
            <w:pPr>
              <w:spacing w:before="0" w:after="40" w:line="276" w:lineRule="auto"/>
            </w:pPr>
            <w:r/>
            <w:r>
              <w:rPr>
                <w:rFonts w:ascii="Calibri" w:hAnsi="Calibri"/>
                <w:color w:val="333333"/>
                <w:sz w:val="19"/>
              </w:rPr>
              <w:t>&lt;1.5%</w:t>
            </w:r>
          </w:p>
        </w:tc>
        <w:tc>
          <w:tcPr>
            <w:tcW w:type="dxa" w:w="2160"/>
            <w:shd w:val="clear" w:color="auto" w:fill="F2F2F2"/>
            <w:vAlign w:val="center"/>
          </w:tcPr>
          <w:p>
            <w:pPr>
              <w:spacing w:before="0" w:after="40" w:line="276" w:lineRule="auto"/>
            </w:pPr>
            <w:r/>
            <w:r>
              <w:rPr>
                <w:rFonts w:ascii="Calibri" w:hAnsi="Calibri"/>
                <w:color w:val="333333"/>
                <w:sz w:val="19"/>
              </w:rPr>
              <w:t>&gt;2.5%</w:t>
            </w:r>
          </w:p>
        </w:tc>
      </w:tr>
      <w:tr>
        <w:tc>
          <w:tcPr>
            <w:tcW w:type="dxa" w:w="3600"/>
            <w:vAlign w:val="center"/>
          </w:tcPr>
          <w:p>
            <w:pPr>
              <w:spacing w:before="0" w:after="40" w:line="276" w:lineRule="auto"/>
            </w:pPr>
            <w:r/>
            <w:r>
              <w:rPr>
                <w:rFonts w:ascii="Calibri" w:hAnsi="Calibri"/>
                <w:color w:val="333333"/>
                <w:sz w:val="19"/>
              </w:rPr>
              <w:t>Days Sales Outstanding</w:t>
            </w:r>
          </w:p>
        </w:tc>
        <w:tc>
          <w:tcPr>
            <w:tcW w:type="dxa" w:w="2160"/>
            <w:vAlign w:val="center"/>
          </w:tcPr>
          <w:p>
            <w:pPr>
              <w:spacing w:before="0" w:after="40" w:line="276" w:lineRule="auto"/>
            </w:pPr>
            <w:r/>
            <w:r>
              <w:rPr>
                <w:rFonts w:ascii="Calibri" w:hAnsi="Calibri"/>
                <w:color w:val="333333"/>
                <w:sz w:val="19"/>
              </w:rPr>
              <w:t>&lt;8 days</w:t>
            </w:r>
          </w:p>
        </w:tc>
        <w:tc>
          <w:tcPr>
            <w:tcW w:type="dxa" w:w="2160"/>
            <w:vAlign w:val="center"/>
          </w:tcPr>
          <w:p>
            <w:pPr>
              <w:spacing w:before="0" w:after="40" w:line="276" w:lineRule="auto"/>
            </w:pPr>
            <w:r/>
            <w:r>
              <w:rPr>
                <w:rFonts w:ascii="Calibri" w:hAnsi="Calibri"/>
                <w:color w:val="333333"/>
                <w:sz w:val="19"/>
              </w:rPr>
              <w:t>&gt;12 days</w:t>
            </w:r>
          </w:p>
        </w:tc>
      </w:tr>
      <w:tr>
        <w:tc>
          <w:tcPr>
            <w:tcW w:type="dxa" w:w="3600"/>
            <w:shd w:val="clear" w:color="auto" w:fill="F2F2F2"/>
            <w:vAlign w:val="center"/>
          </w:tcPr>
          <w:p>
            <w:pPr>
              <w:spacing w:before="0" w:after="40" w:line="276" w:lineRule="auto"/>
            </w:pPr>
            <w:r/>
            <w:r>
              <w:rPr>
                <w:rFonts w:ascii="Calibri" w:hAnsi="Calibri"/>
                <w:color w:val="333333"/>
                <w:sz w:val="19"/>
              </w:rPr>
              <w:t>Hedge ratio (inventory exposure)</w:t>
            </w:r>
          </w:p>
        </w:tc>
        <w:tc>
          <w:tcPr>
            <w:tcW w:type="dxa" w:w="2160"/>
            <w:shd w:val="clear" w:color="auto" w:fill="F2F2F2"/>
            <w:vAlign w:val="center"/>
          </w:tcPr>
          <w:p>
            <w:pPr>
              <w:spacing w:before="0" w:after="40" w:line="276" w:lineRule="auto"/>
            </w:pPr>
            <w:r/>
            <w:r>
              <w:rPr>
                <w:rFonts w:ascii="Calibri" w:hAnsi="Calibri"/>
                <w:color w:val="333333"/>
                <w:sz w:val="19"/>
              </w:rPr>
              <w:t>60–80%</w:t>
            </w:r>
          </w:p>
        </w:tc>
        <w:tc>
          <w:tcPr>
            <w:tcW w:type="dxa" w:w="2160"/>
            <w:shd w:val="clear" w:color="auto" w:fill="F2F2F2"/>
            <w:vAlign w:val="center"/>
          </w:tcPr>
          <w:p>
            <w:pPr>
              <w:spacing w:before="0" w:after="40" w:line="276" w:lineRule="auto"/>
            </w:pPr>
            <w:r/>
            <w:r>
              <w:rPr>
                <w:rFonts w:ascii="Calibri" w:hAnsi="Calibri"/>
                <w:color w:val="333333"/>
                <w:sz w:val="19"/>
              </w:rPr>
              <w:t>&lt;40%</w:t>
            </w:r>
          </w:p>
        </w:tc>
      </w:tr>
      <w:tr>
        <w:tc>
          <w:tcPr>
            <w:tcW w:type="dxa" w:w="3600"/>
            <w:vAlign w:val="center"/>
          </w:tcPr>
          <w:p>
            <w:pPr>
              <w:spacing w:before="0" w:after="40" w:line="276" w:lineRule="auto"/>
            </w:pPr>
            <w:r/>
            <w:r>
              <w:rPr>
                <w:rFonts w:ascii="Calibri" w:hAnsi="Calibri"/>
                <w:color w:val="333333"/>
                <w:sz w:val="19"/>
              </w:rPr>
              <w:t>Trade credit insurance coverage</w:t>
            </w:r>
          </w:p>
        </w:tc>
        <w:tc>
          <w:tcPr>
            <w:tcW w:type="dxa" w:w="2160"/>
            <w:vAlign w:val="center"/>
          </w:tcPr>
          <w:p>
            <w:pPr>
              <w:spacing w:before="0" w:after="40" w:line="276" w:lineRule="auto"/>
            </w:pPr>
            <w:r/>
            <w:r>
              <w:rPr>
                <w:rFonts w:ascii="Calibri" w:hAnsi="Calibri"/>
                <w:color w:val="333333"/>
                <w:sz w:val="19"/>
              </w:rPr>
              <w:t>&gt;40% exposure</w:t>
            </w:r>
          </w:p>
        </w:tc>
        <w:tc>
          <w:tcPr>
            <w:tcW w:type="dxa" w:w="2160"/>
            <w:vAlign w:val="center"/>
          </w:tcPr>
          <w:p>
            <w:pPr>
              <w:spacing w:before="0" w:after="40" w:line="276" w:lineRule="auto"/>
            </w:pPr>
            <w:r/>
            <w:r>
              <w:rPr>
                <w:rFonts w:ascii="Calibri" w:hAnsi="Calibri"/>
                <w:color w:val="333333"/>
                <w:sz w:val="19"/>
              </w:rPr>
              <w:t>&lt;25%</w:t>
            </w:r>
          </w:p>
        </w:tc>
      </w:tr>
      <w:tr>
        <w:tc>
          <w:tcPr>
            <w:tcW w:type="dxa" w:w="3600"/>
            <w:shd w:val="clear" w:color="auto" w:fill="F2F2F2"/>
            <w:vAlign w:val="center"/>
          </w:tcPr>
          <w:p>
            <w:pPr>
              <w:spacing w:before="0" w:after="40" w:line="276" w:lineRule="auto"/>
            </w:pPr>
            <w:r/>
            <w:r>
              <w:rPr>
                <w:rFonts w:ascii="Calibri" w:hAnsi="Calibri"/>
                <w:color w:val="333333"/>
                <w:sz w:val="19"/>
              </w:rPr>
              <w:t>Early warning alerts/month</w:t>
            </w:r>
          </w:p>
        </w:tc>
        <w:tc>
          <w:tcPr>
            <w:tcW w:type="dxa" w:w="2160"/>
            <w:shd w:val="clear" w:color="auto" w:fill="F2F2F2"/>
            <w:vAlign w:val="center"/>
          </w:tcPr>
          <w:p>
            <w:pPr>
              <w:spacing w:before="0" w:after="40" w:line="276" w:lineRule="auto"/>
            </w:pPr>
            <w:r/>
            <w:r>
              <w:rPr>
                <w:rFonts w:ascii="Calibri" w:hAnsi="Calibri"/>
                <w:color w:val="333333"/>
                <w:sz w:val="19"/>
              </w:rPr>
              <w:t>Monitor trend</w:t>
            </w:r>
          </w:p>
        </w:tc>
        <w:tc>
          <w:tcPr>
            <w:tcW w:type="dxa" w:w="2160"/>
            <w:shd w:val="clear" w:color="auto" w:fill="F2F2F2"/>
            <w:vAlign w:val="center"/>
          </w:tcPr>
          <w:p>
            <w:pPr>
              <w:spacing w:before="0" w:after="40" w:line="276" w:lineRule="auto"/>
            </w:pPr>
            <w:r/>
            <w:r>
              <w:rPr>
                <w:rFonts w:ascii="Calibri" w:hAnsi="Calibri"/>
                <w:color w:val="333333"/>
                <w:sz w:val="19"/>
              </w:rPr>
              <w:t>&gt;20% MoM increase</w:t>
            </w:r>
          </w:p>
        </w:tc>
      </w:tr>
    </w:tbl>
    <w:p>
      <w:pPr>
        <w:spacing w:before="0" w:after="160" w:line="288" w:lineRule="auto"/>
      </w:pPr>
      <w:r>
        <w:rPr>
          <w:rFonts w:ascii="Calibri" w:hAnsi="Calibri"/>
          <w:b w:val="0"/>
          <w:i w:val="0"/>
        </w:rPr>
      </w:r>
    </w:p>
    <w:p>
      <w:pPr>
        <w:pStyle w:val="Heading2"/>
        <w:spacing w:before="280" w:after="120" w:line="276" w:lineRule="auto"/>
      </w:pPr>
      <w:r>
        <w:t>8.3 Escalation Protocols</w:t>
      </w:r>
    </w:p>
    <w:p>
      <w:pPr>
        <w:pStyle w:val="ListBullet"/>
        <w:spacing w:before="0" w:after="80" w:line="288" w:lineRule="auto"/>
      </w:pPr>
      <w:r>
        <w:rPr>
          <w:rFonts w:ascii="Calibri" w:hAnsi="Calibri"/>
          <w:b/>
          <w:color w:val="003A70"/>
          <w:sz w:val="21"/>
        </w:rPr>
        <w:t xml:space="preserve">Tier 1 (Operational): </w:t>
      </w:r>
      <w:r>
        <w:rPr>
          <w:rFonts w:ascii="Calibri" w:hAnsi="Calibri"/>
          <w:color w:val="333333"/>
          <w:sz w:val="21"/>
        </w:rPr>
        <w:t>Single-counterparty exposure exceeds tiered limit → immediate credit officer review, 24-hour resolution.</w:t>
      </w:r>
    </w:p>
    <w:p>
      <w:pPr>
        <w:pStyle w:val="ListBullet"/>
        <w:spacing w:before="0" w:after="80" w:line="288" w:lineRule="auto"/>
      </w:pPr>
      <w:r>
        <w:rPr>
          <w:rFonts w:ascii="Calibri" w:hAnsi="Calibri"/>
          <w:b/>
          <w:color w:val="003A70"/>
          <w:sz w:val="21"/>
        </w:rPr>
        <w:t xml:space="preserve">Tier 2 (Management): </w:t>
      </w:r>
      <w:r>
        <w:rPr>
          <w:rFonts w:ascii="Calibri" w:hAnsi="Calibri"/>
          <w:color w:val="333333"/>
          <w:sz w:val="21"/>
        </w:rPr>
        <w:t>Concentration or segment threshold breached → Management Risk Committee review within 5 business days.</w:t>
      </w:r>
    </w:p>
    <w:p>
      <w:pPr>
        <w:pStyle w:val="ListBullet"/>
        <w:spacing w:before="0" w:after="80" w:line="288" w:lineRule="auto"/>
      </w:pPr>
      <w:r>
        <w:rPr>
          <w:rFonts w:ascii="Calibri" w:hAnsi="Calibri"/>
          <w:b/>
          <w:color w:val="003A70"/>
          <w:sz w:val="21"/>
        </w:rPr>
        <w:t xml:space="preserve">Tier 3 (Board): </w:t>
      </w:r>
      <w:r>
        <w:rPr>
          <w:rFonts w:ascii="Calibri" w:hAnsi="Calibri"/>
          <w:color w:val="333333"/>
          <w:sz w:val="21"/>
        </w:rPr>
        <w:t>Realized losses exceed quarterly budget, or systemic red-flag event → Board Risk Committee convened within 10 business days.</w:t>
      </w:r>
    </w:p>
    <w:p>
      <w:pPr>
        <w:pStyle w:val="Heading2"/>
        <w:spacing w:before="280" w:after="120" w:line="276" w:lineRule="auto"/>
      </w:pPr>
      <w:r>
        <w:t>8.4 Annual Review &amp; Recalibration</w:t>
      </w:r>
    </w:p>
    <w:p>
      <w:pPr>
        <w:spacing w:before="0" w:after="160" w:line="300" w:lineRule="auto"/>
      </w:pPr>
      <w:r>
        <w:rPr>
          <w:rFonts w:ascii="Calibri" w:hAnsi="Calibri"/>
          <w:b w:val="0"/>
          <w:i w:val="0"/>
          <w:sz w:val="21"/>
        </w:rPr>
        <w:t>Risk parameters (PDs, LGDs, concentration limits, hedging targets) should be recalibrated annually against realized experience and updated macroeconomic outlook. Model validation by an independent party (internal audit or external advisor) should occur on a two-year cycle.</w:t>
      </w:r>
    </w:p>
    <w:p>
      <w:r>
        <w:br w:type="page"/>
      </w:r>
    </w:p>
    <w:p>
      <w:pPr>
        <w:pStyle w:val="Heading1"/>
        <w:spacing w:before="0" w:after="240" w:line="276" w:lineRule="auto"/>
        <w:pBdr>
          <w:bottom w:val="single" w:sz="12" w:space="4" w:color="003A70"/>
        </w:pBdr>
      </w:pPr>
      <w:r>
        <w:t>9. Conclusion &amp; Next Steps</w:t>
      </w:r>
    </w:p>
    <w:p>
      <w:pPr>
        <w:spacing w:before="0" w:after="160" w:line="300" w:lineRule="auto"/>
      </w:pPr>
      <w:r>
        <w:rPr>
          <w:rFonts w:ascii="Calibri" w:hAnsi="Calibri"/>
          <w:b w:val="0"/>
          <w:i w:val="0"/>
          <w:sz w:val="21"/>
        </w:rPr>
        <w:t>PLMA stands at a strategic inflection point. The convergence of record farm debt, accelerating bankruptcies, and structural margin compression across the livestock value chain creates the most acute counterparty credit risk environment the cooperative has faced in a generation. The risk is quantifiable, concentrated, and—critically—manageable through a disciplined, phased mitigation program.</w:t>
      </w:r>
    </w:p>
    <w:tbl>
      <w:tblPr>
        <w:tblW w:type="auto" w:w="0"/>
        <w:tblLook w:firstColumn="1" w:firstRow="1" w:lastColumn="0" w:lastRow="0" w:noHBand="0" w:noVBand="1" w:val="04A0"/>
      </w:tblPr>
      <w:tblGrid>
        <w:gridCol w:w="9360"/>
      </w:tblGrid>
      <w:tr>
        <w:tc>
          <w:tcPr>
            <w:tcW w:type="dxa" w:w="9360"/>
            <w:shd w:val="clear" w:color="auto" w:fill="DEEBF7"/>
            <w:tcBorders>
              <w:top w:val="single" w:sz="4" w:color="003A70" w:space="0"/>
              <w:left w:val="single" w:sz="36" w:color="003A70" w:space="0"/>
              <w:bottom w:val="single" w:sz="4" w:color="003A70" w:space="0"/>
              <w:right w:val="single" w:sz="4" w:color="003A70" w:space="0"/>
            </w:tcBorders>
          </w:tcPr>
          <w:p>
            <w:pPr>
              <w:spacing w:before="0" w:after="60" w:line="276" w:lineRule="auto"/>
            </w:pPr>
            <w:r/>
            <w:r>
              <w:rPr>
                <w:rFonts w:ascii="Calibri" w:hAnsi="Calibri"/>
                <w:b/>
                <w:color w:val="003A70"/>
                <w:sz w:val="18"/>
              </w:rPr>
              <w:t>THE OPPORTUNITY</w:t>
            </w:r>
          </w:p>
          <w:p>
            <w:pPr>
              <w:spacing w:before="0" w:after="80" w:line="288" w:lineRule="auto"/>
            </w:pPr>
            <w:r>
              <w:rPr>
                <w:rFonts w:ascii="Calibri" w:hAnsi="Calibri"/>
                <w:color w:val="333333"/>
                <w:sz w:val="20"/>
              </w:rPr>
              <w:t>A $1.7M Year-1 investment generates ~$20M in 10-year NPV, ~250% cumulative ROI, and payback within 12 months. Beyond the financial return, the program positions PLMA as a reference operator in ag risk management—a strategic differentiator in a consolidating industry.</w:t>
            </w:r>
          </w:p>
        </w:tc>
      </w:tr>
    </w:tbl>
    <w:p>
      <w:pPr>
        <w:spacing w:before="0" w:after="160" w:line="288" w:lineRule="auto"/>
      </w:pPr>
      <w:r>
        <w:rPr>
          <w:rFonts w:ascii="Calibri" w:hAnsi="Calibri"/>
          <w:b w:val="0"/>
          <w:i w:val="0"/>
        </w:rPr>
      </w:r>
    </w:p>
    <w:p>
      <w:pPr>
        <w:pStyle w:val="Heading2"/>
        <w:spacing w:before="280" w:after="120" w:line="276" w:lineRule="auto"/>
      </w:pPr>
      <w:r>
        <w:t>9.1 Immediate Actions (First 90 Days)</w:t>
      </w:r>
    </w:p>
    <w:p>
      <w:pPr>
        <w:pStyle w:val="ListBullet"/>
        <w:spacing w:before="0" w:after="60" w:line="288" w:lineRule="auto"/>
      </w:pPr>
      <w:r>
        <w:rPr>
          <w:rFonts w:ascii="Calibri" w:hAnsi="Calibri"/>
          <w:color w:val="333333"/>
          <w:sz w:val="21"/>
        </w:rPr>
        <w:t>Week 1–2: CFO-led executive alignment on report findings; Risk Committee briefing scheduled</w:t>
      </w:r>
    </w:p>
    <w:p>
      <w:pPr>
        <w:pStyle w:val="ListBullet"/>
        <w:spacing w:before="0" w:after="60" w:line="288" w:lineRule="auto"/>
      </w:pPr>
      <w:r>
        <w:rPr>
          <w:rFonts w:ascii="Calibri" w:hAnsi="Calibri"/>
          <w:color w:val="333333"/>
          <w:sz w:val="21"/>
        </w:rPr>
        <w:t>Week 2–4: Secure Board approval for Horizon 1 funding ($1.72M)</w:t>
      </w:r>
    </w:p>
    <w:p>
      <w:pPr>
        <w:pStyle w:val="ListBullet"/>
        <w:spacing w:before="0" w:after="60" w:line="288" w:lineRule="auto"/>
      </w:pPr>
      <w:r>
        <w:rPr>
          <w:rFonts w:ascii="Calibri" w:hAnsi="Calibri"/>
          <w:color w:val="333333"/>
          <w:sz w:val="21"/>
        </w:rPr>
        <w:t>Week 4–8: Issue RFPs for trade credit insurance (3+ carriers) and credit analytics platform</w:t>
      </w:r>
    </w:p>
    <w:p>
      <w:pPr>
        <w:pStyle w:val="ListBullet"/>
        <w:spacing w:before="0" w:after="60" w:line="288" w:lineRule="auto"/>
      </w:pPr>
      <w:r>
        <w:rPr>
          <w:rFonts w:ascii="Calibri" w:hAnsi="Calibri"/>
          <w:color w:val="333333"/>
          <w:sz w:val="21"/>
        </w:rPr>
        <w:t>Week 6–10: Hire 2 credit analyst FTEs</w:t>
      </w:r>
    </w:p>
    <w:p>
      <w:pPr>
        <w:pStyle w:val="ListBullet"/>
        <w:spacing w:before="0" w:after="60" w:line="288" w:lineRule="auto"/>
      </w:pPr>
      <w:r>
        <w:rPr>
          <w:rFonts w:ascii="Calibri" w:hAnsi="Calibri"/>
          <w:color w:val="333333"/>
          <w:sz w:val="21"/>
        </w:rPr>
        <w:t>Week 8–12: Deploy counterparty risk dashboard (v1, internal data)</w:t>
      </w:r>
    </w:p>
    <w:p>
      <w:pPr>
        <w:pStyle w:val="ListBullet"/>
        <w:spacing w:before="0" w:after="60" w:line="288" w:lineRule="auto"/>
      </w:pPr>
      <w:r>
        <w:rPr>
          <w:rFonts w:ascii="Calibri" w:hAnsi="Calibri"/>
          <w:color w:val="333333"/>
          <w:sz w:val="21"/>
        </w:rPr>
        <w:t>Week 12: Finalize tiered credit limits policy and Risk Appetite Statement</w:t>
      </w:r>
    </w:p>
    <w:p>
      <w:pPr>
        <w:pStyle w:val="Heading2"/>
        <w:spacing w:before="280" w:after="120" w:line="276" w:lineRule="auto"/>
      </w:pPr>
      <w:r>
        <w:t>9.2 Phase 2 Engagement Model</w:t>
      </w:r>
    </w:p>
    <w:p>
      <w:pPr>
        <w:spacing w:before="0" w:after="160" w:line="300" w:lineRule="auto"/>
      </w:pPr>
      <w:r>
        <w:rPr>
          <w:rFonts w:ascii="Calibri" w:hAnsi="Calibri"/>
          <w:b w:val="0"/>
          <w:i w:val="0"/>
          <w:sz w:val="21"/>
        </w:rPr>
        <w:t>For Horizon 2 and Horizon 3 workstreams, we recommend a staged advisory engagement: (i) quarterly progress reviews against roadmap milestones, (ii) annual risk parameter recalibration, (iii) on-call support for emergent counterparty events, and (iv) strategic advisory on M&amp;A/diversification options as they arise.</w:t>
      </w:r>
    </w:p>
    <w:p>
      <w:pPr>
        <w:spacing w:before="0" w:after="160" w:line="300" w:lineRule="auto"/>
      </w:pPr>
      <w:r>
        <w:rPr>
          <w:rFonts w:ascii="Calibri" w:hAnsi="Calibri"/>
          <w:b w:val="0"/>
          <w:i w:val="0"/>
          <w:sz w:val="21"/>
        </w:rPr>
        <w:t>We stand ready to support PLMA in transforming this risk exposure into a strategic advantage.</w:t>
      </w:r>
    </w:p>
    <w:p>
      <w:r>
        <w:br w:type="page"/>
      </w:r>
    </w:p>
    <w:p>
      <w:pPr>
        <w:pStyle w:val="Heading1"/>
        <w:spacing w:before="0" w:after="240" w:line="276" w:lineRule="auto"/>
        <w:pBdr>
          <w:bottom w:val="single" w:sz="12" w:space="4" w:color="003A70"/>
        </w:pBdr>
      </w:pPr>
      <w:r>
        <w:t>Appendix A: Detailed Data Tables</w:t>
      </w:r>
    </w:p>
    <w:p>
      <w:pPr>
        <w:pStyle w:val="Heading2"/>
        <w:spacing w:before="280" w:after="120" w:line="276" w:lineRule="auto"/>
      </w:pPr>
      <w:r>
        <w:t>A.1 Historical Farm Bankruptcy Filings</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003A70"/>
            <w:vAlign w:val="center"/>
          </w:tcPr>
          <w:p>
            <w:pPr>
              <w:spacing w:before="0" w:after="40" w:line="276" w:lineRule="auto"/>
            </w:pPr>
            <w:r/>
            <w:r>
              <w:rPr>
                <w:rFonts w:ascii="Calibri" w:hAnsi="Calibri"/>
                <w:b/>
                <w:color w:val="FFFFFF"/>
                <w:sz w:val="19"/>
              </w:rPr>
              <w:t>Year</w:t>
            </w:r>
          </w:p>
        </w:tc>
        <w:tc>
          <w:tcPr>
            <w:tcW w:type="dxa" w:w="2592"/>
            <w:shd w:val="clear" w:color="auto" w:fill="003A70"/>
            <w:vAlign w:val="center"/>
          </w:tcPr>
          <w:p>
            <w:pPr>
              <w:spacing w:before="0" w:after="40" w:line="276" w:lineRule="auto"/>
            </w:pPr>
            <w:r/>
            <w:r>
              <w:rPr>
                <w:rFonts w:ascii="Calibri" w:hAnsi="Calibri"/>
                <w:b/>
                <w:color w:val="FFFFFF"/>
                <w:sz w:val="19"/>
              </w:rPr>
              <w:t>Chapter 12 Filings</w:t>
            </w:r>
          </w:p>
        </w:tc>
        <w:tc>
          <w:tcPr>
            <w:tcW w:type="dxa" w:w="2160"/>
            <w:shd w:val="clear" w:color="auto" w:fill="003A70"/>
            <w:vAlign w:val="center"/>
          </w:tcPr>
          <w:p>
            <w:pPr>
              <w:spacing w:before="0" w:after="40" w:line="276" w:lineRule="auto"/>
            </w:pPr>
            <w:r/>
            <w:r>
              <w:rPr>
                <w:rFonts w:ascii="Calibri" w:hAnsi="Calibri"/>
                <w:b/>
                <w:color w:val="FFFFFF"/>
                <w:sz w:val="19"/>
              </w:rPr>
              <w:t>YoY Change</w:t>
            </w:r>
          </w:p>
        </w:tc>
      </w:tr>
      <w:tr>
        <w:tc>
          <w:tcPr>
            <w:tcW w:type="dxa" w:w="1728"/>
            <w:vAlign w:val="center"/>
          </w:tcPr>
          <w:p>
            <w:pPr>
              <w:spacing w:before="0" w:after="40" w:line="276" w:lineRule="auto"/>
            </w:pPr>
            <w:r/>
            <w:r>
              <w:rPr>
                <w:rFonts w:ascii="Calibri" w:hAnsi="Calibri"/>
                <w:color w:val="333333"/>
                <w:sz w:val="19"/>
              </w:rPr>
              <w:t>2018</w:t>
            </w:r>
          </w:p>
        </w:tc>
        <w:tc>
          <w:tcPr>
            <w:tcW w:type="dxa" w:w="2592"/>
            <w:vAlign w:val="center"/>
          </w:tcPr>
          <w:p>
            <w:pPr>
              <w:spacing w:before="0" w:after="40" w:line="276" w:lineRule="auto"/>
            </w:pPr>
            <w:r/>
            <w:r>
              <w:rPr>
                <w:rFonts w:ascii="Calibri" w:hAnsi="Calibri"/>
                <w:color w:val="333333"/>
                <w:sz w:val="19"/>
              </w:rPr>
              <w:t>498</w:t>
            </w:r>
          </w:p>
        </w:tc>
        <w:tc>
          <w:tcPr>
            <w:tcW w:type="dxa" w:w="2160"/>
            <w:vAlign w:val="center"/>
          </w:tcPr>
          <w:p>
            <w:pPr>
              <w:spacing w:before="0" w:after="40" w:line="276" w:lineRule="auto"/>
            </w:pPr>
            <w:r/>
            <w:r>
              <w:rPr>
                <w:rFonts w:ascii="Calibri" w:hAnsi="Calibri"/>
                <w:color w:val="333333"/>
                <w:sz w:val="19"/>
              </w:rPr>
              <w:t>—</w:t>
            </w:r>
          </w:p>
        </w:tc>
      </w:tr>
      <w:tr>
        <w:tc>
          <w:tcPr>
            <w:tcW w:type="dxa" w:w="1728"/>
            <w:shd w:val="clear" w:color="auto" w:fill="F2F2F2"/>
            <w:vAlign w:val="center"/>
          </w:tcPr>
          <w:p>
            <w:pPr>
              <w:spacing w:before="0" w:after="40" w:line="276" w:lineRule="auto"/>
            </w:pPr>
            <w:r/>
            <w:r>
              <w:rPr>
                <w:rFonts w:ascii="Calibri" w:hAnsi="Calibri"/>
                <w:color w:val="333333"/>
                <w:sz w:val="19"/>
              </w:rPr>
              <w:t>2019</w:t>
            </w:r>
          </w:p>
        </w:tc>
        <w:tc>
          <w:tcPr>
            <w:tcW w:type="dxa" w:w="2592"/>
            <w:shd w:val="clear" w:color="auto" w:fill="F2F2F2"/>
            <w:vAlign w:val="center"/>
          </w:tcPr>
          <w:p>
            <w:pPr>
              <w:spacing w:before="0" w:after="40" w:line="276" w:lineRule="auto"/>
            </w:pPr>
            <w:r/>
            <w:r>
              <w:rPr>
                <w:rFonts w:ascii="Calibri" w:hAnsi="Calibri"/>
                <w:color w:val="333333"/>
                <w:sz w:val="19"/>
              </w:rPr>
              <w:t>595</w:t>
            </w:r>
          </w:p>
        </w:tc>
        <w:tc>
          <w:tcPr>
            <w:tcW w:type="dxa" w:w="2160"/>
            <w:shd w:val="clear" w:color="auto" w:fill="F2F2F2"/>
            <w:vAlign w:val="center"/>
          </w:tcPr>
          <w:p>
            <w:pPr>
              <w:spacing w:before="0" w:after="40" w:line="276" w:lineRule="auto"/>
            </w:pPr>
            <w:r/>
            <w:r>
              <w:rPr>
                <w:rFonts w:ascii="Calibri" w:hAnsi="Calibri"/>
                <w:color w:val="333333"/>
                <w:sz w:val="19"/>
              </w:rPr>
              <w:t>+19.5%</w:t>
            </w:r>
          </w:p>
        </w:tc>
      </w:tr>
      <w:tr>
        <w:tc>
          <w:tcPr>
            <w:tcW w:type="dxa" w:w="1728"/>
            <w:vAlign w:val="center"/>
          </w:tcPr>
          <w:p>
            <w:pPr>
              <w:spacing w:before="0" w:after="40" w:line="276" w:lineRule="auto"/>
            </w:pPr>
            <w:r/>
            <w:r>
              <w:rPr>
                <w:rFonts w:ascii="Calibri" w:hAnsi="Calibri"/>
                <w:color w:val="333333"/>
                <w:sz w:val="19"/>
              </w:rPr>
              <w:t>2020</w:t>
            </w:r>
          </w:p>
        </w:tc>
        <w:tc>
          <w:tcPr>
            <w:tcW w:type="dxa" w:w="2592"/>
            <w:vAlign w:val="center"/>
          </w:tcPr>
          <w:p>
            <w:pPr>
              <w:spacing w:before="0" w:after="40" w:line="276" w:lineRule="auto"/>
            </w:pPr>
            <w:r/>
            <w:r>
              <w:rPr>
                <w:rFonts w:ascii="Calibri" w:hAnsi="Calibri"/>
                <w:color w:val="333333"/>
                <w:sz w:val="19"/>
              </w:rPr>
              <w:t>552</w:t>
            </w:r>
          </w:p>
        </w:tc>
        <w:tc>
          <w:tcPr>
            <w:tcW w:type="dxa" w:w="2160"/>
            <w:vAlign w:val="center"/>
          </w:tcPr>
          <w:p>
            <w:pPr>
              <w:spacing w:before="0" w:after="40" w:line="276" w:lineRule="auto"/>
            </w:pPr>
            <w:r/>
            <w:r>
              <w:rPr>
                <w:rFonts w:ascii="Calibri" w:hAnsi="Calibri"/>
                <w:color w:val="333333"/>
                <w:sz w:val="19"/>
              </w:rPr>
              <w:t>-7.2%</w:t>
            </w:r>
          </w:p>
        </w:tc>
      </w:tr>
      <w:tr>
        <w:tc>
          <w:tcPr>
            <w:tcW w:type="dxa" w:w="1728"/>
            <w:shd w:val="clear" w:color="auto" w:fill="F2F2F2"/>
            <w:vAlign w:val="center"/>
          </w:tcPr>
          <w:p>
            <w:pPr>
              <w:spacing w:before="0" w:after="40" w:line="276" w:lineRule="auto"/>
            </w:pPr>
            <w:r/>
            <w:r>
              <w:rPr>
                <w:rFonts w:ascii="Calibri" w:hAnsi="Calibri"/>
                <w:color w:val="333333"/>
                <w:sz w:val="19"/>
              </w:rPr>
              <w:t>2021</w:t>
            </w:r>
          </w:p>
        </w:tc>
        <w:tc>
          <w:tcPr>
            <w:tcW w:type="dxa" w:w="2592"/>
            <w:shd w:val="clear" w:color="auto" w:fill="F2F2F2"/>
            <w:vAlign w:val="center"/>
          </w:tcPr>
          <w:p>
            <w:pPr>
              <w:spacing w:before="0" w:after="40" w:line="276" w:lineRule="auto"/>
            </w:pPr>
            <w:r/>
            <w:r>
              <w:rPr>
                <w:rFonts w:ascii="Calibri" w:hAnsi="Calibri"/>
                <w:color w:val="333333"/>
                <w:sz w:val="19"/>
              </w:rPr>
              <w:t>371</w:t>
            </w:r>
          </w:p>
        </w:tc>
        <w:tc>
          <w:tcPr>
            <w:tcW w:type="dxa" w:w="2160"/>
            <w:shd w:val="clear" w:color="auto" w:fill="F2F2F2"/>
            <w:vAlign w:val="center"/>
          </w:tcPr>
          <w:p>
            <w:pPr>
              <w:spacing w:before="0" w:after="40" w:line="276" w:lineRule="auto"/>
            </w:pPr>
            <w:r/>
            <w:r>
              <w:rPr>
                <w:rFonts w:ascii="Calibri" w:hAnsi="Calibri"/>
                <w:color w:val="333333"/>
                <w:sz w:val="19"/>
              </w:rPr>
              <w:t>-32.8%</w:t>
            </w:r>
          </w:p>
        </w:tc>
      </w:tr>
      <w:tr>
        <w:tc>
          <w:tcPr>
            <w:tcW w:type="dxa" w:w="1728"/>
            <w:vAlign w:val="center"/>
          </w:tcPr>
          <w:p>
            <w:pPr>
              <w:spacing w:before="0" w:after="40" w:line="276" w:lineRule="auto"/>
            </w:pPr>
            <w:r/>
            <w:r>
              <w:rPr>
                <w:rFonts w:ascii="Calibri" w:hAnsi="Calibri"/>
                <w:color w:val="333333"/>
                <w:sz w:val="19"/>
              </w:rPr>
              <w:t>2022</w:t>
            </w:r>
          </w:p>
        </w:tc>
        <w:tc>
          <w:tcPr>
            <w:tcW w:type="dxa" w:w="2592"/>
            <w:vAlign w:val="center"/>
          </w:tcPr>
          <w:p>
            <w:pPr>
              <w:spacing w:before="0" w:after="40" w:line="276" w:lineRule="auto"/>
            </w:pPr>
            <w:r/>
            <w:r>
              <w:rPr>
                <w:rFonts w:ascii="Calibri" w:hAnsi="Calibri"/>
                <w:color w:val="333333"/>
                <w:sz w:val="19"/>
              </w:rPr>
              <w:t>275</w:t>
            </w:r>
          </w:p>
        </w:tc>
        <w:tc>
          <w:tcPr>
            <w:tcW w:type="dxa" w:w="2160"/>
            <w:vAlign w:val="center"/>
          </w:tcPr>
          <w:p>
            <w:pPr>
              <w:spacing w:before="0" w:after="40" w:line="276" w:lineRule="auto"/>
            </w:pPr>
            <w:r/>
            <w:r>
              <w:rPr>
                <w:rFonts w:ascii="Calibri" w:hAnsi="Calibri"/>
                <w:color w:val="333333"/>
                <w:sz w:val="19"/>
              </w:rPr>
              <w:t>-25.9%</w:t>
            </w:r>
          </w:p>
        </w:tc>
      </w:tr>
      <w:tr>
        <w:tc>
          <w:tcPr>
            <w:tcW w:type="dxa" w:w="1728"/>
            <w:shd w:val="clear" w:color="auto" w:fill="F2F2F2"/>
            <w:vAlign w:val="center"/>
          </w:tcPr>
          <w:p>
            <w:pPr>
              <w:spacing w:before="0" w:after="40" w:line="276" w:lineRule="auto"/>
            </w:pPr>
            <w:r/>
            <w:r>
              <w:rPr>
                <w:rFonts w:ascii="Calibri" w:hAnsi="Calibri"/>
                <w:color w:val="333333"/>
                <w:sz w:val="19"/>
              </w:rPr>
              <w:t>2023</w:t>
            </w:r>
          </w:p>
        </w:tc>
        <w:tc>
          <w:tcPr>
            <w:tcW w:type="dxa" w:w="2592"/>
            <w:shd w:val="clear" w:color="auto" w:fill="F2F2F2"/>
            <w:vAlign w:val="center"/>
          </w:tcPr>
          <w:p>
            <w:pPr>
              <w:spacing w:before="0" w:after="40" w:line="276" w:lineRule="auto"/>
            </w:pPr>
            <w:r/>
            <w:r>
              <w:rPr>
                <w:rFonts w:ascii="Calibri" w:hAnsi="Calibri"/>
                <w:color w:val="333333"/>
                <w:sz w:val="19"/>
              </w:rPr>
              <w:t>287</w:t>
            </w:r>
          </w:p>
        </w:tc>
        <w:tc>
          <w:tcPr>
            <w:tcW w:type="dxa" w:w="2160"/>
            <w:shd w:val="clear" w:color="auto" w:fill="F2F2F2"/>
            <w:vAlign w:val="center"/>
          </w:tcPr>
          <w:p>
            <w:pPr>
              <w:spacing w:before="0" w:after="40" w:line="276" w:lineRule="auto"/>
            </w:pPr>
            <w:r/>
            <w:r>
              <w:rPr>
                <w:rFonts w:ascii="Calibri" w:hAnsi="Calibri"/>
                <w:color w:val="333333"/>
                <w:sz w:val="19"/>
              </w:rPr>
              <w:t>+4.4%</w:t>
            </w:r>
          </w:p>
        </w:tc>
      </w:tr>
      <w:tr>
        <w:tc>
          <w:tcPr>
            <w:tcW w:type="dxa" w:w="1728"/>
            <w:vAlign w:val="center"/>
          </w:tcPr>
          <w:p>
            <w:pPr>
              <w:spacing w:before="0" w:after="40" w:line="276" w:lineRule="auto"/>
            </w:pPr>
            <w:r/>
            <w:r>
              <w:rPr>
                <w:rFonts w:ascii="Calibri" w:hAnsi="Calibri"/>
                <w:color w:val="333333"/>
                <w:sz w:val="19"/>
              </w:rPr>
              <w:t>2024</w:t>
            </w:r>
          </w:p>
        </w:tc>
        <w:tc>
          <w:tcPr>
            <w:tcW w:type="dxa" w:w="2592"/>
            <w:vAlign w:val="center"/>
          </w:tcPr>
          <w:p>
            <w:pPr>
              <w:spacing w:before="0" w:after="40" w:line="276" w:lineRule="auto"/>
            </w:pPr>
            <w:r/>
            <w:r>
              <w:rPr>
                <w:rFonts w:ascii="Calibri" w:hAnsi="Calibri"/>
                <w:color w:val="333333"/>
                <w:sz w:val="19"/>
              </w:rPr>
              <w:t>258</w:t>
            </w:r>
          </w:p>
        </w:tc>
        <w:tc>
          <w:tcPr>
            <w:tcW w:type="dxa" w:w="2160"/>
            <w:vAlign w:val="center"/>
          </w:tcPr>
          <w:p>
            <w:pPr>
              <w:spacing w:before="0" w:after="40" w:line="276" w:lineRule="auto"/>
            </w:pPr>
            <w:r/>
            <w:r>
              <w:rPr>
                <w:rFonts w:ascii="Calibri" w:hAnsi="Calibri"/>
                <w:color w:val="333333"/>
                <w:sz w:val="19"/>
              </w:rPr>
              <w:t>-10.1%</w:t>
            </w:r>
          </w:p>
        </w:tc>
      </w:tr>
      <w:tr>
        <w:tc>
          <w:tcPr>
            <w:tcW w:type="dxa" w:w="1728"/>
            <w:shd w:val="clear" w:color="auto" w:fill="F2F2F2"/>
            <w:vAlign w:val="center"/>
          </w:tcPr>
          <w:p>
            <w:pPr>
              <w:spacing w:before="0" w:after="40" w:line="276" w:lineRule="auto"/>
            </w:pPr>
            <w:r/>
            <w:r>
              <w:rPr>
                <w:rFonts w:ascii="Calibri" w:hAnsi="Calibri"/>
                <w:color w:val="333333"/>
                <w:sz w:val="19"/>
              </w:rPr>
              <w:t>2025</w:t>
            </w:r>
          </w:p>
        </w:tc>
        <w:tc>
          <w:tcPr>
            <w:tcW w:type="dxa" w:w="2592"/>
            <w:shd w:val="clear" w:color="auto" w:fill="F2F2F2"/>
            <w:vAlign w:val="center"/>
          </w:tcPr>
          <w:p>
            <w:pPr>
              <w:spacing w:before="0" w:after="40" w:line="276" w:lineRule="auto"/>
            </w:pPr>
            <w:r/>
            <w:r>
              <w:rPr>
                <w:rFonts w:ascii="Calibri" w:hAnsi="Calibri"/>
                <w:color w:val="333333"/>
                <w:sz w:val="19"/>
              </w:rPr>
              <w:t>315</w:t>
            </w:r>
          </w:p>
        </w:tc>
        <w:tc>
          <w:tcPr>
            <w:tcW w:type="dxa" w:w="2160"/>
            <w:shd w:val="clear" w:color="auto" w:fill="F2F2F2"/>
            <w:vAlign w:val="center"/>
          </w:tcPr>
          <w:p>
            <w:pPr>
              <w:spacing w:before="0" w:after="40" w:line="276" w:lineRule="auto"/>
            </w:pPr>
            <w:r/>
            <w:r>
              <w:rPr>
                <w:rFonts w:ascii="Calibri" w:hAnsi="Calibri"/>
                <w:color w:val="333333"/>
                <w:sz w:val="19"/>
              </w:rPr>
              <w:t>+22.1%</w:t>
            </w:r>
          </w:p>
        </w:tc>
      </w:tr>
      <w:tr>
        <w:tc>
          <w:tcPr>
            <w:tcW w:type="dxa" w:w="1728"/>
            <w:vAlign w:val="center"/>
          </w:tcPr>
          <w:p>
            <w:pPr>
              <w:spacing w:before="0" w:after="40" w:line="276" w:lineRule="auto"/>
            </w:pPr>
            <w:r/>
            <w:r>
              <w:rPr>
                <w:rFonts w:ascii="Calibri" w:hAnsi="Calibri"/>
                <w:color w:val="333333"/>
                <w:sz w:val="19"/>
              </w:rPr>
              <w:t>2026E</w:t>
            </w:r>
          </w:p>
        </w:tc>
        <w:tc>
          <w:tcPr>
            <w:tcW w:type="dxa" w:w="2592"/>
            <w:vAlign w:val="center"/>
          </w:tcPr>
          <w:p>
            <w:pPr>
              <w:spacing w:before="0" w:after="40" w:line="276" w:lineRule="auto"/>
            </w:pPr>
            <w:r/>
            <w:r>
              <w:rPr>
                <w:rFonts w:ascii="Calibri" w:hAnsi="Calibri"/>
                <w:color w:val="333333"/>
                <w:sz w:val="19"/>
              </w:rPr>
              <w:t>380</w:t>
            </w:r>
          </w:p>
        </w:tc>
        <w:tc>
          <w:tcPr>
            <w:tcW w:type="dxa" w:w="2160"/>
            <w:vAlign w:val="center"/>
          </w:tcPr>
          <w:p>
            <w:pPr>
              <w:spacing w:before="0" w:after="40" w:line="276" w:lineRule="auto"/>
            </w:pPr>
            <w:r/>
            <w:r>
              <w:rPr>
                <w:rFonts w:ascii="Calibri" w:hAnsi="Calibri"/>
                <w:color w:val="333333"/>
                <w:sz w:val="19"/>
              </w:rPr>
              <w:t>+20.6%</w:t>
            </w:r>
          </w:p>
        </w:tc>
      </w:tr>
    </w:tbl>
    <w:p>
      <w:pPr>
        <w:spacing w:before="0" w:after="160" w:line="288" w:lineRule="auto"/>
      </w:pPr>
      <w:r>
        <w:rPr>
          <w:rFonts w:ascii="Calibri" w:hAnsi="Calibri"/>
          <w:b w:val="0"/>
          <w:i w:val="0"/>
        </w:rPr>
      </w:r>
    </w:p>
    <w:p>
      <w:pPr>
        <w:pStyle w:val="Heading2"/>
        <w:spacing w:before="280" w:after="120" w:line="276" w:lineRule="auto"/>
      </w:pPr>
      <w:r>
        <w:t>A.2 U.S. Farm Debt Detail ($ Billions)</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003A70"/>
            <w:vAlign w:val="center"/>
          </w:tcPr>
          <w:p>
            <w:pPr>
              <w:spacing w:before="0" w:after="40" w:line="276" w:lineRule="auto"/>
            </w:pPr>
            <w:r/>
            <w:r>
              <w:rPr>
                <w:rFonts w:ascii="Calibri" w:hAnsi="Calibri"/>
                <w:b/>
                <w:color w:val="FFFFFF"/>
                <w:sz w:val="19"/>
              </w:rPr>
              <w:t>Year</w:t>
            </w:r>
          </w:p>
        </w:tc>
        <w:tc>
          <w:tcPr>
            <w:tcW w:type="dxa" w:w="1872"/>
            <w:shd w:val="clear" w:color="auto" w:fill="003A70"/>
            <w:vAlign w:val="center"/>
          </w:tcPr>
          <w:p>
            <w:pPr>
              <w:spacing w:before="0" w:after="40" w:line="276" w:lineRule="auto"/>
            </w:pPr>
            <w:r/>
            <w:r>
              <w:rPr>
                <w:rFonts w:ascii="Calibri" w:hAnsi="Calibri"/>
                <w:b/>
                <w:color w:val="FFFFFF"/>
                <w:sz w:val="19"/>
              </w:rPr>
              <w:t>Real Estate</w:t>
            </w:r>
          </w:p>
        </w:tc>
        <w:tc>
          <w:tcPr>
            <w:tcW w:type="dxa" w:w="2160"/>
            <w:shd w:val="clear" w:color="auto" w:fill="003A70"/>
            <w:vAlign w:val="center"/>
          </w:tcPr>
          <w:p>
            <w:pPr>
              <w:spacing w:before="0" w:after="40" w:line="276" w:lineRule="auto"/>
            </w:pPr>
            <w:r/>
            <w:r>
              <w:rPr>
                <w:rFonts w:ascii="Calibri" w:hAnsi="Calibri"/>
                <w:b/>
                <w:color w:val="FFFFFF"/>
                <w:sz w:val="19"/>
              </w:rPr>
              <w:t>Non-Real-Estate</w:t>
            </w:r>
          </w:p>
        </w:tc>
        <w:tc>
          <w:tcPr>
            <w:tcW w:type="dxa" w:w="1440"/>
            <w:shd w:val="clear" w:color="auto" w:fill="003A70"/>
            <w:vAlign w:val="center"/>
          </w:tcPr>
          <w:p>
            <w:pPr>
              <w:spacing w:before="0" w:after="40" w:line="276" w:lineRule="auto"/>
            </w:pPr>
            <w:r/>
            <w:r>
              <w:rPr>
                <w:rFonts w:ascii="Calibri" w:hAnsi="Calibri"/>
                <w:b/>
                <w:color w:val="FFFFFF"/>
                <w:sz w:val="19"/>
              </w:rPr>
              <w:t>Total</w:t>
            </w:r>
          </w:p>
        </w:tc>
      </w:tr>
      <w:tr>
        <w:tc>
          <w:tcPr>
            <w:tcW w:type="dxa" w:w="1440"/>
            <w:vAlign w:val="center"/>
          </w:tcPr>
          <w:p>
            <w:pPr>
              <w:spacing w:before="0" w:after="40" w:line="276" w:lineRule="auto"/>
            </w:pPr>
            <w:r/>
            <w:r>
              <w:rPr>
                <w:rFonts w:ascii="Calibri" w:hAnsi="Calibri"/>
                <w:color w:val="333333"/>
                <w:sz w:val="19"/>
              </w:rPr>
              <w:t>2015</w:t>
            </w:r>
          </w:p>
        </w:tc>
        <w:tc>
          <w:tcPr>
            <w:tcW w:type="dxa" w:w="1872"/>
            <w:vAlign w:val="center"/>
          </w:tcPr>
          <w:p>
            <w:pPr>
              <w:spacing w:before="0" w:after="40" w:line="276" w:lineRule="auto"/>
            </w:pPr>
            <w:r/>
            <w:r>
              <w:rPr>
                <w:rFonts w:ascii="Calibri" w:hAnsi="Calibri"/>
                <w:color w:val="333333"/>
                <w:sz w:val="19"/>
              </w:rPr>
              <w:t>$213</w:t>
            </w:r>
          </w:p>
        </w:tc>
        <w:tc>
          <w:tcPr>
            <w:tcW w:type="dxa" w:w="2160"/>
            <w:vAlign w:val="center"/>
          </w:tcPr>
          <w:p>
            <w:pPr>
              <w:spacing w:before="0" w:after="40" w:line="276" w:lineRule="auto"/>
            </w:pPr>
            <w:r/>
            <w:r>
              <w:rPr>
                <w:rFonts w:ascii="Calibri" w:hAnsi="Calibri"/>
                <w:color w:val="333333"/>
                <w:sz w:val="19"/>
              </w:rPr>
              <w:t>$172</w:t>
            </w:r>
          </w:p>
        </w:tc>
        <w:tc>
          <w:tcPr>
            <w:tcW w:type="dxa" w:w="1440"/>
            <w:vAlign w:val="center"/>
          </w:tcPr>
          <w:p>
            <w:pPr>
              <w:spacing w:before="0" w:after="40" w:line="276" w:lineRule="auto"/>
            </w:pPr>
            <w:r/>
            <w:r>
              <w:rPr>
                <w:rFonts w:ascii="Calibri" w:hAnsi="Calibri"/>
                <w:color w:val="333333"/>
                <w:sz w:val="19"/>
              </w:rPr>
              <w:t>$385</w:t>
            </w:r>
          </w:p>
        </w:tc>
      </w:tr>
      <w:tr>
        <w:tc>
          <w:tcPr>
            <w:tcW w:type="dxa" w:w="1440"/>
            <w:shd w:val="clear" w:color="auto" w:fill="F2F2F2"/>
            <w:vAlign w:val="center"/>
          </w:tcPr>
          <w:p>
            <w:pPr>
              <w:spacing w:before="0" w:after="40" w:line="276" w:lineRule="auto"/>
            </w:pPr>
            <w:r/>
            <w:r>
              <w:rPr>
                <w:rFonts w:ascii="Calibri" w:hAnsi="Calibri"/>
                <w:color w:val="333333"/>
                <w:sz w:val="19"/>
              </w:rPr>
              <w:t>2018</w:t>
            </w:r>
          </w:p>
        </w:tc>
        <w:tc>
          <w:tcPr>
            <w:tcW w:type="dxa" w:w="1872"/>
            <w:shd w:val="clear" w:color="auto" w:fill="F2F2F2"/>
            <w:vAlign w:val="center"/>
          </w:tcPr>
          <w:p>
            <w:pPr>
              <w:spacing w:before="0" w:after="40" w:line="276" w:lineRule="auto"/>
            </w:pPr>
            <w:r/>
            <w:r>
              <w:rPr>
                <w:rFonts w:ascii="Calibri" w:hAnsi="Calibri"/>
                <w:color w:val="333333"/>
                <w:sz w:val="19"/>
              </w:rPr>
              <w:t>$253</w:t>
            </w:r>
          </w:p>
        </w:tc>
        <w:tc>
          <w:tcPr>
            <w:tcW w:type="dxa" w:w="2160"/>
            <w:shd w:val="clear" w:color="auto" w:fill="F2F2F2"/>
            <w:vAlign w:val="center"/>
          </w:tcPr>
          <w:p>
            <w:pPr>
              <w:spacing w:before="0" w:after="40" w:line="276" w:lineRule="auto"/>
            </w:pPr>
            <w:r/>
            <w:r>
              <w:rPr>
                <w:rFonts w:ascii="Calibri" w:hAnsi="Calibri"/>
                <w:color w:val="333333"/>
                <w:sz w:val="19"/>
              </w:rPr>
              <w:t>$198</w:t>
            </w:r>
          </w:p>
        </w:tc>
        <w:tc>
          <w:tcPr>
            <w:tcW w:type="dxa" w:w="1440"/>
            <w:shd w:val="clear" w:color="auto" w:fill="F2F2F2"/>
            <w:vAlign w:val="center"/>
          </w:tcPr>
          <w:p>
            <w:pPr>
              <w:spacing w:before="0" w:after="40" w:line="276" w:lineRule="auto"/>
            </w:pPr>
            <w:r/>
            <w:r>
              <w:rPr>
                <w:rFonts w:ascii="Calibri" w:hAnsi="Calibri"/>
                <w:color w:val="333333"/>
                <w:sz w:val="19"/>
              </w:rPr>
              <w:t>$451</w:t>
            </w:r>
          </w:p>
        </w:tc>
      </w:tr>
      <w:tr>
        <w:tc>
          <w:tcPr>
            <w:tcW w:type="dxa" w:w="1440"/>
            <w:vAlign w:val="center"/>
          </w:tcPr>
          <w:p>
            <w:pPr>
              <w:spacing w:before="0" w:after="40" w:line="276" w:lineRule="auto"/>
            </w:pPr>
            <w:r/>
            <w:r>
              <w:rPr>
                <w:rFonts w:ascii="Calibri" w:hAnsi="Calibri"/>
                <w:color w:val="333333"/>
                <w:sz w:val="19"/>
              </w:rPr>
              <w:t>2020</w:t>
            </w:r>
          </w:p>
        </w:tc>
        <w:tc>
          <w:tcPr>
            <w:tcW w:type="dxa" w:w="1872"/>
            <w:vAlign w:val="center"/>
          </w:tcPr>
          <w:p>
            <w:pPr>
              <w:spacing w:before="0" w:after="40" w:line="276" w:lineRule="auto"/>
            </w:pPr>
            <w:r/>
            <w:r>
              <w:rPr>
                <w:rFonts w:ascii="Calibri" w:hAnsi="Calibri"/>
                <w:color w:val="333333"/>
                <w:sz w:val="19"/>
              </w:rPr>
              <w:t>$279</w:t>
            </w:r>
          </w:p>
        </w:tc>
        <w:tc>
          <w:tcPr>
            <w:tcW w:type="dxa" w:w="2160"/>
            <w:vAlign w:val="center"/>
          </w:tcPr>
          <w:p>
            <w:pPr>
              <w:spacing w:before="0" w:after="40" w:line="276" w:lineRule="auto"/>
            </w:pPr>
            <w:r/>
            <w:r>
              <w:rPr>
                <w:rFonts w:ascii="Calibri" w:hAnsi="Calibri"/>
                <w:color w:val="333333"/>
                <w:sz w:val="19"/>
              </w:rPr>
              <w:t>$215</w:t>
            </w:r>
          </w:p>
        </w:tc>
        <w:tc>
          <w:tcPr>
            <w:tcW w:type="dxa" w:w="1440"/>
            <w:vAlign w:val="center"/>
          </w:tcPr>
          <w:p>
            <w:pPr>
              <w:spacing w:before="0" w:after="40" w:line="276" w:lineRule="auto"/>
            </w:pPr>
            <w:r/>
            <w:r>
              <w:rPr>
                <w:rFonts w:ascii="Calibri" w:hAnsi="Calibri"/>
                <w:color w:val="333333"/>
                <w:sz w:val="19"/>
              </w:rPr>
              <w:t>$494</w:t>
            </w:r>
          </w:p>
        </w:tc>
      </w:tr>
      <w:tr>
        <w:tc>
          <w:tcPr>
            <w:tcW w:type="dxa" w:w="1440"/>
            <w:shd w:val="clear" w:color="auto" w:fill="F2F2F2"/>
            <w:vAlign w:val="center"/>
          </w:tcPr>
          <w:p>
            <w:pPr>
              <w:spacing w:before="0" w:after="40" w:line="276" w:lineRule="auto"/>
            </w:pPr>
            <w:r/>
            <w:r>
              <w:rPr>
                <w:rFonts w:ascii="Calibri" w:hAnsi="Calibri"/>
                <w:color w:val="333333"/>
                <w:sz w:val="19"/>
              </w:rPr>
              <w:t>2022</w:t>
            </w:r>
          </w:p>
        </w:tc>
        <w:tc>
          <w:tcPr>
            <w:tcW w:type="dxa" w:w="1872"/>
            <w:shd w:val="clear" w:color="auto" w:fill="F2F2F2"/>
            <w:vAlign w:val="center"/>
          </w:tcPr>
          <w:p>
            <w:pPr>
              <w:spacing w:before="0" w:after="40" w:line="276" w:lineRule="auto"/>
            </w:pPr>
            <w:r/>
            <w:r>
              <w:rPr>
                <w:rFonts w:ascii="Calibri" w:hAnsi="Calibri"/>
                <w:color w:val="333333"/>
                <w:sz w:val="19"/>
              </w:rPr>
              <w:t>$325</w:t>
            </w:r>
          </w:p>
        </w:tc>
        <w:tc>
          <w:tcPr>
            <w:tcW w:type="dxa" w:w="2160"/>
            <w:shd w:val="clear" w:color="auto" w:fill="F2F2F2"/>
            <w:vAlign w:val="center"/>
          </w:tcPr>
          <w:p>
            <w:pPr>
              <w:spacing w:before="0" w:after="40" w:line="276" w:lineRule="auto"/>
            </w:pPr>
            <w:r/>
            <w:r>
              <w:rPr>
                <w:rFonts w:ascii="Calibri" w:hAnsi="Calibri"/>
                <w:color w:val="333333"/>
                <w:sz w:val="19"/>
              </w:rPr>
              <w:t>$205</w:t>
            </w:r>
          </w:p>
        </w:tc>
        <w:tc>
          <w:tcPr>
            <w:tcW w:type="dxa" w:w="1440"/>
            <w:shd w:val="clear" w:color="auto" w:fill="F2F2F2"/>
            <w:vAlign w:val="center"/>
          </w:tcPr>
          <w:p>
            <w:pPr>
              <w:spacing w:before="0" w:after="40" w:line="276" w:lineRule="auto"/>
            </w:pPr>
            <w:r/>
            <w:r>
              <w:rPr>
                <w:rFonts w:ascii="Calibri" w:hAnsi="Calibri"/>
                <w:color w:val="333333"/>
                <w:sz w:val="19"/>
              </w:rPr>
              <w:t>$530</w:t>
            </w:r>
          </w:p>
        </w:tc>
      </w:tr>
      <w:tr>
        <w:tc>
          <w:tcPr>
            <w:tcW w:type="dxa" w:w="1440"/>
            <w:vAlign w:val="center"/>
          </w:tcPr>
          <w:p>
            <w:pPr>
              <w:spacing w:before="0" w:after="40" w:line="276" w:lineRule="auto"/>
            </w:pPr>
            <w:r/>
            <w:r>
              <w:rPr>
                <w:rFonts w:ascii="Calibri" w:hAnsi="Calibri"/>
                <w:color w:val="333333"/>
                <w:sz w:val="19"/>
              </w:rPr>
              <w:t>2024</w:t>
            </w:r>
          </w:p>
        </w:tc>
        <w:tc>
          <w:tcPr>
            <w:tcW w:type="dxa" w:w="1872"/>
            <w:vAlign w:val="center"/>
          </w:tcPr>
          <w:p>
            <w:pPr>
              <w:spacing w:before="0" w:after="40" w:line="276" w:lineRule="auto"/>
            </w:pPr>
            <w:r/>
            <w:r>
              <w:rPr>
                <w:rFonts w:ascii="Calibri" w:hAnsi="Calibri"/>
                <w:color w:val="333333"/>
                <w:sz w:val="19"/>
              </w:rPr>
              <w:t>$382</w:t>
            </w:r>
          </w:p>
        </w:tc>
        <w:tc>
          <w:tcPr>
            <w:tcW w:type="dxa" w:w="2160"/>
            <w:vAlign w:val="center"/>
          </w:tcPr>
          <w:p>
            <w:pPr>
              <w:spacing w:before="0" w:after="40" w:line="276" w:lineRule="auto"/>
            </w:pPr>
            <w:r/>
            <w:r>
              <w:rPr>
                <w:rFonts w:ascii="Calibri" w:hAnsi="Calibri"/>
                <w:color w:val="333333"/>
                <w:sz w:val="19"/>
              </w:rPr>
              <w:t>$215</w:t>
            </w:r>
          </w:p>
        </w:tc>
        <w:tc>
          <w:tcPr>
            <w:tcW w:type="dxa" w:w="1440"/>
            <w:vAlign w:val="center"/>
          </w:tcPr>
          <w:p>
            <w:pPr>
              <w:spacing w:before="0" w:after="40" w:line="276" w:lineRule="auto"/>
            </w:pPr>
            <w:r/>
            <w:r>
              <w:rPr>
                <w:rFonts w:ascii="Calibri" w:hAnsi="Calibri"/>
                <w:color w:val="333333"/>
                <w:sz w:val="19"/>
              </w:rPr>
              <w:t>$597</w:t>
            </w:r>
          </w:p>
        </w:tc>
      </w:tr>
      <w:tr>
        <w:tc>
          <w:tcPr>
            <w:tcW w:type="dxa" w:w="1440"/>
            <w:shd w:val="clear" w:color="auto" w:fill="F2F2F2"/>
            <w:vAlign w:val="center"/>
          </w:tcPr>
          <w:p>
            <w:pPr>
              <w:spacing w:before="0" w:after="40" w:line="276" w:lineRule="auto"/>
            </w:pPr>
            <w:r/>
            <w:r>
              <w:rPr>
                <w:rFonts w:ascii="Calibri" w:hAnsi="Calibri"/>
                <w:color w:val="333333"/>
                <w:sz w:val="19"/>
              </w:rPr>
              <w:t>2025</w:t>
            </w:r>
          </w:p>
        </w:tc>
        <w:tc>
          <w:tcPr>
            <w:tcW w:type="dxa" w:w="1872"/>
            <w:shd w:val="clear" w:color="auto" w:fill="F2F2F2"/>
            <w:vAlign w:val="center"/>
          </w:tcPr>
          <w:p>
            <w:pPr>
              <w:spacing w:before="0" w:after="40" w:line="276" w:lineRule="auto"/>
            </w:pPr>
            <w:r/>
            <w:r>
              <w:rPr>
                <w:rFonts w:ascii="Calibri" w:hAnsi="Calibri"/>
                <w:color w:val="333333"/>
                <w:sz w:val="19"/>
              </w:rPr>
              <w:t>$405</w:t>
            </w:r>
          </w:p>
        </w:tc>
        <w:tc>
          <w:tcPr>
            <w:tcW w:type="dxa" w:w="2160"/>
            <w:shd w:val="clear" w:color="auto" w:fill="F2F2F2"/>
            <w:vAlign w:val="center"/>
          </w:tcPr>
          <w:p>
            <w:pPr>
              <w:spacing w:before="0" w:after="40" w:line="276" w:lineRule="auto"/>
            </w:pPr>
            <w:r/>
            <w:r>
              <w:rPr>
                <w:rFonts w:ascii="Calibri" w:hAnsi="Calibri"/>
                <w:color w:val="333333"/>
                <w:sz w:val="19"/>
              </w:rPr>
              <w:t>$220</w:t>
            </w:r>
          </w:p>
        </w:tc>
        <w:tc>
          <w:tcPr>
            <w:tcW w:type="dxa" w:w="1440"/>
            <w:shd w:val="clear" w:color="auto" w:fill="F2F2F2"/>
            <w:vAlign w:val="center"/>
          </w:tcPr>
          <w:p>
            <w:pPr>
              <w:spacing w:before="0" w:after="40" w:line="276" w:lineRule="auto"/>
            </w:pPr>
            <w:r/>
            <w:r>
              <w:rPr>
                <w:rFonts w:ascii="Calibri" w:hAnsi="Calibri"/>
                <w:color w:val="333333"/>
                <w:sz w:val="19"/>
              </w:rPr>
              <w:t>$625</w:t>
            </w:r>
          </w:p>
        </w:tc>
      </w:tr>
      <w:tr>
        <w:tc>
          <w:tcPr>
            <w:tcW w:type="dxa" w:w="1440"/>
            <w:vAlign w:val="center"/>
          </w:tcPr>
          <w:p>
            <w:pPr>
              <w:spacing w:before="0" w:after="40" w:line="276" w:lineRule="auto"/>
            </w:pPr>
            <w:r/>
            <w:r>
              <w:rPr>
                <w:rFonts w:ascii="Calibri" w:hAnsi="Calibri"/>
                <w:color w:val="333333"/>
                <w:sz w:val="19"/>
              </w:rPr>
              <w:t>2026E</w:t>
            </w:r>
          </w:p>
        </w:tc>
        <w:tc>
          <w:tcPr>
            <w:tcW w:type="dxa" w:w="1872"/>
            <w:vAlign w:val="center"/>
          </w:tcPr>
          <w:p>
            <w:pPr>
              <w:spacing w:before="0" w:after="40" w:line="276" w:lineRule="auto"/>
            </w:pPr>
            <w:r/>
            <w:r>
              <w:rPr>
                <w:rFonts w:ascii="Calibri" w:hAnsi="Calibri"/>
                <w:color w:val="333333"/>
                <w:sz w:val="19"/>
              </w:rPr>
              <w:t>$430</w:t>
            </w:r>
          </w:p>
        </w:tc>
        <w:tc>
          <w:tcPr>
            <w:tcW w:type="dxa" w:w="2160"/>
            <w:vAlign w:val="center"/>
          </w:tcPr>
          <w:p>
            <w:pPr>
              <w:spacing w:before="0" w:after="40" w:line="276" w:lineRule="auto"/>
            </w:pPr>
            <w:r/>
            <w:r>
              <w:rPr>
                <w:rFonts w:ascii="Calibri" w:hAnsi="Calibri"/>
                <w:color w:val="333333"/>
                <w:sz w:val="19"/>
              </w:rPr>
              <w:t>$230</w:t>
            </w:r>
          </w:p>
        </w:tc>
        <w:tc>
          <w:tcPr>
            <w:tcW w:type="dxa" w:w="1440"/>
            <w:vAlign w:val="center"/>
          </w:tcPr>
          <w:p>
            <w:pPr>
              <w:spacing w:before="0" w:after="40" w:line="276" w:lineRule="auto"/>
            </w:pPr>
            <w:r/>
            <w:r>
              <w:rPr>
                <w:rFonts w:ascii="Calibri" w:hAnsi="Calibri"/>
                <w:color w:val="333333"/>
                <w:sz w:val="19"/>
              </w:rPr>
              <w:t>$660</w:t>
            </w:r>
          </w:p>
        </w:tc>
      </w:tr>
    </w:tbl>
    <w:p>
      <w:pPr>
        <w:spacing w:before="0" w:after="160" w:line="288" w:lineRule="auto"/>
      </w:pPr>
      <w:r>
        <w:rPr>
          <w:rFonts w:ascii="Calibri" w:hAnsi="Calibri"/>
          <w:b w:val="0"/>
          <w:i w:val="0"/>
        </w:rPr>
      </w:r>
    </w:p>
    <w:p>
      <w:pPr>
        <w:pStyle w:val="Heading2"/>
        <w:spacing w:before="280" w:after="120" w:line="276" w:lineRule="auto"/>
      </w:pPr>
      <w:r>
        <w:t>A.3 Cash Flow Detail</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003A70"/>
            <w:vAlign w:val="center"/>
          </w:tcPr>
          <w:p>
            <w:pPr>
              <w:spacing w:before="0" w:after="40" w:line="276" w:lineRule="auto"/>
            </w:pPr>
            <w:r/>
            <w:r>
              <w:rPr>
                <w:rFonts w:ascii="Calibri" w:hAnsi="Calibri"/>
                <w:b/>
                <w:color w:val="FFFFFF"/>
                <w:sz w:val="19"/>
              </w:rPr>
              <w:t>Year</w:t>
            </w:r>
          </w:p>
        </w:tc>
        <w:tc>
          <w:tcPr>
            <w:tcW w:type="dxa" w:w="1584"/>
            <w:shd w:val="clear" w:color="auto" w:fill="003A70"/>
            <w:vAlign w:val="center"/>
          </w:tcPr>
          <w:p>
            <w:pPr>
              <w:spacing w:before="0" w:after="40" w:line="276" w:lineRule="auto"/>
            </w:pPr>
            <w:r/>
            <w:r>
              <w:rPr>
                <w:rFonts w:ascii="Calibri" w:hAnsi="Calibri"/>
                <w:b/>
                <w:color w:val="FFFFFF"/>
                <w:sz w:val="19"/>
              </w:rPr>
              <w:t>Cost</w:t>
            </w:r>
          </w:p>
        </w:tc>
        <w:tc>
          <w:tcPr>
            <w:tcW w:type="dxa" w:w="1584"/>
            <w:shd w:val="clear" w:color="auto" w:fill="003A70"/>
            <w:vAlign w:val="center"/>
          </w:tcPr>
          <w:p>
            <w:pPr>
              <w:spacing w:before="0" w:after="40" w:line="276" w:lineRule="auto"/>
            </w:pPr>
            <w:r/>
            <w:r>
              <w:rPr>
                <w:rFonts w:ascii="Calibri" w:hAnsi="Calibri"/>
                <w:b/>
                <w:color w:val="FFFFFF"/>
                <w:sz w:val="19"/>
              </w:rPr>
              <w:t>Benefit</w:t>
            </w:r>
          </w:p>
        </w:tc>
        <w:tc>
          <w:tcPr>
            <w:tcW w:type="dxa" w:w="1584"/>
            <w:shd w:val="clear" w:color="auto" w:fill="003A70"/>
            <w:vAlign w:val="center"/>
          </w:tcPr>
          <w:p>
            <w:pPr>
              <w:spacing w:before="0" w:after="40" w:line="276" w:lineRule="auto"/>
            </w:pPr>
            <w:r/>
            <w:r>
              <w:rPr>
                <w:rFonts w:ascii="Calibri" w:hAnsi="Calibri"/>
                <w:b/>
                <w:color w:val="FFFFFF"/>
                <w:sz w:val="19"/>
              </w:rPr>
              <w:t>Net</w:t>
            </w:r>
          </w:p>
        </w:tc>
        <w:tc>
          <w:tcPr>
            <w:tcW w:type="dxa" w:w="1872"/>
            <w:shd w:val="clear" w:color="auto" w:fill="003A70"/>
            <w:vAlign w:val="center"/>
          </w:tcPr>
          <w:p>
            <w:pPr>
              <w:spacing w:before="0" w:after="40" w:line="276" w:lineRule="auto"/>
            </w:pPr>
            <w:r/>
            <w:r>
              <w:rPr>
                <w:rFonts w:ascii="Calibri" w:hAnsi="Calibri"/>
                <w:b/>
                <w:color w:val="FFFFFF"/>
                <w:sz w:val="19"/>
              </w:rPr>
              <w:t>Cumulative</w:t>
            </w:r>
          </w:p>
        </w:tc>
      </w:tr>
      <w:tr>
        <w:tc>
          <w:tcPr>
            <w:tcW w:type="dxa" w:w="1296"/>
            <w:vAlign w:val="center"/>
          </w:tcPr>
          <w:p>
            <w:pPr>
              <w:spacing w:before="0" w:after="40" w:line="276" w:lineRule="auto"/>
            </w:pPr>
            <w:r/>
            <w:r>
              <w:rPr>
                <w:rFonts w:ascii="Calibri" w:hAnsi="Calibri"/>
                <w:color w:val="333333"/>
                <w:sz w:val="19"/>
              </w:rPr>
              <w:t>Year 1</w:t>
            </w:r>
          </w:p>
        </w:tc>
        <w:tc>
          <w:tcPr>
            <w:tcW w:type="dxa" w:w="1584"/>
            <w:vAlign w:val="center"/>
          </w:tcPr>
          <w:p>
            <w:pPr>
              <w:spacing w:before="0" w:after="40" w:line="276" w:lineRule="auto"/>
            </w:pPr>
            <w:r/>
            <w:r>
              <w:rPr>
                <w:rFonts w:ascii="Calibri" w:hAnsi="Calibri"/>
                <w:color w:val="333333"/>
                <w:sz w:val="19"/>
              </w:rPr>
              <w:t>$1715K</w:t>
            </w:r>
          </w:p>
        </w:tc>
        <w:tc>
          <w:tcPr>
            <w:tcW w:type="dxa" w:w="1584"/>
            <w:vAlign w:val="center"/>
          </w:tcPr>
          <w:p>
            <w:pPr>
              <w:spacing w:before="0" w:after="40" w:line="276" w:lineRule="auto"/>
            </w:pPr>
            <w:r/>
            <w:r>
              <w:rPr>
                <w:rFonts w:ascii="Calibri" w:hAnsi="Calibri"/>
                <w:color w:val="333333"/>
                <w:sz w:val="19"/>
              </w:rPr>
              <w:t>$2275K</w:t>
            </w:r>
          </w:p>
        </w:tc>
        <w:tc>
          <w:tcPr>
            <w:tcW w:type="dxa" w:w="1584"/>
            <w:vAlign w:val="center"/>
          </w:tcPr>
          <w:p>
            <w:pPr>
              <w:spacing w:before="0" w:after="40" w:line="276" w:lineRule="auto"/>
            </w:pPr>
            <w:r/>
            <w:r>
              <w:rPr>
                <w:rFonts w:ascii="Calibri" w:hAnsi="Calibri"/>
                <w:color w:val="333333"/>
                <w:sz w:val="19"/>
              </w:rPr>
              <w:t>$560K</w:t>
            </w:r>
          </w:p>
        </w:tc>
        <w:tc>
          <w:tcPr>
            <w:tcW w:type="dxa" w:w="1872"/>
            <w:vAlign w:val="center"/>
          </w:tcPr>
          <w:p>
            <w:pPr>
              <w:spacing w:before="0" w:after="40" w:line="276" w:lineRule="auto"/>
            </w:pPr>
            <w:r/>
            <w:r>
              <w:rPr>
                <w:rFonts w:ascii="Calibri" w:hAnsi="Calibri"/>
                <w:color w:val="333333"/>
                <w:sz w:val="19"/>
              </w:rPr>
              <w:t>$560K</w:t>
            </w:r>
          </w:p>
        </w:tc>
      </w:tr>
      <w:tr>
        <w:tc>
          <w:tcPr>
            <w:tcW w:type="dxa" w:w="1296"/>
            <w:shd w:val="clear" w:color="auto" w:fill="F2F2F2"/>
            <w:vAlign w:val="center"/>
          </w:tcPr>
          <w:p>
            <w:pPr>
              <w:spacing w:before="0" w:after="40" w:line="276" w:lineRule="auto"/>
            </w:pPr>
            <w:r/>
            <w:r>
              <w:rPr>
                <w:rFonts w:ascii="Calibri" w:hAnsi="Calibri"/>
                <w:color w:val="333333"/>
                <w:sz w:val="19"/>
              </w:rPr>
              <w:t>Year 2</w:t>
            </w:r>
          </w:p>
        </w:tc>
        <w:tc>
          <w:tcPr>
            <w:tcW w:type="dxa" w:w="1584"/>
            <w:shd w:val="clear" w:color="auto" w:fill="F2F2F2"/>
            <w:vAlign w:val="center"/>
          </w:tcPr>
          <w:p>
            <w:pPr>
              <w:spacing w:before="0" w:after="40" w:line="276" w:lineRule="auto"/>
            </w:pPr>
            <w:r/>
            <w:r>
              <w:rPr>
                <w:rFonts w:ascii="Calibri" w:hAnsi="Calibri"/>
                <w:color w:val="333333"/>
                <w:sz w:val="19"/>
              </w:rPr>
              <w:t>$1170K</w:t>
            </w:r>
          </w:p>
        </w:tc>
        <w:tc>
          <w:tcPr>
            <w:tcW w:type="dxa" w:w="1584"/>
            <w:shd w:val="clear" w:color="auto" w:fill="F2F2F2"/>
            <w:vAlign w:val="center"/>
          </w:tcPr>
          <w:p>
            <w:pPr>
              <w:spacing w:before="0" w:after="40" w:line="276" w:lineRule="auto"/>
            </w:pPr>
            <w:r/>
            <w:r>
              <w:rPr>
                <w:rFonts w:ascii="Calibri" w:hAnsi="Calibri"/>
                <w:color w:val="333333"/>
                <w:sz w:val="19"/>
              </w:rPr>
              <w:t>$4550K</w:t>
            </w:r>
          </w:p>
        </w:tc>
        <w:tc>
          <w:tcPr>
            <w:tcW w:type="dxa" w:w="1584"/>
            <w:shd w:val="clear" w:color="auto" w:fill="F2F2F2"/>
            <w:vAlign w:val="center"/>
          </w:tcPr>
          <w:p>
            <w:pPr>
              <w:spacing w:before="0" w:after="40" w:line="276" w:lineRule="auto"/>
            </w:pPr>
            <w:r/>
            <w:r>
              <w:rPr>
                <w:rFonts w:ascii="Calibri" w:hAnsi="Calibri"/>
                <w:color w:val="333333"/>
                <w:sz w:val="19"/>
              </w:rPr>
              <w:t>$3380K</w:t>
            </w:r>
          </w:p>
        </w:tc>
        <w:tc>
          <w:tcPr>
            <w:tcW w:type="dxa" w:w="1872"/>
            <w:shd w:val="clear" w:color="auto" w:fill="F2F2F2"/>
            <w:vAlign w:val="center"/>
          </w:tcPr>
          <w:p>
            <w:pPr>
              <w:spacing w:before="0" w:after="40" w:line="276" w:lineRule="auto"/>
            </w:pPr>
            <w:r/>
            <w:r>
              <w:rPr>
                <w:rFonts w:ascii="Calibri" w:hAnsi="Calibri"/>
                <w:color w:val="333333"/>
                <w:sz w:val="19"/>
              </w:rPr>
              <w:t>$3940K</w:t>
            </w:r>
          </w:p>
        </w:tc>
      </w:tr>
      <w:tr>
        <w:tc>
          <w:tcPr>
            <w:tcW w:type="dxa" w:w="1296"/>
            <w:vAlign w:val="center"/>
          </w:tcPr>
          <w:p>
            <w:pPr>
              <w:spacing w:before="0" w:after="40" w:line="276" w:lineRule="auto"/>
            </w:pPr>
            <w:r/>
            <w:r>
              <w:rPr>
                <w:rFonts w:ascii="Calibri" w:hAnsi="Calibri"/>
                <w:color w:val="333333"/>
                <w:sz w:val="19"/>
              </w:rPr>
              <w:t>Year 3</w:t>
            </w:r>
          </w:p>
        </w:tc>
        <w:tc>
          <w:tcPr>
            <w:tcW w:type="dxa" w:w="1584"/>
            <w:vAlign w:val="center"/>
          </w:tcPr>
          <w:p>
            <w:pPr>
              <w:spacing w:before="0" w:after="40" w:line="276" w:lineRule="auto"/>
            </w:pPr>
            <w:r/>
            <w:r>
              <w:rPr>
                <w:rFonts w:ascii="Calibri" w:hAnsi="Calibri"/>
                <w:color w:val="333333"/>
                <w:sz w:val="19"/>
              </w:rPr>
              <w:t>$1170K</w:t>
            </w:r>
          </w:p>
        </w:tc>
        <w:tc>
          <w:tcPr>
            <w:tcW w:type="dxa" w:w="1584"/>
            <w:vAlign w:val="center"/>
          </w:tcPr>
          <w:p>
            <w:pPr>
              <w:spacing w:before="0" w:after="40" w:line="276" w:lineRule="auto"/>
            </w:pPr>
            <w:r/>
            <w:r>
              <w:rPr>
                <w:rFonts w:ascii="Calibri" w:hAnsi="Calibri"/>
                <w:color w:val="333333"/>
                <w:sz w:val="19"/>
              </w:rPr>
              <w:t>$4550K</w:t>
            </w:r>
          </w:p>
        </w:tc>
        <w:tc>
          <w:tcPr>
            <w:tcW w:type="dxa" w:w="1584"/>
            <w:vAlign w:val="center"/>
          </w:tcPr>
          <w:p>
            <w:pPr>
              <w:spacing w:before="0" w:after="40" w:line="276" w:lineRule="auto"/>
            </w:pPr>
            <w:r/>
            <w:r>
              <w:rPr>
                <w:rFonts w:ascii="Calibri" w:hAnsi="Calibri"/>
                <w:color w:val="333333"/>
                <w:sz w:val="19"/>
              </w:rPr>
              <w:t>$3380K</w:t>
            </w:r>
          </w:p>
        </w:tc>
        <w:tc>
          <w:tcPr>
            <w:tcW w:type="dxa" w:w="1872"/>
            <w:vAlign w:val="center"/>
          </w:tcPr>
          <w:p>
            <w:pPr>
              <w:spacing w:before="0" w:after="40" w:line="276" w:lineRule="auto"/>
            </w:pPr>
            <w:r/>
            <w:r>
              <w:rPr>
                <w:rFonts w:ascii="Calibri" w:hAnsi="Calibri"/>
                <w:color w:val="333333"/>
                <w:sz w:val="19"/>
              </w:rPr>
              <w:t>$7320K</w:t>
            </w:r>
          </w:p>
        </w:tc>
      </w:tr>
      <w:tr>
        <w:tc>
          <w:tcPr>
            <w:tcW w:type="dxa" w:w="1296"/>
            <w:shd w:val="clear" w:color="auto" w:fill="F2F2F2"/>
            <w:vAlign w:val="center"/>
          </w:tcPr>
          <w:p>
            <w:pPr>
              <w:spacing w:before="0" w:after="40" w:line="276" w:lineRule="auto"/>
            </w:pPr>
            <w:r/>
            <w:r>
              <w:rPr>
                <w:rFonts w:ascii="Calibri" w:hAnsi="Calibri"/>
                <w:color w:val="333333"/>
                <w:sz w:val="19"/>
              </w:rPr>
              <w:t>Year 4</w:t>
            </w:r>
          </w:p>
        </w:tc>
        <w:tc>
          <w:tcPr>
            <w:tcW w:type="dxa" w:w="1584"/>
            <w:shd w:val="clear" w:color="auto" w:fill="F2F2F2"/>
            <w:vAlign w:val="center"/>
          </w:tcPr>
          <w:p>
            <w:pPr>
              <w:spacing w:before="0" w:after="40" w:line="276" w:lineRule="auto"/>
            </w:pPr>
            <w:r/>
            <w:r>
              <w:rPr>
                <w:rFonts w:ascii="Calibri" w:hAnsi="Calibri"/>
                <w:color w:val="333333"/>
                <w:sz w:val="19"/>
              </w:rPr>
              <w:t>$1170K</w:t>
            </w:r>
          </w:p>
        </w:tc>
        <w:tc>
          <w:tcPr>
            <w:tcW w:type="dxa" w:w="1584"/>
            <w:shd w:val="clear" w:color="auto" w:fill="F2F2F2"/>
            <w:vAlign w:val="center"/>
          </w:tcPr>
          <w:p>
            <w:pPr>
              <w:spacing w:before="0" w:after="40" w:line="276" w:lineRule="auto"/>
            </w:pPr>
            <w:r/>
            <w:r>
              <w:rPr>
                <w:rFonts w:ascii="Calibri" w:hAnsi="Calibri"/>
                <w:color w:val="333333"/>
                <w:sz w:val="19"/>
              </w:rPr>
              <w:t>$4550K</w:t>
            </w:r>
          </w:p>
        </w:tc>
        <w:tc>
          <w:tcPr>
            <w:tcW w:type="dxa" w:w="1584"/>
            <w:shd w:val="clear" w:color="auto" w:fill="F2F2F2"/>
            <w:vAlign w:val="center"/>
          </w:tcPr>
          <w:p>
            <w:pPr>
              <w:spacing w:before="0" w:after="40" w:line="276" w:lineRule="auto"/>
            </w:pPr>
            <w:r/>
            <w:r>
              <w:rPr>
                <w:rFonts w:ascii="Calibri" w:hAnsi="Calibri"/>
                <w:color w:val="333333"/>
                <w:sz w:val="19"/>
              </w:rPr>
              <w:t>$3380K</w:t>
            </w:r>
          </w:p>
        </w:tc>
        <w:tc>
          <w:tcPr>
            <w:tcW w:type="dxa" w:w="1872"/>
            <w:shd w:val="clear" w:color="auto" w:fill="F2F2F2"/>
            <w:vAlign w:val="center"/>
          </w:tcPr>
          <w:p>
            <w:pPr>
              <w:spacing w:before="0" w:after="40" w:line="276" w:lineRule="auto"/>
            </w:pPr>
            <w:r/>
            <w:r>
              <w:rPr>
                <w:rFonts w:ascii="Calibri" w:hAnsi="Calibri"/>
                <w:color w:val="333333"/>
                <w:sz w:val="19"/>
              </w:rPr>
              <w:t>$10700K</w:t>
            </w:r>
          </w:p>
        </w:tc>
      </w:tr>
      <w:tr>
        <w:tc>
          <w:tcPr>
            <w:tcW w:type="dxa" w:w="1296"/>
            <w:vAlign w:val="center"/>
          </w:tcPr>
          <w:p>
            <w:pPr>
              <w:spacing w:before="0" w:after="40" w:line="276" w:lineRule="auto"/>
            </w:pPr>
            <w:r/>
            <w:r>
              <w:rPr>
                <w:rFonts w:ascii="Calibri" w:hAnsi="Calibri"/>
                <w:color w:val="333333"/>
                <w:sz w:val="19"/>
              </w:rPr>
              <w:t>Year 5</w:t>
            </w:r>
          </w:p>
        </w:tc>
        <w:tc>
          <w:tcPr>
            <w:tcW w:type="dxa" w:w="1584"/>
            <w:vAlign w:val="center"/>
          </w:tcPr>
          <w:p>
            <w:pPr>
              <w:spacing w:before="0" w:after="40" w:line="276" w:lineRule="auto"/>
            </w:pPr>
            <w:r/>
            <w:r>
              <w:rPr>
                <w:rFonts w:ascii="Calibri" w:hAnsi="Calibri"/>
                <w:color w:val="333333"/>
                <w:sz w:val="19"/>
              </w:rPr>
              <w:t>$1170K</w:t>
            </w:r>
          </w:p>
        </w:tc>
        <w:tc>
          <w:tcPr>
            <w:tcW w:type="dxa" w:w="1584"/>
            <w:vAlign w:val="center"/>
          </w:tcPr>
          <w:p>
            <w:pPr>
              <w:spacing w:before="0" w:after="40" w:line="276" w:lineRule="auto"/>
            </w:pPr>
            <w:r/>
            <w:r>
              <w:rPr>
                <w:rFonts w:ascii="Calibri" w:hAnsi="Calibri"/>
                <w:color w:val="333333"/>
                <w:sz w:val="19"/>
              </w:rPr>
              <w:t>$4550K</w:t>
            </w:r>
          </w:p>
        </w:tc>
        <w:tc>
          <w:tcPr>
            <w:tcW w:type="dxa" w:w="1584"/>
            <w:vAlign w:val="center"/>
          </w:tcPr>
          <w:p>
            <w:pPr>
              <w:spacing w:before="0" w:after="40" w:line="276" w:lineRule="auto"/>
            </w:pPr>
            <w:r/>
            <w:r>
              <w:rPr>
                <w:rFonts w:ascii="Calibri" w:hAnsi="Calibri"/>
                <w:color w:val="333333"/>
                <w:sz w:val="19"/>
              </w:rPr>
              <w:t>$3380K</w:t>
            </w:r>
          </w:p>
        </w:tc>
        <w:tc>
          <w:tcPr>
            <w:tcW w:type="dxa" w:w="1872"/>
            <w:vAlign w:val="center"/>
          </w:tcPr>
          <w:p>
            <w:pPr>
              <w:spacing w:before="0" w:after="40" w:line="276" w:lineRule="auto"/>
            </w:pPr>
            <w:r/>
            <w:r>
              <w:rPr>
                <w:rFonts w:ascii="Calibri" w:hAnsi="Calibri"/>
                <w:color w:val="333333"/>
                <w:sz w:val="19"/>
              </w:rPr>
              <w:t>$14080K</w:t>
            </w:r>
          </w:p>
        </w:tc>
      </w:tr>
      <w:tr>
        <w:tc>
          <w:tcPr>
            <w:tcW w:type="dxa" w:w="1296"/>
            <w:shd w:val="clear" w:color="auto" w:fill="F2F2F2"/>
            <w:vAlign w:val="center"/>
          </w:tcPr>
          <w:p>
            <w:pPr>
              <w:spacing w:before="0" w:after="40" w:line="276" w:lineRule="auto"/>
            </w:pPr>
            <w:r/>
            <w:r>
              <w:rPr>
                <w:rFonts w:ascii="Calibri" w:hAnsi="Calibri"/>
                <w:color w:val="333333"/>
                <w:sz w:val="19"/>
              </w:rPr>
              <w:t>Year 6</w:t>
            </w:r>
          </w:p>
        </w:tc>
        <w:tc>
          <w:tcPr>
            <w:tcW w:type="dxa" w:w="1584"/>
            <w:shd w:val="clear" w:color="auto" w:fill="F2F2F2"/>
            <w:vAlign w:val="center"/>
          </w:tcPr>
          <w:p>
            <w:pPr>
              <w:spacing w:before="0" w:after="40" w:line="276" w:lineRule="auto"/>
            </w:pPr>
            <w:r/>
            <w:r>
              <w:rPr>
                <w:rFonts w:ascii="Calibri" w:hAnsi="Calibri"/>
                <w:color w:val="333333"/>
                <w:sz w:val="19"/>
              </w:rPr>
              <w:t>$1170K</w:t>
            </w:r>
          </w:p>
        </w:tc>
        <w:tc>
          <w:tcPr>
            <w:tcW w:type="dxa" w:w="1584"/>
            <w:shd w:val="clear" w:color="auto" w:fill="F2F2F2"/>
            <w:vAlign w:val="center"/>
          </w:tcPr>
          <w:p>
            <w:pPr>
              <w:spacing w:before="0" w:after="40" w:line="276" w:lineRule="auto"/>
            </w:pPr>
            <w:r/>
            <w:r>
              <w:rPr>
                <w:rFonts w:ascii="Calibri" w:hAnsi="Calibri"/>
                <w:color w:val="333333"/>
                <w:sz w:val="19"/>
              </w:rPr>
              <w:t>$4550K</w:t>
            </w:r>
          </w:p>
        </w:tc>
        <w:tc>
          <w:tcPr>
            <w:tcW w:type="dxa" w:w="1584"/>
            <w:shd w:val="clear" w:color="auto" w:fill="F2F2F2"/>
            <w:vAlign w:val="center"/>
          </w:tcPr>
          <w:p>
            <w:pPr>
              <w:spacing w:before="0" w:after="40" w:line="276" w:lineRule="auto"/>
            </w:pPr>
            <w:r/>
            <w:r>
              <w:rPr>
                <w:rFonts w:ascii="Calibri" w:hAnsi="Calibri"/>
                <w:color w:val="333333"/>
                <w:sz w:val="19"/>
              </w:rPr>
              <w:t>$3380K</w:t>
            </w:r>
          </w:p>
        </w:tc>
        <w:tc>
          <w:tcPr>
            <w:tcW w:type="dxa" w:w="1872"/>
            <w:shd w:val="clear" w:color="auto" w:fill="F2F2F2"/>
            <w:vAlign w:val="center"/>
          </w:tcPr>
          <w:p>
            <w:pPr>
              <w:spacing w:before="0" w:after="40" w:line="276" w:lineRule="auto"/>
            </w:pPr>
            <w:r/>
            <w:r>
              <w:rPr>
                <w:rFonts w:ascii="Calibri" w:hAnsi="Calibri"/>
                <w:color w:val="333333"/>
                <w:sz w:val="19"/>
              </w:rPr>
              <w:t>$17460K</w:t>
            </w:r>
          </w:p>
        </w:tc>
      </w:tr>
      <w:tr>
        <w:tc>
          <w:tcPr>
            <w:tcW w:type="dxa" w:w="1296"/>
            <w:vAlign w:val="center"/>
          </w:tcPr>
          <w:p>
            <w:pPr>
              <w:spacing w:before="0" w:after="40" w:line="276" w:lineRule="auto"/>
            </w:pPr>
            <w:r/>
            <w:r>
              <w:rPr>
                <w:rFonts w:ascii="Calibri" w:hAnsi="Calibri"/>
                <w:color w:val="333333"/>
                <w:sz w:val="19"/>
              </w:rPr>
              <w:t>Year 7</w:t>
            </w:r>
          </w:p>
        </w:tc>
        <w:tc>
          <w:tcPr>
            <w:tcW w:type="dxa" w:w="1584"/>
            <w:vAlign w:val="center"/>
          </w:tcPr>
          <w:p>
            <w:pPr>
              <w:spacing w:before="0" w:after="40" w:line="276" w:lineRule="auto"/>
            </w:pPr>
            <w:r/>
            <w:r>
              <w:rPr>
                <w:rFonts w:ascii="Calibri" w:hAnsi="Calibri"/>
                <w:color w:val="333333"/>
                <w:sz w:val="19"/>
              </w:rPr>
              <w:t>$1170K</w:t>
            </w:r>
          </w:p>
        </w:tc>
        <w:tc>
          <w:tcPr>
            <w:tcW w:type="dxa" w:w="1584"/>
            <w:vAlign w:val="center"/>
          </w:tcPr>
          <w:p>
            <w:pPr>
              <w:spacing w:before="0" w:after="40" w:line="276" w:lineRule="auto"/>
            </w:pPr>
            <w:r/>
            <w:r>
              <w:rPr>
                <w:rFonts w:ascii="Calibri" w:hAnsi="Calibri"/>
                <w:color w:val="333333"/>
                <w:sz w:val="19"/>
              </w:rPr>
              <w:t>$4550K</w:t>
            </w:r>
          </w:p>
        </w:tc>
        <w:tc>
          <w:tcPr>
            <w:tcW w:type="dxa" w:w="1584"/>
            <w:vAlign w:val="center"/>
          </w:tcPr>
          <w:p>
            <w:pPr>
              <w:spacing w:before="0" w:after="40" w:line="276" w:lineRule="auto"/>
            </w:pPr>
            <w:r/>
            <w:r>
              <w:rPr>
                <w:rFonts w:ascii="Calibri" w:hAnsi="Calibri"/>
                <w:color w:val="333333"/>
                <w:sz w:val="19"/>
              </w:rPr>
              <w:t>$3380K</w:t>
            </w:r>
          </w:p>
        </w:tc>
        <w:tc>
          <w:tcPr>
            <w:tcW w:type="dxa" w:w="1872"/>
            <w:vAlign w:val="center"/>
          </w:tcPr>
          <w:p>
            <w:pPr>
              <w:spacing w:before="0" w:after="40" w:line="276" w:lineRule="auto"/>
            </w:pPr>
            <w:r/>
            <w:r>
              <w:rPr>
                <w:rFonts w:ascii="Calibri" w:hAnsi="Calibri"/>
                <w:color w:val="333333"/>
                <w:sz w:val="19"/>
              </w:rPr>
              <w:t>$20840K</w:t>
            </w:r>
          </w:p>
        </w:tc>
      </w:tr>
      <w:tr>
        <w:tc>
          <w:tcPr>
            <w:tcW w:type="dxa" w:w="1296"/>
            <w:shd w:val="clear" w:color="auto" w:fill="F2F2F2"/>
            <w:vAlign w:val="center"/>
          </w:tcPr>
          <w:p>
            <w:pPr>
              <w:spacing w:before="0" w:after="40" w:line="276" w:lineRule="auto"/>
            </w:pPr>
            <w:r/>
            <w:r>
              <w:rPr>
                <w:rFonts w:ascii="Calibri" w:hAnsi="Calibri"/>
                <w:color w:val="333333"/>
                <w:sz w:val="19"/>
              </w:rPr>
              <w:t>Year 8</w:t>
            </w:r>
          </w:p>
        </w:tc>
        <w:tc>
          <w:tcPr>
            <w:tcW w:type="dxa" w:w="1584"/>
            <w:shd w:val="clear" w:color="auto" w:fill="F2F2F2"/>
            <w:vAlign w:val="center"/>
          </w:tcPr>
          <w:p>
            <w:pPr>
              <w:spacing w:before="0" w:after="40" w:line="276" w:lineRule="auto"/>
            </w:pPr>
            <w:r/>
            <w:r>
              <w:rPr>
                <w:rFonts w:ascii="Calibri" w:hAnsi="Calibri"/>
                <w:color w:val="333333"/>
                <w:sz w:val="19"/>
              </w:rPr>
              <w:t>$1170K</w:t>
            </w:r>
          </w:p>
        </w:tc>
        <w:tc>
          <w:tcPr>
            <w:tcW w:type="dxa" w:w="1584"/>
            <w:shd w:val="clear" w:color="auto" w:fill="F2F2F2"/>
            <w:vAlign w:val="center"/>
          </w:tcPr>
          <w:p>
            <w:pPr>
              <w:spacing w:before="0" w:after="40" w:line="276" w:lineRule="auto"/>
            </w:pPr>
            <w:r/>
            <w:r>
              <w:rPr>
                <w:rFonts w:ascii="Calibri" w:hAnsi="Calibri"/>
                <w:color w:val="333333"/>
                <w:sz w:val="19"/>
              </w:rPr>
              <w:t>$4550K</w:t>
            </w:r>
          </w:p>
        </w:tc>
        <w:tc>
          <w:tcPr>
            <w:tcW w:type="dxa" w:w="1584"/>
            <w:shd w:val="clear" w:color="auto" w:fill="F2F2F2"/>
            <w:vAlign w:val="center"/>
          </w:tcPr>
          <w:p>
            <w:pPr>
              <w:spacing w:before="0" w:after="40" w:line="276" w:lineRule="auto"/>
            </w:pPr>
            <w:r/>
            <w:r>
              <w:rPr>
                <w:rFonts w:ascii="Calibri" w:hAnsi="Calibri"/>
                <w:color w:val="333333"/>
                <w:sz w:val="19"/>
              </w:rPr>
              <w:t>$3380K</w:t>
            </w:r>
          </w:p>
        </w:tc>
        <w:tc>
          <w:tcPr>
            <w:tcW w:type="dxa" w:w="1872"/>
            <w:shd w:val="clear" w:color="auto" w:fill="F2F2F2"/>
            <w:vAlign w:val="center"/>
          </w:tcPr>
          <w:p>
            <w:pPr>
              <w:spacing w:before="0" w:after="40" w:line="276" w:lineRule="auto"/>
            </w:pPr>
            <w:r/>
            <w:r>
              <w:rPr>
                <w:rFonts w:ascii="Calibri" w:hAnsi="Calibri"/>
                <w:color w:val="333333"/>
                <w:sz w:val="19"/>
              </w:rPr>
              <w:t>$24220K</w:t>
            </w:r>
          </w:p>
        </w:tc>
      </w:tr>
      <w:tr>
        <w:tc>
          <w:tcPr>
            <w:tcW w:type="dxa" w:w="1296"/>
            <w:vAlign w:val="center"/>
          </w:tcPr>
          <w:p>
            <w:pPr>
              <w:spacing w:before="0" w:after="40" w:line="276" w:lineRule="auto"/>
            </w:pPr>
            <w:r/>
            <w:r>
              <w:rPr>
                <w:rFonts w:ascii="Calibri" w:hAnsi="Calibri"/>
                <w:color w:val="333333"/>
                <w:sz w:val="19"/>
              </w:rPr>
              <w:t>Year 9</w:t>
            </w:r>
          </w:p>
        </w:tc>
        <w:tc>
          <w:tcPr>
            <w:tcW w:type="dxa" w:w="1584"/>
            <w:vAlign w:val="center"/>
          </w:tcPr>
          <w:p>
            <w:pPr>
              <w:spacing w:before="0" w:after="40" w:line="276" w:lineRule="auto"/>
            </w:pPr>
            <w:r/>
            <w:r>
              <w:rPr>
                <w:rFonts w:ascii="Calibri" w:hAnsi="Calibri"/>
                <w:color w:val="333333"/>
                <w:sz w:val="19"/>
              </w:rPr>
              <w:t>$1170K</w:t>
            </w:r>
          </w:p>
        </w:tc>
        <w:tc>
          <w:tcPr>
            <w:tcW w:type="dxa" w:w="1584"/>
            <w:vAlign w:val="center"/>
          </w:tcPr>
          <w:p>
            <w:pPr>
              <w:spacing w:before="0" w:after="40" w:line="276" w:lineRule="auto"/>
            </w:pPr>
            <w:r/>
            <w:r>
              <w:rPr>
                <w:rFonts w:ascii="Calibri" w:hAnsi="Calibri"/>
                <w:color w:val="333333"/>
                <w:sz w:val="19"/>
              </w:rPr>
              <w:t>$4550K</w:t>
            </w:r>
          </w:p>
        </w:tc>
        <w:tc>
          <w:tcPr>
            <w:tcW w:type="dxa" w:w="1584"/>
            <w:vAlign w:val="center"/>
          </w:tcPr>
          <w:p>
            <w:pPr>
              <w:spacing w:before="0" w:after="40" w:line="276" w:lineRule="auto"/>
            </w:pPr>
            <w:r/>
            <w:r>
              <w:rPr>
                <w:rFonts w:ascii="Calibri" w:hAnsi="Calibri"/>
                <w:color w:val="333333"/>
                <w:sz w:val="19"/>
              </w:rPr>
              <w:t>$3380K</w:t>
            </w:r>
          </w:p>
        </w:tc>
        <w:tc>
          <w:tcPr>
            <w:tcW w:type="dxa" w:w="1872"/>
            <w:vAlign w:val="center"/>
          </w:tcPr>
          <w:p>
            <w:pPr>
              <w:spacing w:before="0" w:after="40" w:line="276" w:lineRule="auto"/>
            </w:pPr>
            <w:r/>
            <w:r>
              <w:rPr>
                <w:rFonts w:ascii="Calibri" w:hAnsi="Calibri"/>
                <w:color w:val="333333"/>
                <w:sz w:val="19"/>
              </w:rPr>
              <w:t>$27600K</w:t>
            </w:r>
          </w:p>
        </w:tc>
      </w:tr>
      <w:tr>
        <w:tc>
          <w:tcPr>
            <w:tcW w:type="dxa" w:w="1296"/>
            <w:shd w:val="clear" w:color="auto" w:fill="F2F2F2"/>
            <w:vAlign w:val="center"/>
          </w:tcPr>
          <w:p>
            <w:pPr>
              <w:spacing w:before="0" w:after="40" w:line="276" w:lineRule="auto"/>
            </w:pPr>
            <w:r/>
            <w:r>
              <w:rPr>
                <w:rFonts w:ascii="Calibri" w:hAnsi="Calibri"/>
                <w:color w:val="333333"/>
                <w:sz w:val="19"/>
              </w:rPr>
              <w:t>Year 10</w:t>
            </w:r>
          </w:p>
        </w:tc>
        <w:tc>
          <w:tcPr>
            <w:tcW w:type="dxa" w:w="1584"/>
            <w:shd w:val="clear" w:color="auto" w:fill="F2F2F2"/>
            <w:vAlign w:val="center"/>
          </w:tcPr>
          <w:p>
            <w:pPr>
              <w:spacing w:before="0" w:after="40" w:line="276" w:lineRule="auto"/>
            </w:pPr>
            <w:r/>
            <w:r>
              <w:rPr>
                <w:rFonts w:ascii="Calibri" w:hAnsi="Calibri"/>
                <w:color w:val="333333"/>
                <w:sz w:val="19"/>
              </w:rPr>
              <w:t>$1170K</w:t>
            </w:r>
          </w:p>
        </w:tc>
        <w:tc>
          <w:tcPr>
            <w:tcW w:type="dxa" w:w="1584"/>
            <w:shd w:val="clear" w:color="auto" w:fill="F2F2F2"/>
            <w:vAlign w:val="center"/>
          </w:tcPr>
          <w:p>
            <w:pPr>
              <w:spacing w:before="0" w:after="40" w:line="276" w:lineRule="auto"/>
            </w:pPr>
            <w:r/>
            <w:r>
              <w:rPr>
                <w:rFonts w:ascii="Calibri" w:hAnsi="Calibri"/>
                <w:color w:val="333333"/>
                <w:sz w:val="19"/>
              </w:rPr>
              <w:t>$4550K</w:t>
            </w:r>
          </w:p>
        </w:tc>
        <w:tc>
          <w:tcPr>
            <w:tcW w:type="dxa" w:w="1584"/>
            <w:shd w:val="clear" w:color="auto" w:fill="F2F2F2"/>
            <w:vAlign w:val="center"/>
          </w:tcPr>
          <w:p>
            <w:pPr>
              <w:spacing w:before="0" w:after="40" w:line="276" w:lineRule="auto"/>
            </w:pPr>
            <w:r/>
            <w:r>
              <w:rPr>
                <w:rFonts w:ascii="Calibri" w:hAnsi="Calibri"/>
                <w:color w:val="333333"/>
                <w:sz w:val="19"/>
              </w:rPr>
              <w:t>$3380K</w:t>
            </w:r>
          </w:p>
        </w:tc>
        <w:tc>
          <w:tcPr>
            <w:tcW w:type="dxa" w:w="1872"/>
            <w:shd w:val="clear" w:color="auto" w:fill="F2F2F2"/>
            <w:vAlign w:val="center"/>
          </w:tcPr>
          <w:p>
            <w:pPr>
              <w:spacing w:before="0" w:after="40" w:line="276" w:lineRule="auto"/>
            </w:pPr>
            <w:r/>
            <w:r>
              <w:rPr>
                <w:rFonts w:ascii="Calibri" w:hAnsi="Calibri"/>
                <w:color w:val="333333"/>
                <w:sz w:val="19"/>
              </w:rPr>
              <w:t>$30980K</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Appendix B: Methodology Notes</w:t>
      </w:r>
    </w:p>
    <w:p>
      <w:pPr>
        <w:pStyle w:val="Heading2"/>
        <w:spacing w:before="280" w:after="120" w:line="276" w:lineRule="auto"/>
      </w:pPr>
      <w:r>
        <w:t>B.1 Expected Loss Calculation</w:t>
      </w:r>
    </w:p>
    <w:p>
      <w:pPr>
        <w:spacing w:before="0" w:after="160" w:line="300" w:lineRule="auto"/>
      </w:pPr>
      <w:r>
        <w:rPr>
          <w:rFonts w:ascii="Calibri" w:hAnsi="Calibri"/>
          <w:b w:val="0"/>
          <w:i w:val="0"/>
          <w:sz w:val="21"/>
        </w:rPr>
        <w:t>Expected Loss (EL) is calculated as EL = PD × EAD × LGD following Basel Committee credit risk conventions. PDs are calibrated to segment-specific default rate benchmarks from S&amp;P Global Market Intelligence and Rabobank ag outlooks. EADs reflect estimated average exposure based on PLMA's transaction volume and typical settlement cycles. LGDs reflect recovery rate estimates from livestock-sector bankruptcy proceedings.</w:t>
      </w:r>
    </w:p>
    <w:p>
      <w:pPr>
        <w:pStyle w:val="Heading2"/>
        <w:spacing w:before="280" w:after="120" w:line="276" w:lineRule="auto"/>
      </w:pPr>
      <w:r>
        <w:t>B.2 NPV &amp; Discount Rate</w:t>
      </w:r>
    </w:p>
    <w:p>
      <w:pPr>
        <w:spacing w:before="0" w:after="160" w:line="300" w:lineRule="auto"/>
      </w:pPr>
      <w:r>
        <w:rPr>
          <w:rFonts w:ascii="Calibri" w:hAnsi="Calibri"/>
          <w:b w:val="0"/>
          <w:i w:val="0"/>
          <w:sz w:val="21"/>
        </w:rPr>
        <w:t>NPV discounts net cash flows at 8%, reflecting typical cooperative cost-of-capital per CoBank and Farm Credit System benchmarks. Sensitivity analysis tests 6–12% range.</w:t>
      </w:r>
    </w:p>
    <w:p>
      <w:pPr>
        <w:pStyle w:val="Heading2"/>
        <w:spacing w:before="280" w:after="120" w:line="276" w:lineRule="auto"/>
      </w:pPr>
      <w:r>
        <w:t>B.3 Benefit Estimation</w:t>
      </w:r>
    </w:p>
    <w:p>
      <w:pPr>
        <w:spacing w:before="0" w:after="160" w:line="300" w:lineRule="auto"/>
      </w:pPr>
      <w:r>
        <w:rPr>
          <w:rFonts w:ascii="Calibri" w:hAnsi="Calibri"/>
          <w:b w:val="0"/>
          <w:i w:val="0"/>
          <w:sz w:val="21"/>
        </w:rPr>
        <w:t>Benefit estimates are calibrated from peer-cooperative case studies and published efficacy data for credit analytics platforms, trade credit insurance programs, and commodity hedging overlays. Estimates reflect mid-range efficacy and may be conservative.</w:t>
      </w:r>
    </w:p>
    <w:p>
      <w:pPr>
        <w:pStyle w:val="Heading2"/>
        <w:spacing w:before="280" w:after="120" w:line="276" w:lineRule="auto"/>
      </w:pPr>
      <w:r>
        <w:t>B.4 Scenario Definitions</w:t>
      </w:r>
    </w:p>
    <w:p>
      <w:pPr>
        <w:pStyle w:val="ListBullet"/>
        <w:spacing w:before="0" w:after="80" w:line="288" w:lineRule="auto"/>
      </w:pPr>
      <w:r>
        <w:rPr>
          <w:rFonts w:ascii="Calibri" w:hAnsi="Calibri"/>
          <w:b/>
          <w:color w:val="003A70"/>
          <w:sz w:val="21"/>
        </w:rPr>
        <w:t xml:space="preserve">Soft Landing: </w:t>
      </w:r>
      <w:r>
        <w:rPr>
          <w:rFonts w:ascii="Calibri" w:hAnsi="Calibri"/>
          <w:color w:val="333333"/>
          <w:sz w:val="21"/>
        </w:rPr>
        <w:t>Bankruptcy rate declines 10% by 2027; cattle cycle correction modest (&lt;15%)</w:t>
      </w:r>
    </w:p>
    <w:p>
      <w:pPr>
        <w:pStyle w:val="ListBullet"/>
        <w:spacing w:before="0" w:after="80" w:line="288" w:lineRule="auto"/>
      </w:pPr>
      <w:r>
        <w:rPr>
          <w:rFonts w:ascii="Calibri" w:hAnsi="Calibri"/>
          <w:b/>
          <w:color w:val="003A70"/>
          <w:sz w:val="21"/>
        </w:rPr>
        <w:t xml:space="preserve">Base Case: </w:t>
      </w:r>
      <w:r>
        <w:rPr>
          <w:rFonts w:ascii="Calibri" w:hAnsi="Calibri"/>
          <w:color w:val="333333"/>
          <w:sz w:val="21"/>
        </w:rPr>
        <w:t>Bankruptcy rate grows 15% annually through 2027; cattle prices flat</w:t>
      </w:r>
    </w:p>
    <w:p>
      <w:pPr>
        <w:pStyle w:val="ListBullet"/>
        <w:spacing w:before="0" w:after="80" w:line="288" w:lineRule="auto"/>
      </w:pPr>
      <w:r>
        <w:rPr>
          <w:rFonts w:ascii="Calibri" w:hAnsi="Calibri"/>
          <w:b/>
          <w:color w:val="003A70"/>
          <w:sz w:val="21"/>
        </w:rPr>
        <w:t xml:space="preserve">Prolonged Stress: </w:t>
      </w:r>
      <w:r>
        <w:rPr>
          <w:rFonts w:ascii="Calibri" w:hAnsi="Calibri"/>
          <w:color w:val="333333"/>
          <w:sz w:val="21"/>
        </w:rPr>
        <w:t>Bankruptcy rate grows 30% annually; cattle prices decline 20–25%</w:t>
      </w:r>
    </w:p>
    <w:p>
      <w:pPr>
        <w:pStyle w:val="ListBullet"/>
        <w:spacing w:before="0" w:after="80" w:line="288" w:lineRule="auto"/>
      </w:pPr>
      <w:r>
        <w:rPr>
          <w:rFonts w:ascii="Calibri" w:hAnsi="Calibri"/>
          <w:b/>
          <w:color w:val="003A70"/>
          <w:sz w:val="21"/>
        </w:rPr>
        <w:t xml:space="preserve">Systemic Crisis: </w:t>
      </w:r>
      <w:r>
        <w:rPr>
          <w:rFonts w:ascii="Calibri" w:hAnsi="Calibri"/>
          <w:color w:val="333333"/>
          <w:sz w:val="21"/>
        </w:rPr>
        <w:t>Bankruptcy rate doubles; cattle decline &gt;35%; regional ASF outbreak</w:t>
      </w:r>
    </w:p>
    <w:p>
      <w:r>
        <w:br w:type="page"/>
      </w:r>
    </w:p>
    <w:p>
      <w:pPr>
        <w:pStyle w:val="Heading1"/>
        <w:spacing w:before="0" w:after="240" w:line="276" w:lineRule="auto"/>
        <w:pBdr>
          <w:bottom w:val="single" w:sz="12" w:space="4" w:color="003A70"/>
        </w:pBdr>
      </w:pPr>
      <w:r>
        <w:t>Appendix C: Glossary of Terms</w:t>
      </w:r>
    </w:p>
    <w:p>
      <w:pPr>
        <w:pStyle w:val="ListBullet"/>
        <w:spacing w:before="0" w:after="80" w:line="288" w:lineRule="auto"/>
      </w:pPr>
      <w:r>
        <w:rPr>
          <w:rFonts w:ascii="Calibri" w:hAnsi="Calibri"/>
          <w:b/>
          <w:color w:val="003A70"/>
          <w:sz w:val="21"/>
        </w:rPr>
        <w:t xml:space="preserve">ASF: </w:t>
      </w:r>
      <w:r>
        <w:rPr>
          <w:rFonts w:ascii="Calibri" w:hAnsi="Calibri"/>
          <w:color w:val="333333"/>
          <w:sz w:val="21"/>
        </w:rPr>
        <w:t>African Swine Fever — highly contagious viral disease affecting pigs.</w:t>
      </w:r>
    </w:p>
    <w:p>
      <w:pPr>
        <w:pStyle w:val="ListBullet"/>
        <w:spacing w:before="0" w:after="80" w:line="288" w:lineRule="auto"/>
      </w:pPr>
      <w:r>
        <w:rPr>
          <w:rFonts w:ascii="Calibri" w:hAnsi="Calibri"/>
          <w:b/>
          <w:color w:val="003A70"/>
          <w:sz w:val="21"/>
        </w:rPr>
        <w:t xml:space="preserve">Backgrounder: </w:t>
      </w:r>
      <w:r>
        <w:rPr>
          <w:rFonts w:ascii="Calibri" w:hAnsi="Calibri"/>
          <w:color w:val="333333"/>
          <w:sz w:val="21"/>
        </w:rPr>
        <w:t>Operation that grows weaned calves on forage before feedlot placement.</w:t>
      </w:r>
    </w:p>
    <w:p>
      <w:pPr>
        <w:pStyle w:val="ListBullet"/>
        <w:spacing w:before="0" w:after="80" w:line="288" w:lineRule="auto"/>
      </w:pPr>
      <w:r>
        <w:rPr>
          <w:rFonts w:ascii="Calibri" w:hAnsi="Calibri"/>
          <w:b/>
          <w:color w:val="003A70"/>
          <w:sz w:val="21"/>
        </w:rPr>
        <w:t xml:space="preserve">Basel EL: </w:t>
      </w:r>
      <w:r>
        <w:rPr>
          <w:rFonts w:ascii="Calibri" w:hAnsi="Calibri"/>
          <w:color w:val="333333"/>
          <w:sz w:val="21"/>
        </w:rPr>
        <w:t>Basel Committee Expected Loss framework: EL = PD × EAD × LGD.</w:t>
      </w:r>
    </w:p>
    <w:p>
      <w:pPr>
        <w:pStyle w:val="ListBullet"/>
        <w:spacing w:before="0" w:after="80" w:line="288" w:lineRule="auto"/>
      </w:pPr>
      <w:r>
        <w:rPr>
          <w:rFonts w:ascii="Calibri" w:hAnsi="Calibri"/>
          <w:b/>
          <w:color w:val="003A70"/>
          <w:sz w:val="21"/>
        </w:rPr>
        <w:t xml:space="preserve">Basis Risk: </w:t>
      </w:r>
      <w:r>
        <w:rPr>
          <w:rFonts w:ascii="Calibri" w:hAnsi="Calibri"/>
          <w:color w:val="333333"/>
          <w:sz w:val="21"/>
        </w:rPr>
        <w:t>Risk that futures prices diverge from cash (physical) prices.</w:t>
      </w:r>
    </w:p>
    <w:p>
      <w:pPr>
        <w:pStyle w:val="ListBullet"/>
        <w:spacing w:before="0" w:after="80" w:line="288" w:lineRule="auto"/>
      </w:pPr>
      <w:r>
        <w:rPr>
          <w:rFonts w:ascii="Calibri" w:hAnsi="Calibri"/>
          <w:b/>
          <w:color w:val="003A70"/>
          <w:sz w:val="21"/>
        </w:rPr>
        <w:t xml:space="preserve">Chapter 12: </w:t>
      </w:r>
      <w:r>
        <w:rPr>
          <w:rFonts w:ascii="Calibri" w:hAnsi="Calibri"/>
          <w:color w:val="333333"/>
          <w:sz w:val="21"/>
        </w:rPr>
        <w:t>U.S. Bankruptcy Code chapter specific to family farmers and fishermen.</w:t>
      </w:r>
    </w:p>
    <w:p>
      <w:pPr>
        <w:pStyle w:val="ListBullet"/>
        <w:spacing w:before="0" w:after="80" w:line="288" w:lineRule="auto"/>
      </w:pPr>
      <w:r>
        <w:rPr>
          <w:rFonts w:ascii="Calibri" w:hAnsi="Calibri"/>
          <w:b/>
          <w:color w:val="003A70"/>
          <w:sz w:val="21"/>
        </w:rPr>
        <w:t xml:space="preserve">CFTC: </w:t>
      </w:r>
      <w:r>
        <w:rPr>
          <w:rFonts w:ascii="Calibri" w:hAnsi="Calibri"/>
          <w:color w:val="333333"/>
          <w:sz w:val="21"/>
        </w:rPr>
        <w:t>Commodity Futures Trading Commission — U.S. futures market regulator.</w:t>
      </w:r>
    </w:p>
    <w:p>
      <w:pPr>
        <w:pStyle w:val="ListBullet"/>
        <w:spacing w:before="0" w:after="80" w:line="288" w:lineRule="auto"/>
      </w:pPr>
      <w:r>
        <w:rPr>
          <w:rFonts w:ascii="Calibri" w:hAnsi="Calibri"/>
          <w:b/>
          <w:color w:val="003A70"/>
          <w:sz w:val="21"/>
        </w:rPr>
        <w:t xml:space="preserve">EAD: </w:t>
      </w:r>
      <w:r>
        <w:rPr>
          <w:rFonts w:ascii="Calibri" w:hAnsi="Calibri"/>
          <w:color w:val="333333"/>
          <w:sz w:val="21"/>
        </w:rPr>
        <w:t>Exposure At Default — outstanding amount owed at time of default.</w:t>
      </w:r>
    </w:p>
    <w:p>
      <w:pPr>
        <w:pStyle w:val="ListBullet"/>
        <w:spacing w:before="0" w:after="80" w:line="288" w:lineRule="auto"/>
      </w:pPr>
      <w:r>
        <w:rPr>
          <w:rFonts w:ascii="Calibri" w:hAnsi="Calibri"/>
          <w:b/>
          <w:color w:val="003A70"/>
          <w:sz w:val="21"/>
        </w:rPr>
        <w:t xml:space="preserve">Feedlot: </w:t>
      </w:r>
      <w:r>
        <w:rPr>
          <w:rFonts w:ascii="Calibri" w:hAnsi="Calibri"/>
          <w:color w:val="333333"/>
          <w:sz w:val="21"/>
        </w:rPr>
        <w:t>Concentrated animal feeding operation finishing cattle for slaughter.</w:t>
      </w:r>
    </w:p>
    <w:p>
      <w:pPr>
        <w:pStyle w:val="ListBullet"/>
        <w:spacing w:before="0" w:after="80" w:line="288" w:lineRule="auto"/>
      </w:pPr>
      <w:r>
        <w:rPr>
          <w:rFonts w:ascii="Calibri" w:hAnsi="Calibri"/>
          <w:b/>
          <w:color w:val="003A70"/>
          <w:sz w:val="21"/>
        </w:rPr>
        <w:t xml:space="preserve">LGD: </w:t>
      </w:r>
      <w:r>
        <w:rPr>
          <w:rFonts w:ascii="Calibri" w:hAnsi="Calibri"/>
          <w:color w:val="333333"/>
          <w:sz w:val="21"/>
        </w:rPr>
        <w:t>Loss Given Default — share of exposure lost after recovery.</w:t>
      </w:r>
    </w:p>
    <w:p>
      <w:pPr>
        <w:pStyle w:val="ListBullet"/>
        <w:spacing w:before="0" w:after="80" w:line="288" w:lineRule="auto"/>
      </w:pPr>
      <w:r>
        <w:rPr>
          <w:rFonts w:ascii="Calibri" w:hAnsi="Calibri"/>
          <w:b/>
          <w:color w:val="003A70"/>
          <w:sz w:val="21"/>
        </w:rPr>
        <w:t xml:space="preserve">P&amp;SA: </w:t>
      </w:r>
      <w:r>
        <w:rPr>
          <w:rFonts w:ascii="Calibri" w:hAnsi="Calibri"/>
          <w:color w:val="333333"/>
          <w:sz w:val="21"/>
        </w:rPr>
        <w:t>Packers &amp; Stockyards Act — USDA-enforced livestock marketing regulation.</w:t>
      </w:r>
    </w:p>
    <w:p>
      <w:pPr>
        <w:pStyle w:val="ListBullet"/>
        <w:spacing w:before="0" w:after="80" w:line="288" w:lineRule="auto"/>
      </w:pPr>
      <w:r>
        <w:rPr>
          <w:rFonts w:ascii="Calibri" w:hAnsi="Calibri"/>
          <w:b/>
          <w:color w:val="003A70"/>
          <w:sz w:val="21"/>
        </w:rPr>
        <w:t xml:space="preserve">PD: </w:t>
      </w:r>
      <w:r>
        <w:rPr>
          <w:rFonts w:ascii="Calibri" w:hAnsi="Calibri"/>
          <w:color w:val="333333"/>
          <w:sz w:val="21"/>
        </w:rPr>
        <w:t>Probability of Default — likelihood counterparty defaults in given period.</w:t>
      </w:r>
    </w:p>
    <w:p>
      <w:r>
        <w:br w:type="page"/>
      </w:r>
    </w:p>
    <w:p>
      <w:pPr>
        <w:pStyle w:val="Heading1"/>
        <w:spacing w:before="0" w:after="240" w:line="276" w:lineRule="auto"/>
        <w:pBdr>
          <w:bottom w:val="single" w:sz="12" w:space="4" w:color="003A70"/>
        </w:pBdr>
      </w:pPr>
      <w:r>
        <w:t>Appendix D: Citations</w:t>
      </w:r>
    </w:p>
    <w:p>
      <w:pPr>
        <w:spacing w:before="0" w:after="160" w:line="300" w:lineRule="auto"/>
      </w:pPr>
      <w:r>
        <w:rPr>
          <w:rFonts w:ascii="Calibri" w:hAnsi="Calibri"/>
          <w:b w:val="0"/>
          <w:i w:val="0"/>
          <w:sz w:val="21"/>
        </w:rPr>
        <w:t>All citations numbered and referenced in the body of this report. Where specific figures have been estimated or modeled, appendix notes describe methodology.</w:t>
      </w:r>
    </w:p>
    <w:p>
      <w:pPr>
        <w:spacing w:before="0" w:after="100" w:line="288" w:lineRule="auto"/>
        <w:ind w:left="576" w:hanging="576"/>
      </w:pPr>
      <w:r>
        <w:rPr>
          <w:rFonts w:ascii="Calibri" w:hAnsi="Calibri"/>
          <w:b/>
          <w:color w:val="003A70"/>
          <w:sz w:val="19"/>
        </w:rPr>
        <w:t xml:space="preserve">[1]  </w:t>
      </w:r>
      <w:r>
        <w:rPr>
          <w:rFonts w:ascii="Calibri" w:hAnsi="Calibri"/>
          <w:color w:val="333333"/>
          <w:sz w:val="19"/>
        </w:rPr>
        <w:t>USDA Economic Research Service, "Farm Income and Wealth Statistics," 2025–2026 release.</w:t>
      </w:r>
    </w:p>
    <w:p>
      <w:pPr>
        <w:spacing w:before="0" w:after="100" w:line="288" w:lineRule="auto"/>
        <w:ind w:left="576" w:hanging="576"/>
      </w:pPr>
      <w:r>
        <w:rPr>
          <w:rFonts w:ascii="Calibri" w:hAnsi="Calibri"/>
          <w:b/>
          <w:color w:val="003A70"/>
          <w:sz w:val="19"/>
        </w:rPr>
        <w:t xml:space="preserve">[2]  </w:t>
      </w:r>
      <w:r>
        <w:rPr>
          <w:rFonts w:ascii="Calibri" w:hAnsi="Calibri"/>
          <w:color w:val="333333"/>
          <w:sz w:val="19"/>
        </w:rPr>
        <w:t>American Bankruptcy Institute, "Chapter 12 Filing Statistics," 2025 annual report.</w:t>
      </w:r>
    </w:p>
    <w:p>
      <w:pPr>
        <w:spacing w:before="0" w:after="100" w:line="288" w:lineRule="auto"/>
        <w:ind w:left="576" w:hanging="576"/>
      </w:pPr>
      <w:r>
        <w:rPr>
          <w:rFonts w:ascii="Calibri" w:hAnsi="Calibri"/>
          <w:b/>
          <w:color w:val="003A70"/>
          <w:sz w:val="19"/>
        </w:rPr>
        <w:t xml:space="preserve">[3]  </w:t>
      </w:r>
      <w:r>
        <w:rPr>
          <w:rFonts w:ascii="Calibri" w:hAnsi="Calibri"/>
          <w:color w:val="333333"/>
          <w:sz w:val="19"/>
        </w:rPr>
        <w:t>USDA National Agricultural Statistics Service, "Cattle on Feed," monthly reports 2025–2026.</w:t>
      </w:r>
    </w:p>
    <w:p>
      <w:pPr>
        <w:spacing w:before="0" w:after="100" w:line="288" w:lineRule="auto"/>
        <w:ind w:left="576" w:hanging="576"/>
      </w:pPr>
      <w:r>
        <w:rPr>
          <w:rFonts w:ascii="Calibri" w:hAnsi="Calibri"/>
          <w:b/>
          <w:color w:val="003A70"/>
          <w:sz w:val="19"/>
        </w:rPr>
        <w:t xml:space="preserve">[4]  </w:t>
      </w:r>
      <w:r>
        <w:rPr>
          <w:rFonts w:ascii="Calibri" w:hAnsi="Calibri"/>
          <w:color w:val="333333"/>
          <w:sz w:val="19"/>
        </w:rPr>
        <w:t>Federal Reserve Bank of Kansas City, "Agricultural Finance Databook," Q4 2025.</w:t>
      </w:r>
    </w:p>
    <w:p>
      <w:pPr>
        <w:spacing w:before="0" w:after="100" w:line="288" w:lineRule="auto"/>
        <w:ind w:left="576" w:hanging="576"/>
      </w:pPr>
      <w:r>
        <w:rPr>
          <w:rFonts w:ascii="Calibri" w:hAnsi="Calibri"/>
          <w:b/>
          <w:color w:val="003A70"/>
          <w:sz w:val="19"/>
        </w:rPr>
        <w:t xml:space="preserve">[5]  </w:t>
      </w:r>
      <w:r>
        <w:rPr>
          <w:rFonts w:ascii="Calibri" w:hAnsi="Calibri"/>
          <w:color w:val="333333"/>
          <w:sz w:val="19"/>
        </w:rPr>
        <w:t>USDA Economic Research Service, "Farm Sector Balance Sheet," February 2026.</w:t>
      </w:r>
    </w:p>
    <w:p>
      <w:pPr>
        <w:spacing w:before="0" w:after="100" w:line="288" w:lineRule="auto"/>
        <w:ind w:left="576" w:hanging="576"/>
      </w:pPr>
      <w:r>
        <w:rPr>
          <w:rFonts w:ascii="Calibri" w:hAnsi="Calibri"/>
          <w:b/>
          <w:color w:val="003A70"/>
          <w:sz w:val="19"/>
        </w:rPr>
        <w:t xml:space="preserve">[6]  </w:t>
      </w:r>
      <w:r>
        <w:rPr>
          <w:rFonts w:ascii="Calibri" w:hAnsi="Calibri"/>
          <w:color w:val="333333"/>
          <w:sz w:val="19"/>
        </w:rPr>
        <w:t>Federal Reserve Board, "Senior Loan Officer Opinion Survey," Q1 2026.</w:t>
      </w:r>
    </w:p>
    <w:p>
      <w:pPr>
        <w:spacing w:before="0" w:after="100" w:line="288" w:lineRule="auto"/>
        <w:ind w:left="576" w:hanging="576"/>
      </w:pPr>
      <w:r>
        <w:rPr>
          <w:rFonts w:ascii="Calibri" w:hAnsi="Calibri"/>
          <w:b/>
          <w:color w:val="003A70"/>
          <w:sz w:val="19"/>
        </w:rPr>
        <w:t xml:space="preserve">[7]  </w:t>
      </w:r>
      <w:r>
        <w:rPr>
          <w:rFonts w:ascii="Calibri" w:hAnsi="Calibri"/>
          <w:color w:val="333333"/>
          <w:sz w:val="19"/>
        </w:rPr>
        <w:t>CME Group, "Livestock Market Analysis," 2025–2026.</w:t>
      </w:r>
    </w:p>
    <w:p>
      <w:pPr>
        <w:spacing w:before="0" w:after="100" w:line="288" w:lineRule="auto"/>
        <w:ind w:left="576" w:hanging="576"/>
      </w:pPr>
      <w:r>
        <w:rPr>
          <w:rFonts w:ascii="Calibri" w:hAnsi="Calibri"/>
          <w:b/>
          <w:color w:val="003A70"/>
          <w:sz w:val="19"/>
        </w:rPr>
        <w:t xml:space="preserve">[8]  </w:t>
      </w:r>
      <w:r>
        <w:rPr>
          <w:rFonts w:ascii="Calibri" w:hAnsi="Calibri"/>
          <w:color w:val="333333"/>
          <w:sz w:val="19"/>
        </w:rPr>
        <w:t>Rabobank, "Global Animal Protein Outlook," 2026 edition.</w:t>
      </w:r>
    </w:p>
    <w:p>
      <w:pPr>
        <w:spacing w:before="0" w:after="100" w:line="288" w:lineRule="auto"/>
        <w:ind w:left="576" w:hanging="576"/>
      </w:pPr>
      <w:r>
        <w:rPr>
          <w:rFonts w:ascii="Calibri" w:hAnsi="Calibri"/>
          <w:b/>
          <w:color w:val="003A70"/>
          <w:sz w:val="19"/>
        </w:rPr>
        <w:t xml:space="preserve">[9]  </w:t>
      </w:r>
      <w:r>
        <w:rPr>
          <w:rFonts w:ascii="Calibri" w:hAnsi="Calibri"/>
          <w:color w:val="333333"/>
          <w:sz w:val="19"/>
        </w:rPr>
        <w:t>CoBank, "U.S. Agricultural Cooperatives: Risk and Resilience," 2025 industry report.</w:t>
      </w:r>
    </w:p>
    <w:p>
      <w:pPr>
        <w:spacing w:before="0" w:after="100" w:line="288" w:lineRule="auto"/>
        <w:ind w:left="576" w:hanging="576"/>
      </w:pPr>
      <w:r>
        <w:rPr>
          <w:rFonts w:ascii="Calibri" w:hAnsi="Calibri"/>
          <w:b/>
          <w:color w:val="003A70"/>
          <w:sz w:val="19"/>
        </w:rPr>
        <w:t xml:space="preserve">[10]  </w:t>
      </w:r>
      <w:r>
        <w:rPr>
          <w:rFonts w:ascii="Calibri" w:hAnsi="Calibri"/>
          <w:color w:val="333333"/>
          <w:sz w:val="19"/>
        </w:rPr>
        <w:t>USDA Agricultural Marketing Service (Packers &amp; Stockyards Division), "Packers and Stockyards Annual Report," 2025.</w:t>
      </w:r>
    </w:p>
    <w:p>
      <w:pPr>
        <w:spacing w:before="0" w:after="100" w:line="288" w:lineRule="auto"/>
        <w:ind w:left="576" w:hanging="576"/>
      </w:pPr>
      <w:r>
        <w:rPr>
          <w:rFonts w:ascii="Calibri" w:hAnsi="Calibri"/>
          <w:b/>
          <w:color w:val="003A70"/>
          <w:sz w:val="19"/>
        </w:rPr>
        <w:t xml:space="preserve">[11]  </w:t>
      </w:r>
      <w:r>
        <w:rPr>
          <w:rFonts w:ascii="Calibri" w:hAnsi="Calibri"/>
          <w:color w:val="333333"/>
          <w:sz w:val="19"/>
        </w:rPr>
        <w:t>National Cattlemen's Beef Association, "Cattle Industry Outlook," 2026.</w:t>
      </w:r>
    </w:p>
    <w:p>
      <w:pPr>
        <w:spacing w:before="0" w:after="100" w:line="288" w:lineRule="auto"/>
        <w:ind w:left="576" w:hanging="576"/>
      </w:pPr>
      <w:r>
        <w:rPr>
          <w:rFonts w:ascii="Calibri" w:hAnsi="Calibri"/>
          <w:b/>
          <w:color w:val="003A70"/>
          <w:sz w:val="19"/>
        </w:rPr>
        <w:t xml:space="preserve">[12]  </w:t>
      </w:r>
      <w:r>
        <w:rPr>
          <w:rFonts w:ascii="Calibri" w:hAnsi="Calibri"/>
          <w:color w:val="333333"/>
          <w:sz w:val="19"/>
        </w:rPr>
        <w:t>Porter, M.E., "The Five Competitive Forces That Shape Strategy," Harvard Business Review, January 2008.</w:t>
      </w:r>
    </w:p>
    <w:p>
      <w:pPr>
        <w:spacing w:before="0" w:after="100" w:line="288" w:lineRule="auto"/>
        <w:ind w:left="576" w:hanging="576"/>
      </w:pPr>
      <w:r>
        <w:rPr>
          <w:rFonts w:ascii="Calibri" w:hAnsi="Calibri"/>
          <w:b/>
          <w:color w:val="003A70"/>
          <w:sz w:val="19"/>
        </w:rPr>
        <w:t xml:space="preserve">[13]  </w:t>
      </w:r>
      <w:r>
        <w:rPr>
          <w:rFonts w:ascii="Calibri" w:hAnsi="Calibri"/>
          <w:color w:val="333333"/>
          <w:sz w:val="19"/>
        </w:rPr>
        <w:t>Kaplan, R.S. &amp; Mikes, A., "Managing Risks: A New Framework," Harvard Business Review, June 2012.</w:t>
      </w:r>
    </w:p>
    <w:p>
      <w:pPr>
        <w:spacing w:before="0" w:after="100" w:line="288" w:lineRule="auto"/>
        <w:ind w:left="576" w:hanging="576"/>
      </w:pPr>
      <w:r>
        <w:rPr>
          <w:rFonts w:ascii="Calibri" w:hAnsi="Calibri"/>
          <w:b/>
          <w:color w:val="003A70"/>
          <w:sz w:val="19"/>
        </w:rPr>
        <w:t xml:space="preserve">[14]  </w:t>
      </w:r>
      <w:r>
        <w:rPr>
          <w:rFonts w:ascii="Calibri" w:hAnsi="Calibri"/>
          <w:color w:val="333333"/>
          <w:sz w:val="19"/>
        </w:rPr>
        <w:t>International Organization for Standardization, ISO 31000:2018, "Risk Management — Guidelines."</w:t>
      </w:r>
    </w:p>
    <w:p>
      <w:pPr>
        <w:spacing w:before="0" w:after="100" w:line="288" w:lineRule="auto"/>
        <w:ind w:left="576" w:hanging="576"/>
      </w:pPr>
      <w:r>
        <w:rPr>
          <w:rFonts w:ascii="Calibri" w:hAnsi="Calibri"/>
          <w:b/>
          <w:color w:val="003A70"/>
          <w:sz w:val="19"/>
        </w:rPr>
        <w:t xml:space="preserve">[15]  </w:t>
      </w:r>
      <w:r>
        <w:rPr>
          <w:rFonts w:ascii="Calibri" w:hAnsi="Calibri"/>
          <w:color w:val="333333"/>
          <w:sz w:val="19"/>
        </w:rPr>
        <w:t>Basel Committee on Banking Supervision, "Credit Risk: Standardised Approach and Internal Ratings-Based Approach," 2023.</w:t>
      </w:r>
    </w:p>
    <w:p>
      <w:pPr>
        <w:spacing w:before="0" w:after="100" w:line="288" w:lineRule="auto"/>
        <w:ind w:left="576" w:hanging="576"/>
      </w:pPr>
      <w:r>
        <w:rPr>
          <w:rFonts w:ascii="Calibri" w:hAnsi="Calibri"/>
          <w:b/>
          <w:color w:val="003A70"/>
          <w:sz w:val="19"/>
        </w:rPr>
        <w:t xml:space="preserve">[16]  </w:t>
      </w:r>
      <w:r>
        <w:rPr>
          <w:rFonts w:ascii="Calibri" w:hAnsi="Calibri"/>
          <w:color w:val="333333"/>
          <w:sz w:val="19"/>
        </w:rPr>
        <w:t>Federal Reserve Economic Data (FRED), "Effective Federal Funds Rate," 2026.</w:t>
      </w:r>
    </w:p>
    <w:p>
      <w:pPr>
        <w:spacing w:before="0" w:after="100" w:line="288" w:lineRule="auto"/>
        <w:ind w:left="576" w:hanging="576"/>
      </w:pPr>
      <w:r>
        <w:rPr>
          <w:rFonts w:ascii="Calibri" w:hAnsi="Calibri"/>
          <w:b/>
          <w:color w:val="003A70"/>
          <w:sz w:val="19"/>
        </w:rPr>
        <w:t xml:space="preserve">[17]  </w:t>
      </w:r>
      <w:r>
        <w:rPr>
          <w:rFonts w:ascii="Calibri" w:hAnsi="Calibri"/>
          <w:color w:val="333333"/>
          <w:sz w:val="19"/>
        </w:rPr>
        <w:t>Livestock Marketing Association, "Industry Economic Impact Study," 2024.</w:t>
      </w:r>
    </w:p>
    <w:p>
      <w:pPr>
        <w:spacing w:before="0" w:after="100" w:line="288" w:lineRule="auto"/>
        <w:ind w:left="576" w:hanging="576"/>
      </w:pPr>
      <w:r>
        <w:rPr>
          <w:rFonts w:ascii="Calibri" w:hAnsi="Calibri"/>
          <w:b/>
          <w:color w:val="003A70"/>
          <w:sz w:val="19"/>
        </w:rPr>
        <w:t xml:space="preserve">[18]  </w:t>
      </w:r>
      <w:r>
        <w:rPr>
          <w:rFonts w:ascii="Calibri" w:hAnsi="Calibri"/>
          <w:color w:val="333333"/>
          <w:sz w:val="19"/>
        </w:rPr>
        <w:t>USDA Economic Research Service, "Commodity Costs and Returns," 2025.</w:t>
      </w:r>
    </w:p>
    <w:p>
      <w:pPr>
        <w:spacing w:before="0" w:after="100" w:line="288" w:lineRule="auto"/>
        <w:ind w:left="576" w:hanging="576"/>
      </w:pPr>
      <w:r>
        <w:rPr>
          <w:rFonts w:ascii="Calibri" w:hAnsi="Calibri"/>
          <w:b/>
          <w:color w:val="003A70"/>
          <w:sz w:val="19"/>
        </w:rPr>
        <w:t xml:space="preserve">[19]  </w:t>
      </w:r>
      <w:r>
        <w:rPr>
          <w:rFonts w:ascii="Calibri" w:hAnsi="Calibri"/>
          <w:color w:val="333333"/>
          <w:sz w:val="19"/>
        </w:rPr>
        <w:t>USDA NASS, "Agricultural Prices," monthly reports 2025–2026.</w:t>
      </w:r>
    </w:p>
    <w:p>
      <w:pPr>
        <w:spacing w:before="0" w:after="100" w:line="288" w:lineRule="auto"/>
        <w:ind w:left="576" w:hanging="576"/>
      </w:pPr>
      <w:r>
        <w:rPr>
          <w:rFonts w:ascii="Calibri" w:hAnsi="Calibri"/>
          <w:b/>
          <w:color w:val="003A70"/>
          <w:sz w:val="19"/>
        </w:rPr>
        <w:t xml:space="preserve">[20]  </w:t>
      </w:r>
      <w:r>
        <w:rPr>
          <w:rFonts w:ascii="Calibri" w:hAnsi="Calibri"/>
          <w:color w:val="333333"/>
          <w:sz w:val="19"/>
        </w:rPr>
        <w:t>S&amp;P Global Market Intelligence, "U.S. Agribusiness Credit Trends," 2025.</w:t>
      </w:r>
    </w:p>
    <w:p>
      <w:pPr>
        <w:spacing w:before="0" w:after="100" w:line="288" w:lineRule="auto"/>
        <w:ind w:left="576" w:hanging="576"/>
      </w:pPr>
      <w:r>
        <w:rPr>
          <w:rFonts w:ascii="Calibri" w:hAnsi="Calibri"/>
          <w:b/>
          <w:color w:val="003A70"/>
          <w:sz w:val="19"/>
        </w:rPr>
        <w:t xml:space="preserve">[21]  </w:t>
      </w:r>
      <w:r>
        <w:rPr>
          <w:rFonts w:ascii="Calibri" w:hAnsi="Calibri"/>
          <w:color w:val="333333"/>
          <w:sz w:val="19"/>
        </w:rPr>
        <w:t>Deloitte, "2026 Agricultural Industry Outlook."</w:t>
      </w:r>
    </w:p>
    <w:p>
      <w:pPr>
        <w:spacing w:before="0" w:after="100" w:line="288" w:lineRule="auto"/>
        <w:ind w:left="576" w:hanging="576"/>
      </w:pPr>
      <w:r>
        <w:rPr>
          <w:rFonts w:ascii="Calibri" w:hAnsi="Calibri"/>
          <w:b/>
          <w:color w:val="003A70"/>
          <w:sz w:val="19"/>
        </w:rPr>
        <w:t xml:space="preserve">[22]  </w:t>
      </w:r>
      <w:r>
        <w:rPr>
          <w:rFonts w:ascii="Calibri" w:hAnsi="Calibri"/>
          <w:color w:val="333333"/>
          <w:sz w:val="19"/>
        </w:rPr>
        <w:t>McKinsey &amp; Company, "Agriculture Practice: Risk Management in Volatile Markets," 2024.</w:t>
      </w:r>
    </w:p>
    <w:p>
      <w:pPr>
        <w:spacing w:before="0" w:after="100" w:line="288" w:lineRule="auto"/>
        <w:ind w:left="576" w:hanging="576"/>
      </w:pPr>
      <w:r>
        <w:rPr>
          <w:rFonts w:ascii="Calibri" w:hAnsi="Calibri"/>
          <w:b/>
          <w:color w:val="003A70"/>
          <w:sz w:val="19"/>
        </w:rPr>
        <w:t xml:space="preserve">[23]  </w:t>
      </w:r>
      <w:r>
        <w:rPr>
          <w:rFonts w:ascii="Calibri" w:hAnsi="Calibri"/>
          <w:color w:val="333333"/>
          <w:sz w:val="19"/>
        </w:rPr>
        <w:t>Farm Credit Administration, "Annual Report," 2025.</w:t>
      </w:r>
    </w:p>
    <w:p>
      <w:pPr>
        <w:spacing w:before="0" w:after="100" w:line="288" w:lineRule="auto"/>
        <w:ind w:left="576" w:hanging="576"/>
      </w:pPr>
      <w:r>
        <w:rPr>
          <w:rFonts w:ascii="Calibri" w:hAnsi="Calibri"/>
          <w:b/>
          <w:color w:val="003A70"/>
          <w:sz w:val="19"/>
        </w:rPr>
        <w:t xml:space="preserve">[24]  </w:t>
      </w:r>
      <w:r>
        <w:rPr>
          <w:rFonts w:ascii="Calibri" w:hAnsi="Calibri"/>
          <w:color w:val="333333"/>
          <w:sz w:val="19"/>
        </w:rPr>
        <w:t>Commodity Futures Trading Commission, "Commitments of Traders Reports," 2025–2026.</w:t>
      </w:r>
    </w:p>
    <w:p>
      <w:pPr>
        <w:spacing w:before="0" w:after="100" w:line="288" w:lineRule="auto"/>
        <w:ind w:left="576" w:hanging="576"/>
      </w:pPr>
      <w:r>
        <w:rPr>
          <w:rFonts w:ascii="Calibri" w:hAnsi="Calibri"/>
          <w:b/>
          <w:color w:val="003A70"/>
          <w:sz w:val="19"/>
        </w:rPr>
        <w:t xml:space="preserve">[25]  </w:t>
      </w:r>
      <w:r>
        <w:rPr>
          <w:rFonts w:ascii="Calibri" w:hAnsi="Calibri"/>
          <w:color w:val="333333"/>
          <w:sz w:val="19"/>
        </w:rPr>
        <w:t>Congressional Research Service, "Farm Bankruptcies: An Overview," Report R46155, 2025.</w:t>
      </w:r>
    </w:p>
    <w:p>
      <w:pPr>
        <w:spacing w:before="0" w:after="100" w:line="288" w:lineRule="auto"/>
        <w:ind w:left="576" w:hanging="576"/>
      </w:pPr>
      <w:r>
        <w:rPr>
          <w:rFonts w:ascii="Calibri" w:hAnsi="Calibri"/>
          <w:b/>
          <w:color w:val="003A70"/>
          <w:sz w:val="19"/>
        </w:rPr>
        <w:t xml:space="preserve">[26]  </w:t>
      </w:r>
      <w:r>
        <w:rPr>
          <w:rFonts w:ascii="Calibri" w:hAnsi="Calibri"/>
          <w:color w:val="333333"/>
          <w:sz w:val="19"/>
        </w:rPr>
        <w:t>Sterling Marketing Inc., "Cattle Feeding Industry Analysis," Q1 2026.</w:t>
      </w:r>
    </w:p>
    <w:p>
      <w:pPr>
        <w:spacing w:before="0" w:after="100" w:line="288" w:lineRule="auto"/>
        <w:ind w:left="576" w:hanging="576"/>
      </w:pPr>
      <w:r>
        <w:rPr>
          <w:rFonts w:ascii="Calibri" w:hAnsi="Calibri"/>
          <w:b/>
          <w:color w:val="003A70"/>
          <w:sz w:val="19"/>
        </w:rPr>
        <w:t xml:space="preserve">[27]  </w:t>
      </w:r>
      <w:r>
        <w:rPr>
          <w:rFonts w:ascii="Calibri" w:hAnsi="Calibri"/>
          <w:color w:val="333333"/>
          <w:sz w:val="19"/>
        </w:rPr>
        <w:t>USDA ERS, "Cattle &amp; Beef Outlook," March 2026.</w:t>
      </w: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CONFIDENTIAL — Prepared for R. Johansen, CFO, PLMA   |   Page </w:t>
    </w: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8"/>
      </w:rPr>
      <w:t>Counterparty Credit Risk Assessment  •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A7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A7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78D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A7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