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Maia3 Browser Deployment and Personalization</w:t>
      </w:r>
    </w:p>
    <w:p>
      <w:pPr>
        <w:pStyle w:val="Subtitle"/>
      </w:pPr>
      <w:r>
        <w:rPr>
          <w:b w:val="0"/>
        </w:rPr>
        <w:t>Background and proposed technical approach</w:t>
      </w:r>
    </w:p>
    <w:p>
      <w:pPr>
        <w:pStyle w:val="Small"/>
      </w:pPr>
      <w:r>
        <w:rPr>
          <w:b w:val="0"/>
        </w:rPr>
        <w:t>27 October 2026</w:t>
      </w:r>
    </w:p>
    <w:p>
      <w:pPr>
        <w:pStyle w:val="Heading1"/>
      </w:pPr>
      <w:r>
        <w:t>Purpose and recommendation</w:t>
      </w:r>
    </w:p>
    <w:p>
      <w:r>
        <w:rPr>
          <w:b w:val="0"/>
        </w:rPr>
        <w:t>The proposed application would run a chess model in a browser, adapt it to your own games, vary its choices with the time control, and estimate how much clock time you would use on a move. All four goals are technically feasible, but they have different levels of existing support.</w:t>
      </w:r>
    </w:p>
    <w:p>
      <w:r>
        <w:rPr>
          <w:b/>
        </w:rPr>
        <w:t>Use Maia3-23M-ponder as the starting checkpoint for the full project.</w:t>
      </w:r>
      <w:r>
        <w:rPr>
          <w:b w:val="0"/>
        </w:rPr>
        <w:t xml:space="preserve"> It already accepts clock information and predicts move duration. The ordinary 5M model remains a useful lightweight baseline for browser inference and move prediction. Standard Maia3 checkpoints do not provide meaningful move-time predictions. [1, 4, 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10" w:type="dxa"/>
          <w:right w:w="110" w:type="dxa"/>
        </w:tblCellMar>
      </w:tblPr>
      <w:tblGrid>
        <w:gridCol w:w="1843"/>
        <w:gridCol w:w="3283"/>
        <w:gridCol w:w="4810"/>
      </w:tblGrid>
      <w:tr>
        <w:trPr>
          <w:tblHeader w:val="true"/>
          <w:cantSplit/>
        </w:trPr>
        <w:tc>
          <w:tcPr>
            <w:tcW w:type="dxa" w:w="1843"/>
            <w:vAlign w:val="center"/>
            <w:shd w:fill="E9EEF2"/>
          </w:tcPr>
          <w:p>
            <w:pPr>
              <w:pStyle w:val="TableBody"/>
              <w:keepNext/>
            </w:pPr>
            <w:r>
              <w:rPr>
                <w:b/>
              </w:rPr>
              <w:t>Goal</w:t>
            </w:r>
          </w:p>
        </w:tc>
        <w:tc>
          <w:tcPr>
            <w:tcW w:type="dxa" w:w="3283"/>
            <w:vAlign w:val="center"/>
            <w:shd w:fill="E9EEF2"/>
          </w:tcPr>
          <w:p>
            <w:pPr>
              <w:pStyle w:val="TableBody"/>
              <w:keepNext/>
            </w:pPr>
            <w:r>
              <w:rPr>
                <w:b/>
              </w:rPr>
              <w:t>Current support</w:t>
            </w:r>
          </w:p>
        </w:tc>
        <w:tc>
          <w:tcPr>
            <w:tcW w:type="dxa" w:w="4810"/>
            <w:vAlign w:val="center"/>
            <w:shd w:fill="E9EEF2"/>
          </w:tcPr>
          <w:p>
            <w:pPr>
              <w:pStyle w:val="TableBody"/>
              <w:keepNext/>
            </w:pPr>
            <w:r>
              <w:rPr>
                <w:b/>
              </w:rPr>
              <w:t>Work required</w:t>
            </w:r>
          </w:p>
        </w:tc>
      </w:tr>
      <w:tr>
        <w:trPr>
          <w:cantSplit/>
        </w:trPr>
        <w:tc>
          <w:tcPr>
            <w:tcW w:type="dxa" w:w="1843"/>
            <w:vAlign w:val="center"/>
            <w:shd w:fill="FFFFFF"/>
          </w:tcPr>
          <w:p>
            <w:pPr>
              <w:pStyle w:val="TableBody"/>
              <w:keepNext w:val="0"/>
            </w:pPr>
            <w:r>
              <w:t>Run in a browser</w:t>
            </w:r>
          </w:p>
        </w:tc>
        <w:tc>
          <w:tcPr>
            <w:tcW w:type="dxa" w:w="3283"/>
            <w:vAlign w:val="center"/>
            <w:shd w:fill="FFFFFF"/>
          </w:tcPr>
          <w:p>
            <w:pPr>
              <w:pStyle w:val="TableBody"/>
              <w:keepNext w:val="0"/>
            </w:pPr>
            <w:r>
              <w:t>Existing Maia3 implementations</w:t>
            </w:r>
          </w:p>
        </w:tc>
        <w:tc>
          <w:tcPr>
            <w:tcW w:type="dxa" w:w="4810"/>
            <w:vAlign w:val="center"/>
            <w:shd w:fill="FFFFFF"/>
          </w:tcPr>
          <w:p>
            <w:pPr>
              <w:pStyle w:val="TableBody"/>
              <w:keepNext w:val="0"/>
            </w:pPr>
            <w:r>
              <w:t>Choose an export and integrate local inference</w:t>
            </w:r>
          </w:p>
        </w:tc>
      </w:tr>
      <w:tr>
        <w:trPr>
          <w:cantSplit/>
        </w:trPr>
        <w:tc>
          <w:tcPr>
            <w:tcW w:type="dxa" w:w="1843"/>
            <w:vAlign w:val="center"/>
            <w:shd w:fill="FFFFFF"/>
          </w:tcPr>
          <w:p>
            <w:pPr>
              <w:pStyle w:val="TableBody"/>
              <w:keepNext w:val="0"/>
            </w:pPr>
            <w:r>
              <w:t>Learn your moves</w:t>
            </w:r>
          </w:p>
        </w:tc>
        <w:tc>
          <w:tcPr>
            <w:tcW w:type="dxa" w:w="3283"/>
            <w:vAlign w:val="center"/>
            <w:shd w:fill="FFFFFF"/>
          </w:tcPr>
          <w:p>
            <w:pPr>
              <w:pStyle w:val="TableBody"/>
              <w:keepNext w:val="0"/>
            </w:pPr>
            <w:r>
              <w:t>Trainable PyTorch weights</w:t>
            </w:r>
          </w:p>
        </w:tc>
        <w:tc>
          <w:tcPr>
            <w:tcW w:type="dxa" w:w="4810"/>
            <w:vAlign w:val="center"/>
            <w:shd w:fill="FFFFFF"/>
          </w:tcPr>
          <w:p>
            <w:pPr>
              <w:pStyle w:val="TableBody"/>
              <w:keepNext w:val="0"/>
            </w:pPr>
            <w:r>
              <w:t>Prepare games and build a personalization pipeline</w:t>
            </w:r>
          </w:p>
        </w:tc>
      </w:tr>
      <w:tr>
        <w:trPr>
          <w:cantSplit/>
        </w:trPr>
        <w:tc>
          <w:tcPr>
            <w:tcW w:type="dxa" w:w="1843"/>
            <w:vAlign w:val="center"/>
            <w:shd w:fill="FFFFFF"/>
          </w:tcPr>
          <w:p>
            <w:pPr>
              <w:pStyle w:val="TableBody"/>
              <w:keepNext w:val="0"/>
            </w:pPr>
            <w:r>
              <w:t>Vary by time control</w:t>
            </w:r>
          </w:p>
        </w:tc>
        <w:tc>
          <w:tcPr>
            <w:tcW w:type="dxa" w:w="3283"/>
            <w:vAlign w:val="center"/>
            <w:shd w:fill="FFFFFF"/>
          </w:tcPr>
          <w:p>
            <w:pPr>
              <w:pStyle w:val="TableBody"/>
              <w:keepNext w:val="0"/>
            </w:pPr>
            <w:r>
              <w:t>Clock inputs in 23M-ponder</w:t>
            </w:r>
          </w:p>
        </w:tc>
        <w:tc>
          <w:tcPr>
            <w:tcW w:type="dxa" w:w="4810"/>
            <w:vAlign w:val="center"/>
            <w:shd w:fill="FFFFFF"/>
          </w:tcPr>
          <w:p>
            <w:pPr>
              <w:pStyle w:val="TableBody"/>
              <w:keepNext w:val="0"/>
            </w:pPr>
            <w:r>
              <w:t>Supply real clocks and validate each control</w:t>
            </w:r>
          </w:p>
        </w:tc>
      </w:tr>
      <w:tr>
        <w:trPr>
          <w:cantSplit/>
        </w:trPr>
        <w:tc>
          <w:tcPr>
            <w:tcW w:type="dxa" w:w="1843"/>
            <w:vAlign w:val="center"/>
            <w:shd w:fill="FFFFFF"/>
          </w:tcPr>
          <w:p>
            <w:pPr>
              <w:pStyle w:val="TableBody"/>
              <w:keepNext w:val="0"/>
            </w:pPr>
            <w:r>
              <w:t>Predict move duration</w:t>
            </w:r>
          </w:p>
        </w:tc>
        <w:tc>
          <w:tcPr>
            <w:tcW w:type="dxa" w:w="3283"/>
            <w:vAlign w:val="center"/>
            <w:shd w:fill="FFFFFF"/>
          </w:tcPr>
          <w:p>
            <w:pPr>
              <w:pStyle w:val="TableBody"/>
              <w:keepNext w:val="0"/>
            </w:pPr>
            <w:r>
              <w:t>Timing output in 23M-ponder</w:t>
            </w:r>
          </w:p>
        </w:tc>
        <w:tc>
          <w:tcPr>
            <w:tcW w:type="dxa" w:w="4810"/>
            <w:vAlign w:val="center"/>
            <w:shd w:fill="FFFFFF"/>
          </w:tcPr>
          <w:p>
            <w:pPr>
              <w:pStyle w:val="TableBody"/>
              <w:keepNext w:val="0"/>
            </w:pPr>
            <w:r>
              <w:t>Export the timing head and measure accuracy</w:t>
            </w:r>
          </w:p>
        </w:tc>
      </w:tr>
    </w:tbl>
    <w:p>
      <w:pPr>
        <w:spacing w:after="0" w:line="240" w:lineRule="auto"/>
      </w:pPr>
      <w:r>
        <w:rPr>
          <w:sz w:val="6"/>
        </w:rPr>
      </w:r>
    </w:p>
    <w:p>
      <w:r>
        <w:rPr>
          <w:b w:val="0"/>
        </w:rPr>
        <w:t>A practical architecture is to train locally in Python, export the trained model to ONNX, and run inference in a JavaScript or TypeScript browser application. A Python inference server is unnecessary for this design. The browser export for the timing variant still needs to be built and checked; commonly available exports omit its timing output. [3, 9–11]</w:t>
      </w:r>
    </w:p>
    <w:p>
      <w:r>
        <w:rPr>
          <w:b w:val="0"/>
        </w:rPr>
        <w:t>This is a technical feasibility and implementation brief. Personal prediction quality, timing accuracy, training duration, and browser latency remain to be measured on your games and target devices. Repository and model details reflect the versions inspected for this brief.</w:t>
      </w:r>
    </w:p>
    <w:p>
      <w:pPr>
        <w:pStyle w:val="Heading1"/>
      </w:pPr>
      <w:r>
        <w:t>Browser deployment</w:t>
      </w:r>
    </w:p>
    <w:p>
      <w:pPr>
        <w:pStyle w:val="Heading2"/>
      </w:pPr>
      <w:r>
        <w:t>Existing implementations</w:t>
      </w:r>
    </w:p>
    <w:p>
      <w:r>
        <w:rPr>
          <w:b w:val="0"/>
        </w:rPr>
        <w:t>Maia3 already runs entirely on the client in CSSLab’s own web application. Its frontend selects a Maia3 ONNX model, prepares the board inputs, and calls ONNX Runtime Web inside a Web Worker. The inspected worker uses WebAssembly on the CPU and caches model bytes through the application’s browser storage. A dedicated GPU is therefore optional. [3]</w:t>
      </w:r>
    </w:p>
    <w:p>
      <w:r>
        <w:rPr>
          <w:b w:val="0"/>
        </w:rPr>
        <w:t>The main CSSLab/maia3 repository is a Python and PyTorch inference package. Its published weights need a compatible browser export and input-processing code. The community maia3-js package provides a JavaScript integration, while bqrio publishes a separate family of ONNX exports. Their input formats and history handling differ, so they should be treated as distinct integration options. [1, 9, 10]</w:t>
      </w:r>
    </w:p>
    <w:p>
      <w:r>
        <w:rPr>
          <w:b w:val="0"/>
        </w:rPr>
        <w:t>For examples, CSSLab’s analysis page and the 0x88 chess application demonstrate the intended product shape. The latter documents WebGPU acceleration with a WebAssembly fallback. These are implementation references; no firsthand browser performance benchmark was conducted for this brief. [3, 12]</w:t>
      </w:r>
    </w:p>
    <w:p>
      <w:pPr>
        <w:pStyle w:val="Heading2"/>
      </w:pPr>
      <w:r>
        <w:t>Model downloads</w:t>
      </w:r>
    </w:p>
    <w:p>
      <w:r>
        <w:rPr>
          <w:b w:val="0"/>
        </w:rPr>
        <w:t>The following sizes are listed by the community bqrio ONNX repository for the ordinary Maia3 models. FP16 and FP32 refer to the stored numerical precision. Smaller files reduce the initial download, but file size does not equal total runtime memory use. [9]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10" w:type="dxa"/>
          <w:right w:w="110" w:type="dxa"/>
        </w:tblCellMar>
      </w:tblPr>
      <w:tblGrid>
        <w:gridCol w:w="1786"/>
        <w:gridCol w:w="1829"/>
        <w:gridCol w:w="1829"/>
        <w:gridCol w:w="4493"/>
      </w:tblGrid>
      <w:tr>
        <w:trPr>
          <w:tblHeader w:val="true"/>
          <w:cantSplit/>
        </w:trPr>
        <w:tc>
          <w:tcPr>
            <w:tcW w:type="dxa" w:w="1786"/>
            <w:vAlign w:val="center"/>
            <w:shd w:fill="E9EEF2"/>
          </w:tcPr>
          <w:p>
            <w:pPr>
              <w:pStyle w:val="TableBody"/>
              <w:keepNext/>
            </w:pPr>
            <w:r>
              <w:rPr>
                <w:b/>
              </w:rPr>
              <w:t>Ordinary model</w:t>
            </w:r>
          </w:p>
        </w:tc>
        <w:tc>
          <w:tcPr>
            <w:tcW w:type="dxa" w:w="1829"/>
            <w:vAlign w:val="center"/>
            <w:shd w:fill="E9EEF2"/>
          </w:tcPr>
          <w:p>
            <w:pPr>
              <w:pStyle w:val="TableBody"/>
              <w:keepNext/>
              <w:jc w:val="center"/>
            </w:pPr>
            <w:r>
              <w:rPr>
                <w:b/>
              </w:rPr>
              <w:t>FP16 download</w:t>
            </w:r>
          </w:p>
        </w:tc>
        <w:tc>
          <w:tcPr>
            <w:tcW w:type="dxa" w:w="1829"/>
            <w:vAlign w:val="center"/>
            <w:shd w:fill="E9EEF2"/>
          </w:tcPr>
          <w:p>
            <w:pPr>
              <w:pStyle w:val="TableBody"/>
              <w:keepNext/>
              <w:jc w:val="center"/>
            </w:pPr>
            <w:r>
              <w:rPr>
                <w:b/>
              </w:rPr>
              <w:t>FP32 download</w:t>
            </w:r>
          </w:p>
        </w:tc>
        <w:tc>
          <w:tcPr>
            <w:tcW w:type="dxa" w:w="4493"/>
            <w:vAlign w:val="center"/>
            <w:shd w:fill="E9EEF2"/>
          </w:tcPr>
          <w:p>
            <w:pPr>
              <w:pStyle w:val="TableBody"/>
              <w:keepNext/>
            </w:pPr>
            <w:r>
              <w:rPr>
                <w:b/>
              </w:rPr>
              <w:t>Suggested role</w:t>
            </w:r>
          </w:p>
        </w:tc>
      </w:tr>
      <w:tr>
        <w:trPr>
          <w:cantSplit/>
        </w:trPr>
        <w:tc>
          <w:tcPr>
            <w:tcW w:type="dxa" w:w="1786"/>
            <w:vAlign w:val="center"/>
            <w:shd w:fill="FFFFFF"/>
          </w:tcPr>
          <w:p>
            <w:pPr>
              <w:pStyle w:val="TableBody"/>
              <w:keepNext w:val="0"/>
            </w:pPr>
            <w:r>
              <w:t>5M</w:t>
            </w:r>
          </w:p>
        </w:tc>
        <w:tc>
          <w:tcPr>
            <w:tcW w:type="dxa" w:w="1829"/>
            <w:vAlign w:val="center"/>
            <w:shd w:fill="FFFFFF"/>
          </w:tcPr>
          <w:p>
            <w:pPr>
              <w:pStyle w:val="TableBody"/>
              <w:keepNext w:val="0"/>
              <w:jc w:val="center"/>
            </w:pPr>
            <w:r>
              <w:t>10.8 MB</w:t>
            </w:r>
          </w:p>
        </w:tc>
        <w:tc>
          <w:tcPr>
            <w:tcW w:type="dxa" w:w="1829"/>
            <w:vAlign w:val="center"/>
            <w:shd w:fill="FFFFFF"/>
          </w:tcPr>
          <w:p>
            <w:pPr>
              <w:pStyle w:val="TableBody"/>
              <w:keepNext w:val="0"/>
              <w:jc w:val="center"/>
            </w:pPr>
            <w:r>
              <w:t>21.0 MB</w:t>
            </w:r>
          </w:p>
        </w:tc>
        <w:tc>
          <w:tcPr>
            <w:tcW w:type="dxa" w:w="4493"/>
            <w:vAlign w:val="center"/>
            <w:shd w:fill="FFFFFF"/>
          </w:tcPr>
          <w:p>
            <w:pPr>
              <w:pStyle w:val="TableBody"/>
              <w:keepNext w:val="0"/>
            </w:pPr>
            <w:r>
              <w:t>Initial browser and move-only baseline</w:t>
            </w:r>
          </w:p>
        </w:tc>
      </w:tr>
      <w:tr>
        <w:trPr>
          <w:cantSplit/>
        </w:trPr>
        <w:tc>
          <w:tcPr>
            <w:tcW w:type="dxa" w:w="1786"/>
            <w:vAlign w:val="center"/>
            <w:shd w:fill="FFFFFF"/>
          </w:tcPr>
          <w:p>
            <w:pPr>
              <w:pStyle w:val="TableBody"/>
              <w:keepNext w:val="0"/>
            </w:pPr>
            <w:r>
              <w:t>23M</w:t>
            </w:r>
          </w:p>
        </w:tc>
        <w:tc>
          <w:tcPr>
            <w:tcW w:type="dxa" w:w="1829"/>
            <w:vAlign w:val="center"/>
            <w:shd w:fill="FFFFFF"/>
          </w:tcPr>
          <w:p>
            <w:pPr>
              <w:pStyle w:val="TableBody"/>
              <w:keepNext w:val="0"/>
              <w:jc w:val="center"/>
            </w:pPr>
            <w:r>
              <w:t>45.8 MB</w:t>
            </w:r>
          </w:p>
        </w:tc>
        <w:tc>
          <w:tcPr>
            <w:tcW w:type="dxa" w:w="1829"/>
            <w:vAlign w:val="center"/>
            <w:shd w:fill="FFFFFF"/>
          </w:tcPr>
          <w:p>
            <w:pPr>
              <w:pStyle w:val="TableBody"/>
              <w:keepNext w:val="0"/>
              <w:jc w:val="center"/>
            </w:pPr>
            <w:r>
              <w:t>91.0 MB</w:t>
            </w:r>
          </w:p>
        </w:tc>
        <w:tc>
          <w:tcPr>
            <w:tcW w:type="dxa" w:w="4493"/>
            <w:vAlign w:val="center"/>
            <w:shd w:fill="FFFFFF"/>
          </w:tcPr>
          <w:p>
            <w:pPr>
              <w:pStyle w:val="TableBody"/>
              <w:keepNext w:val="0"/>
            </w:pPr>
            <w:r>
              <w:t>Intermediate model comparison</w:t>
            </w:r>
          </w:p>
        </w:tc>
      </w:tr>
      <w:tr>
        <w:trPr>
          <w:cantSplit/>
        </w:trPr>
        <w:tc>
          <w:tcPr>
            <w:tcW w:type="dxa" w:w="1786"/>
            <w:vAlign w:val="center"/>
            <w:shd w:fill="FFFFFF"/>
          </w:tcPr>
          <w:p>
            <w:pPr>
              <w:pStyle w:val="TableBody"/>
              <w:keepNext w:val="0"/>
            </w:pPr>
            <w:r>
              <w:t>79M</w:t>
            </w:r>
          </w:p>
        </w:tc>
        <w:tc>
          <w:tcPr>
            <w:tcW w:type="dxa" w:w="1829"/>
            <w:vAlign w:val="center"/>
            <w:shd w:fill="FFFFFF"/>
          </w:tcPr>
          <w:p>
            <w:pPr>
              <w:pStyle w:val="TableBody"/>
              <w:keepNext w:val="0"/>
              <w:jc w:val="center"/>
            </w:pPr>
            <w:r>
              <w:t>156.1 MB</w:t>
            </w:r>
          </w:p>
        </w:tc>
        <w:tc>
          <w:tcPr>
            <w:tcW w:type="dxa" w:w="1829"/>
            <w:vAlign w:val="center"/>
            <w:shd w:fill="FFFFFF"/>
          </w:tcPr>
          <w:p>
            <w:pPr>
              <w:pStyle w:val="TableBody"/>
              <w:keepNext w:val="0"/>
              <w:jc w:val="center"/>
            </w:pPr>
            <w:r>
              <w:t>311.7 MB</w:t>
            </w:r>
          </w:p>
        </w:tc>
        <w:tc>
          <w:tcPr>
            <w:tcW w:type="dxa" w:w="4493"/>
            <w:vAlign w:val="center"/>
            <w:shd w:fill="FFFFFF"/>
          </w:tcPr>
          <w:p>
            <w:pPr>
              <w:pStyle w:val="TableBody"/>
              <w:keepNext w:val="0"/>
            </w:pPr>
            <w:r>
              <w:t>Larger model comparison</w:t>
            </w:r>
          </w:p>
        </w:tc>
      </w:tr>
    </w:tbl>
    <w:p>
      <w:pPr>
        <w:spacing w:after="0" w:line="240" w:lineRule="auto"/>
      </w:pPr>
      <w:r>
        <w:rPr>
          <w:sz w:val="6"/>
        </w:rPr>
      </w:r>
    </w:p>
    <w:p>
      <w:r>
        <w:rPr>
          <w:b/>
        </w:rPr>
        <w:t>These sizes do not describe a verified export of Maia3-23M-ponder.</w:t>
      </w:r>
      <w:r>
        <w:rPr>
          <w:b w:val="0"/>
        </w:rPr>
        <w:t xml:space="preserve"> Its published PyTorch checkpoint was listed at approximately 109 MB. Its eventual browser download size, memory use, and inference latency have not been measured here. [5]</w:t>
      </w:r>
    </w:p>
    <w:p>
      <w:pPr>
        <w:pStyle w:val="Heading2"/>
      </w:pPr>
      <w:r>
        <w:t>Browser application design</w:t>
      </w:r>
    </w:p>
    <w:p>
      <w:r>
        <w:rPr>
          <w:b w:val="0"/>
        </w:rPr>
        <w:t>Use a worker for inference so the chessboard remains responsive. Cache the model after the first download, show loading progress, and detect available execution support at runtime. Start with a reliable WebAssembly path; add WebGPU where the target device and model operators support it. ONNX Runtime documents both execution options. [11]</w:t>
      </w:r>
    </w:p>
    <w:p>
      <w:r>
        <w:rPr>
          <w:b w:val="0"/>
        </w:rPr>
        <w:t>The model needs more than a visual board. The integration must reproduce the expected board orientation, move encoding, rating inputs, legal-move filtering, and history order. Maia3 uses the current position plus seven earlier positions. The basic bqrio exports repeat the current board across history slots; a separate 79M export accepts real history. The maia3-js documentation describes history through prior positions or moves. Preserve the contract of whichever export is selected. [1, 9, 10]</w:t>
      </w:r>
    </w:p>
    <w:p>
      <w:r>
        <w:rPr>
          <w:b w:val="0"/>
        </w:rPr>
        <w:t>For timing support, build an export that retains the clock inputs and timing output. Compare its move probabilities and predicted times against PyTorch on the same positions. Include black-to-move positions, promotions, short histories, and low-clock situations in those checks. If using FP16, measure any numerical differences before relying on the export.</w:t>
      </w:r>
    </w:p>
    <w:p>
      <w:pPr>
        <w:pStyle w:val="Heading1"/>
      </w:pPr>
      <w:r>
        <w:t>Personalization from your games</w:t>
      </w:r>
    </w:p>
    <w:p>
      <w:pPr>
        <w:pStyle w:val="Heading2"/>
      </w:pPr>
      <w:r>
        <w:t>What fine tuning would learn</w:t>
      </w:r>
    </w:p>
    <w:p>
      <w:r>
        <w:rPr>
          <w:b w:val="0"/>
        </w:rPr>
        <w:t>The available PyTorch architecture and weights can be fine-tuned, but the public Maia3 repository does not supply a complete personal-game training workflow. You would need data preparation, a training loop, evaluation, and checkpoint export. A public community fine-tune demonstrates that the weights can be adapted; it does not establish how accurately the model will imitate a particular player. [1, 13]</w:t>
      </w:r>
    </w:p>
    <w:p>
      <w:r>
        <w:rPr>
          <w:b w:val="0"/>
        </w:rPr>
        <w:t>For a personal model, the target is the move you actually chose. Training examples should therefore be taken from positions where it was your turn. Opponents’ moves remain in the board history because they define the position, but their choices should not be labelled as examples of your playing style. The model can learn preferences and recurring mistakes as well as strong moves; playing strength and personal similarity are different evaluation goals.</w:t>
      </w:r>
    </w:p>
    <w:p>
      <w:r>
        <w:rPr>
          <w:b w:val="0"/>
        </w:rPr>
        <w:t>Preserve both players’ ratings, the full game sequence, the relevant time control, and clock data when available. Use the rating associated with that game and control where the source provides it. Basic PGN move sequences are enough to construct move-prediction examples, but personal timing labels require clock annotations or equivalent timing records.</w:t>
      </w:r>
    </w:p>
    <w:p>
      <w:pPr>
        <w:pStyle w:val="Heading2"/>
      </w:pPr>
      <w:r>
        <w:t>A conservative training experiment</w:t>
      </w:r>
    </w:p>
    <w:p>
      <w:r>
        <w:rPr>
          <w:b w:val="0"/>
        </w:rPr>
        <w:t>Begin with the unchanged checkpoint as a baseline. As an initial experiment, train a limited set of parameters, such as the output heads and selected final layers, using a small learning rate and early stopping. Compare this with broader fine-tuning only if validation results justify it. These are proposed experiments, rather than a published Maia3 personalization recipe.</w:t>
      </w:r>
    </w:p>
    <w:p>
      <w:r>
        <w:rPr>
          <w:b w:val="0"/>
        </w:rPr>
        <w:t>Keep complete games together when splitting training, validation, and test data. A chronological split is useful because the intended task is usually to predict future games. Repeated opening positions can make results look stronger than they are, so check duplicates and report performance beyond the opening as well as across all moves.</w:t>
      </w:r>
    </w:p>
    <w:p>
      <w:r>
        <w:rPr>
          <w:b w:val="0"/>
        </w:rPr>
        <w:t>There is no verified minimum number of personal games that guarantees useful Maia3 adaptation. As an arithmetic example, 1,000 games containing 35 of your moves each would yield about 35,000 candidate examples before filtering and holdouts. Those examples are correlated within games and repeated openings. The effective amount of information will also depend on how many games exist for each time control.</w:t>
      </w:r>
    </w:p>
    <w:p>
      <w:r>
        <w:rPr>
          <w:b w:val="0"/>
        </w:rPr>
        <w:t>For a machine with an RTX 4070 Ti SUPER and 16 GB of GPU memory, 5M and 23M experiments are plausible starting points. Training the larger model may require smaller batches, mixed precision, or other memory adjustments. This is a capacity estimate, not a measured benchmark; no training-time or throughput promise can be made without the chosen training configuration.</w:t>
      </w:r>
    </w:p>
    <w:p>
      <w:pPr>
        <w:pStyle w:val="Heading2"/>
      </w:pPr>
      <w:r>
        <w:t>How Maia4All relates</w:t>
      </w:r>
    </w:p>
    <w:p>
      <w:r>
        <w:rPr>
          <w:b w:val="0"/>
        </w:rPr>
        <w:t>Maia4All is a related personalization research project built on Maia2. Its adaptation method uses a preparation stage involving many prototype players and then learns a small player embedding. The paper’s results with roughly 20 games do not establish that ordinary Maia3 fine-tuning will work with the same amount of data. The official repository still describes the release as work in progress, so it should be treated as research context rather than a ready-made Maia3 personalization pipeline. [14, 15]</w:t>
      </w:r>
    </w:p>
    <w:p>
      <w:pPr>
        <w:pStyle w:val="Heading1"/>
      </w:pPr>
      <w:r>
        <w:t>Time controls and move duration</w:t>
      </w:r>
    </w:p>
    <w:p>
      <w:pPr>
        <w:pStyle w:val="Heading2"/>
      </w:pPr>
      <w:r>
        <w:t>One model conditioned on real clocks</w:t>
      </w:r>
    </w:p>
    <w:p>
      <w:r>
        <w:rPr>
          <w:b w:val="0"/>
        </w:rPr>
        <w:t>A shared personal model conditioned on the actual clock settings is the recommended first design. It can reuse your data across controls while learning that your choices differ between, for example, 3+0 and 3+2. It should also distinguish having three minutes left from having eight seconds left in the same nominal control. Separate models or small control-specific adaptations are later options if there is enough data and a measured advantage.</w:t>
      </w:r>
    </w:p>
    <w:p>
      <w:r>
        <w:rPr>
          <w:b w:val="0"/>
        </w:rPr>
        <w:t>The author’s implementation for Maia3-23M-ponder takes three clock features in addition to board history and both players’ ratings. These values describe the position before the move being predicted. [6, 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10" w:type="dxa"/>
          <w:right w:w="110" w:type="dxa"/>
        </w:tblCellMar>
      </w:tblPr>
      <w:tblGrid>
        <w:gridCol w:w="2232"/>
        <w:gridCol w:w="4363"/>
        <w:gridCol w:w="3341"/>
      </w:tblGrid>
      <w:tr>
        <w:trPr>
          <w:tblHeader w:val="true"/>
          <w:cantSplit/>
        </w:trPr>
        <w:tc>
          <w:tcPr>
            <w:tcW w:type="dxa" w:w="2232"/>
            <w:vAlign w:val="center"/>
            <w:shd w:fill="E9EEF2"/>
          </w:tcPr>
          <w:p>
            <w:pPr>
              <w:pStyle w:val="TableBody"/>
              <w:keepNext/>
            </w:pPr>
            <w:r>
              <w:rPr>
                <w:b/>
              </w:rPr>
              <w:t>Clock feature</w:t>
            </w:r>
          </w:p>
        </w:tc>
        <w:tc>
          <w:tcPr>
            <w:tcW w:type="dxa" w:w="4363"/>
            <w:vAlign w:val="center"/>
            <w:shd w:fill="E9EEF2"/>
          </w:tcPr>
          <w:p>
            <w:pPr>
              <w:pStyle w:val="TableBody"/>
              <w:keepNext/>
            </w:pPr>
            <w:r>
              <w:rPr>
                <w:b/>
              </w:rPr>
              <w:t>Meaning</w:t>
            </w:r>
          </w:p>
        </w:tc>
        <w:tc>
          <w:tcPr>
            <w:tcW w:type="dxa" w:w="3341"/>
            <w:vAlign w:val="center"/>
            <w:shd w:fill="E9EEF2"/>
          </w:tcPr>
          <w:p>
            <w:pPr>
              <w:pStyle w:val="TableBody"/>
              <w:keepNext/>
            </w:pPr>
            <w:r>
              <w:rPr>
                <w:b/>
              </w:rPr>
              <w:t>Example</w:t>
            </w:r>
          </w:p>
        </w:tc>
      </w:tr>
      <w:tr>
        <w:trPr>
          <w:cantSplit/>
        </w:trPr>
        <w:tc>
          <w:tcPr>
            <w:tcW w:type="dxa" w:w="2232"/>
            <w:vAlign w:val="center"/>
            <w:shd w:fill="FFFFFF"/>
          </w:tcPr>
          <w:p>
            <w:pPr>
              <w:pStyle w:val="TableBody"/>
              <w:keepNext w:val="0"/>
            </w:pPr>
            <w:r>
              <w:t>Initial time</w:t>
            </w:r>
          </w:p>
        </w:tc>
        <w:tc>
          <w:tcPr>
            <w:tcW w:type="dxa" w:w="4363"/>
            <w:vAlign w:val="center"/>
            <w:shd w:fill="FFFFFF"/>
          </w:tcPr>
          <w:p>
            <w:pPr>
              <w:pStyle w:val="TableBody"/>
              <w:keepNext w:val="0"/>
            </w:pPr>
            <w:r>
              <w:t>Starting allocation in seconds</w:t>
            </w:r>
          </w:p>
        </w:tc>
        <w:tc>
          <w:tcPr>
            <w:tcW w:type="dxa" w:w="3341"/>
            <w:vAlign w:val="center"/>
            <w:shd w:fill="FFFFFF"/>
          </w:tcPr>
          <w:p>
            <w:pPr>
              <w:pStyle w:val="TableBody"/>
              <w:keepNext w:val="0"/>
            </w:pPr>
            <w:r>
              <w:t>180 for a three-minute game</w:t>
            </w:r>
          </w:p>
        </w:tc>
      </w:tr>
      <w:tr>
        <w:trPr>
          <w:cantSplit/>
        </w:trPr>
        <w:tc>
          <w:tcPr>
            <w:tcW w:type="dxa" w:w="2232"/>
            <w:vAlign w:val="center"/>
            <w:shd w:fill="FFFFFF"/>
          </w:tcPr>
          <w:p>
            <w:pPr>
              <w:pStyle w:val="TableBody"/>
              <w:keepNext w:val="0"/>
            </w:pPr>
            <w:r>
              <w:t>Increment</w:t>
            </w:r>
          </w:p>
        </w:tc>
        <w:tc>
          <w:tcPr>
            <w:tcW w:type="dxa" w:w="4363"/>
            <w:vAlign w:val="center"/>
            <w:shd w:fill="FFFFFF"/>
          </w:tcPr>
          <w:p>
            <w:pPr>
              <w:pStyle w:val="TableBody"/>
              <w:keepNext w:val="0"/>
            </w:pPr>
            <w:r>
              <w:t>Seconds added per move</w:t>
            </w:r>
          </w:p>
        </w:tc>
        <w:tc>
          <w:tcPr>
            <w:tcW w:type="dxa" w:w="3341"/>
            <w:vAlign w:val="center"/>
            <w:shd w:fill="FFFFFF"/>
          </w:tcPr>
          <w:p>
            <w:pPr>
              <w:pStyle w:val="TableBody"/>
              <w:keepNext w:val="0"/>
            </w:pPr>
            <w:r>
              <w:t>2 for a 3+2 game</w:t>
            </w:r>
          </w:p>
        </w:tc>
      </w:tr>
      <w:tr>
        <w:trPr>
          <w:cantSplit/>
        </w:trPr>
        <w:tc>
          <w:tcPr>
            <w:tcW w:type="dxa" w:w="2232"/>
            <w:vAlign w:val="center"/>
            <w:shd w:fill="FFFFFF"/>
          </w:tcPr>
          <w:p>
            <w:pPr>
              <w:pStyle w:val="TableBody"/>
              <w:keepNext w:val="0"/>
            </w:pPr>
            <w:r>
              <w:t>Own remaining time</w:t>
            </w:r>
          </w:p>
        </w:tc>
        <w:tc>
          <w:tcPr>
            <w:tcW w:type="dxa" w:w="4363"/>
            <w:vAlign w:val="center"/>
            <w:shd w:fill="FFFFFF"/>
          </w:tcPr>
          <w:p>
            <w:pPr>
              <w:pStyle w:val="TableBody"/>
              <w:keepNext w:val="0"/>
            </w:pPr>
            <w:r>
              <w:t>Active player’s clock before moving</w:t>
            </w:r>
          </w:p>
        </w:tc>
        <w:tc>
          <w:tcPr>
            <w:tcW w:type="dxa" w:w="3341"/>
            <w:vAlign w:val="center"/>
            <w:shd w:fill="FFFFFF"/>
          </w:tcPr>
          <w:p>
            <w:pPr>
              <w:pStyle w:val="TableBody"/>
              <w:keepNext w:val="0"/>
            </w:pPr>
            <w:r>
              <w:t>8 in a time-pressure position</w:t>
            </w:r>
          </w:p>
        </w:tc>
      </w:tr>
    </w:tbl>
    <w:p>
      <w:pPr>
        <w:spacing w:after="0" w:line="240" w:lineRule="auto"/>
      </w:pPr>
      <w:r>
        <w:rPr>
          <w:sz w:val="6"/>
        </w:rPr>
      </w:r>
    </w:p>
    <w:p>
      <w:r>
        <w:rPr>
          <w:b w:val="0"/>
        </w:rPr>
        <w:t>Opponent remaining time and a history of previous move durations are not existing clock inputs in the inspected implementation. Adding them would be a model and training change. The field named clk_ponder is an elapsed-time training label; the code removes it from the input before prediction. It must not be supplied as knowledge of the future move. [6, 7]</w:t>
      </w:r>
    </w:p>
    <w:p>
      <w:r>
        <w:rPr>
          <w:b w:val="0"/>
        </w:rPr>
        <w:t>Train and evaluate across controls deliberately. If most of your games are blitz, an aggregate score can hide weak rapid or bullet behavior. Balance the training examples where needed and report results separately by time control and remaining-clock range.</w:t>
      </w:r>
    </w:p>
    <w:p>
      <w:pPr>
        <w:pStyle w:val="Heading2"/>
      </w:pPr>
      <w:r>
        <w:t>What the timing model predicts</w:t>
      </w:r>
    </w:p>
    <w:p>
      <w:r>
        <w:rPr>
          <w:b w:val="0"/>
        </w:rPr>
        <w:t>The separate ponder checkpoint predicts a distribution over 30 logarithmically spaced time bins. Their centers run from approximately 0.01 seconds to 89 seconds. The inspected forward method returns the probability-weighted expected time in seconds. Its timing estimate belongs to the position as a whole; it does not return a different duration for every candidate move. [6]</w:t>
      </w:r>
    </w:p>
    <w:p>
      <w:r>
        <w:rPr>
          <w:b w:val="0"/>
        </w:rPr>
        <w:t>For an interface, a median and an uncertainty interval could be more useful than a very precise-looking single number. To provide those, expose the underlying timing probabilities and check their calibration on held-out games. For a simulated opponent, a sampled delay could produce more varied behavior, subject to the available clock. Both are proposed uses of the existing distribution.</w:t>
      </w:r>
    </w:p>
    <w:p>
      <w:r>
        <w:rPr>
          <w:b w:val="0"/>
        </w:rPr>
        <w:t>The current bin range cannot faithfully represent multi-minute thinks. Supporting longer rapid or classical decisions requires a wider timing range and retraining the timing head. The smallest bin center is also not a claim of hundredth-of-a-second prediction accuracy. A prediction describes recorded clock usage, which can include interruptions and premoves; it cannot directly measure internal thought. [6]</w:t>
      </w:r>
    </w:p>
    <w:p>
      <w:r>
        <w:rPr>
          <w:b w:val="0"/>
        </w:rPr>
        <w:t>If the goal becomes “How long would I take specifically before playing this candidate move?”, the timing model would need to condition on that selected move, or model the joint distribution of moves and durations. That is an extension beyond the inspected position-level timing output.</w:t>
      </w:r>
    </w:p>
    <w:p>
      <w:pPr>
        <w:pStyle w:val="Heading2"/>
      </w:pPr>
      <w:r>
        <w:t>Which releases support this</w:t>
      </w:r>
    </w:p>
    <w:p>
      <w:r>
        <w:rPr>
          <w:b w:val="0"/>
        </w:rPr>
        <w:t>A maintainer explicitly distinguishes the ordinary 5M, 23M, and 79M models from Maia3-23M-ponder. The ordinary checkpoints do not support meaningful ponder-time prediction, even though a timing component appears in the broader architecture. The dedicated checkpoint and the author’s rmponder branch are the relevant sources for timing work. [4–6]</w:t>
      </w:r>
    </w:p>
    <w:p>
      <w:r>
        <w:rPr>
          <w:b w:val="0"/>
        </w:rPr>
        <w:t>There are two integration gaps. The inspected UCI wrapper on that branch uses fixed 3+2 clock values instead of passing through the real GUI clock settings, and it does not expose the predicted time through UCI. Meanwhile, the common community browser exports omit the timing output. A working implementation must explicitly wire real clocks into the model and retain the timing head in its ONNX export. [8–10]</w:t>
      </w:r>
    </w:p>
    <w:p>
      <w:r>
        <w:rPr>
          <w:b w:val="0"/>
        </w:rPr>
        <w:t>The standard Maia3 paper describes blitz training data and filters out moves after the clock falls below 30 seconds. The ponder checkpoint has no model card establishing its own training coverage. Do not assume the standard model’s filtering applies to that separate checkpoint, or assume that bullet, rapid, and severe time pressure are already well calibrated. Those conditions need direct evaluation. [2, 5]</w:t>
      </w:r>
    </w:p>
    <w:p>
      <w:pPr>
        <w:pStyle w:val="Heading1"/>
      </w:pPr>
      <w:r>
        <w:t>Preparing clock data</w:t>
      </w:r>
    </w:p>
    <w:p>
      <w:pPr>
        <w:pStyle w:val="Heading2"/>
      </w:pPr>
      <w:r>
        <w:t>Game exports and annotations</w:t>
      </w:r>
    </w:p>
    <w:p>
      <w:r>
        <w:rPr>
          <w:b w:val="0"/>
        </w:rPr>
        <w:t>Plain move lists do not contain enough information to recover elapsed move time. In annotated PGN, a %clk value records the clock remaining after a move, while %emt records elapsed move time directly. The python-chess PGN API can parse both forms. [16]</w:t>
      </w:r>
    </w:p>
    <w:p>
      <w:r>
        <w:rPr>
          <w:b w:val="0"/>
        </w:rPr>
        <w:t>For Lichess user-game exports, request clocks explicitly with clocks=true; clock data is returned when available. Its public game database also documents clock annotations in the relevant archives. Chess.com’s published-data API provides monthly game archives and PGNs, but the actual files should be checked for usable timing annotations before planning a timing dataset. [17–19]</w:t>
      </w:r>
    </w:p>
    <w:p>
      <w:pPr>
        <w:pStyle w:val="Heading2"/>
      </w:pPr>
      <w:r>
        <w:t>Deriving elapsed time without leakage</w:t>
      </w:r>
    </w:p>
    <w:p>
      <w:r>
        <w:rPr>
          <w:b w:val="0"/>
        </w:rPr>
        <w:t>For an ordinary Fischer-increment clock, take the same player’s clock after their previous move, add the increment, and subtract their clock after the current move. For example, a previous reading of 60 seconds, a two-second increment, and a new reading of 55 seconds imply seven seconds used. This follows from the clock accounting; compare readings for the same player, not the two adjacent moves of different players.</w:t>
      </w:r>
    </w:p>
    <w:p>
      <w:r>
        <w:rPr>
          <w:b w:val="0"/>
        </w:rPr>
        <w:t>Handle the first move separately using the platform’s clock convention and initial allocation. Missing annotations, rounded clock values, premoves, lag handling, added time, delay clocks, and multi-stage controls also need explicit handling. Reject or flag inconsistent examples rather than teaching the model impossible durations.</w:t>
      </w:r>
    </w:p>
    <w:p>
      <w:r>
        <w:rPr>
          <w:b/>
        </w:rPr>
        <w:t>Only information available before the move belongs in the model input.</w:t>
      </w:r>
      <w:r>
        <w:rPr>
          <w:b w:val="0"/>
        </w:rPr>
        <w:t xml:space="preserve"> The post-move clock and elapsed duration are labels used during training and evaluation. Including either as a predictive feature would leak the answer and produce misleading accuracy. For ordinary increment clocks, reconstruct the active player’s pre-move clock from their previous recorded clock, with appropriate handling of the opening move.</w:t>
      </w:r>
    </w:p>
    <w:p>
      <w:r>
        <w:rPr>
          <w:b w:val="0"/>
        </w:rPr>
        <w:t>Retain a game identifier, move number, player color, board history, both ratings, initial time, increment, pre-move clock, chosen move, and observed elapsed time where valid. Record how each elapsed time was obtained so directly reported values can be distinguished from derived values and unsupported clock systems can be excluded.</w:t>
      </w:r>
    </w:p>
    <w:p>
      <w:pPr>
        <w:pStyle w:val="Heading1"/>
      </w:pPr>
      <w:r>
        <w:t>Implementation and evaluation</w:t>
      </w:r>
    </w:p>
    <w:p>
      <w:pPr>
        <w:pStyle w:val="Heading2"/>
      </w:pPr>
      <w:r>
        <w:t>Proposed sequence</w:t>
      </w:r>
    </w:p>
    <w:p>
      <w:r>
        <w:rPr>
          <w:b/>
        </w:rPr>
        <w:t>1  Establish the timing baseline.</w:t>
      </w:r>
      <w:r>
        <w:rPr>
          <w:b w:val="0"/>
        </w:rPr>
        <w:t xml:space="preserve"> Load Maia3-23M-ponder in its compatible PyTorch implementation and run it with known positions and real clock values. Confirm legal move probabilities and timing outputs before adding personal training.</w:t>
      </w:r>
    </w:p>
    <w:p>
      <w:r>
        <w:rPr>
          <w:b/>
        </w:rPr>
        <w:t>2  Audit and prepare your games.</w:t>
      </w:r>
      <w:r>
        <w:rPr>
          <w:b w:val="0"/>
        </w:rPr>
        <w:t xml:space="preserve"> Count games and usable moves by time control, date, and annotation coverage. Build examples for your turns, reconstruct clocks, preserve history, and make separate validation and test splits by whole game.</w:t>
      </w:r>
    </w:p>
    <w:p>
      <w:r>
        <w:rPr>
          <w:b/>
        </w:rPr>
        <w:t>3  Measure the unchanged model.</w:t>
      </w:r>
      <w:r>
        <w:rPr>
          <w:b w:val="0"/>
        </w:rPr>
        <w:t xml:space="preserve"> Record move prediction and timing metrics on validation games. Compare timing estimates with a simple empirical baseline, such as typical elapsed time by control and remaining-clock range.</w:t>
      </w:r>
    </w:p>
    <w:p>
      <w:r>
        <w:rPr>
          <w:b/>
        </w:rPr>
        <w:t>4  Run small personalization experiments.</w:t>
      </w:r>
      <w:r>
        <w:rPr>
          <w:b w:val="0"/>
        </w:rPr>
        <w:t xml:space="preserve"> Tune selected parameters first, then compare alternatives. If training moves and timing together, balance their losses so one objective does not overwhelm the other. Choose the model using validation results, then evaluate it once on the untouched test games.</w:t>
      </w:r>
    </w:p>
    <w:p>
      <w:r>
        <w:rPr>
          <w:b/>
        </w:rPr>
        <w:t>5  Export the chosen checkpoint.</w:t>
      </w:r>
      <w:r>
        <w:rPr>
          <w:b w:val="0"/>
        </w:rPr>
        <w:t xml:space="preserve"> Retain the required history and clock inputs, the move output, and the timing output. Expose timing probabilities if intervals or sampled delays are part of the product. Verify ONNX results against the original PyTorch model.</w:t>
      </w:r>
    </w:p>
    <w:p>
      <w:r>
        <w:rPr>
          <w:b/>
        </w:rPr>
        <w:t>6  Integrate and measure the browser experience.</w:t>
      </w:r>
      <w:r>
        <w:rPr>
          <w:b w:val="0"/>
        </w:rPr>
        <w:t xml:space="preserve"> Run inference in a worker, cache the download, check the fallback execution path, and measure load time, memory use, and latency on the actual target devices. Use those measurements to decide whether a smaller model or reduced precision is needed.</w:t>
      </w:r>
    </w:p>
    <w:p>
      <w:pPr>
        <w:pStyle w:val="Heading2"/>
      </w:pPr>
      <w:r>
        <w:t>Evidence of a useful personal model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110" w:type="dxa"/>
          <w:right w:w="110" w:type="dxa"/>
        </w:tblCellMar>
      </w:tblPr>
      <w:tblGrid>
        <w:gridCol w:w="3125"/>
        <w:gridCol w:w="6811"/>
      </w:tblGrid>
      <w:tr>
        <w:trPr>
          <w:tblHeader w:val="true"/>
          <w:cantSplit/>
        </w:trPr>
        <w:tc>
          <w:tcPr>
            <w:tcW w:type="dxa" w:w="3125"/>
            <w:vAlign w:val="center"/>
            <w:shd w:fill="E9EEF2"/>
          </w:tcPr>
          <w:p>
            <w:pPr>
              <w:pStyle w:val="TableBody"/>
              <w:keepNext/>
            </w:pPr>
            <w:r>
              <w:rPr>
                <w:b/>
              </w:rPr>
              <w:t>Question</w:t>
            </w:r>
          </w:p>
        </w:tc>
        <w:tc>
          <w:tcPr>
            <w:tcW w:type="dxa" w:w="6811"/>
            <w:vAlign w:val="center"/>
            <w:shd w:fill="E9EEF2"/>
          </w:tcPr>
          <w:p>
            <w:pPr>
              <w:pStyle w:val="TableBody"/>
              <w:keepNext/>
            </w:pPr>
            <w:r>
              <w:rPr>
                <w:b/>
              </w:rPr>
              <w:t>Useful measurement</w:t>
            </w:r>
          </w:p>
        </w:tc>
      </w:tr>
      <w:tr>
        <w:trPr>
          <w:cantSplit/>
        </w:trPr>
        <w:tc>
          <w:tcPr>
            <w:tcW w:type="dxa" w:w="3125"/>
            <w:vAlign w:val="center"/>
            <w:shd w:fill="FFFFFF"/>
          </w:tcPr>
          <w:p>
            <w:pPr>
              <w:pStyle w:val="TableBody"/>
              <w:keepNext w:val="0"/>
            </w:pPr>
            <w:r>
              <w:t>Does it predict your choices?</w:t>
            </w:r>
          </w:p>
        </w:tc>
        <w:tc>
          <w:tcPr>
            <w:tcW w:type="dxa" w:w="6811"/>
            <w:vAlign w:val="center"/>
            <w:shd w:fill="FFFFFF"/>
          </w:tcPr>
          <w:p>
            <w:pPr>
              <w:pStyle w:val="TableBody"/>
              <w:keepNext w:val="0"/>
            </w:pPr>
            <w:r>
              <w:t>Top-choice move agreement, top-three coverage, and probability assigned to your actual move</w:t>
            </w:r>
          </w:p>
        </w:tc>
      </w:tr>
      <w:tr>
        <w:trPr>
          <w:cantSplit/>
        </w:trPr>
        <w:tc>
          <w:tcPr>
            <w:tcW w:type="dxa" w:w="3125"/>
            <w:vAlign w:val="center"/>
            <w:shd w:fill="FFFFFF"/>
          </w:tcPr>
          <w:p>
            <w:pPr>
              <w:pStyle w:val="TableBody"/>
              <w:keepNext w:val="0"/>
            </w:pPr>
            <w:r>
              <w:t>Are its times useful?</w:t>
            </w:r>
          </w:p>
        </w:tc>
        <w:tc>
          <w:tcPr>
            <w:tcW w:type="dxa" w:w="6811"/>
            <w:vAlign w:val="center"/>
            <w:shd w:fill="FFFFFF"/>
          </w:tcPr>
          <w:p>
            <w:pPr>
              <w:pStyle w:val="TableBody"/>
              <w:keepNext w:val="0"/>
            </w:pPr>
            <w:r>
              <w:t>Median absolute error, error across short and long thinks, and interval coverage if exposed</w:t>
            </w:r>
          </w:p>
        </w:tc>
      </w:tr>
      <w:tr>
        <w:trPr>
          <w:cantSplit/>
        </w:trPr>
        <w:tc>
          <w:tcPr>
            <w:tcW w:type="dxa" w:w="3125"/>
            <w:vAlign w:val="center"/>
            <w:shd w:fill="FFFFFF"/>
          </w:tcPr>
          <w:p>
            <w:pPr>
              <w:pStyle w:val="TableBody"/>
              <w:keepNext w:val="0"/>
            </w:pPr>
            <w:r>
              <w:t>Does it handle different clocks?</w:t>
            </w:r>
          </w:p>
        </w:tc>
        <w:tc>
          <w:tcPr>
            <w:tcW w:type="dxa" w:w="6811"/>
            <w:vAlign w:val="center"/>
            <w:shd w:fill="FFFFFF"/>
          </w:tcPr>
          <w:p>
            <w:pPr>
              <w:pStyle w:val="TableBody"/>
              <w:keepNext w:val="0"/>
            </w:pPr>
            <w:r>
              <w:t>Separate results by time control and remaining-clock range</w:t>
            </w:r>
          </w:p>
        </w:tc>
      </w:tr>
      <w:tr>
        <w:trPr>
          <w:cantSplit/>
        </w:trPr>
        <w:tc>
          <w:tcPr>
            <w:tcW w:type="dxa" w:w="3125"/>
            <w:vAlign w:val="center"/>
            <w:shd w:fill="FFFFFF"/>
          </w:tcPr>
          <w:p>
            <w:pPr>
              <w:pStyle w:val="TableBody"/>
              <w:keepNext w:val="0"/>
            </w:pPr>
            <w:r>
              <w:t>Does personalization help?</w:t>
            </w:r>
          </w:p>
        </w:tc>
        <w:tc>
          <w:tcPr>
            <w:tcW w:type="dxa" w:w="6811"/>
            <w:vAlign w:val="center"/>
            <w:shd w:fill="FFFFFF"/>
          </w:tcPr>
          <w:p>
            <w:pPr>
              <w:pStyle w:val="TableBody"/>
              <w:keepNext w:val="0"/>
            </w:pPr>
            <w:r>
              <w:t>Comparison with the unchanged checkpoint on the same held-out whole games</w:t>
            </w:r>
          </w:p>
        </w:tc>
      </w:tr>
      <w:tr>
        <w:trPr>
          <w:cantSplit/>
        </w:trPr>
        <w:tc>
          <w:tcPr>
            <w:tcW w:type="dxa" w:w="3125"/>
            <w:vAlign w:val="center"/>
            <w:shd w:fill="FFFFFF"/>
          </w:tcPr>
          <w:p>
            <w:pPr>
              <w:pStyle w:val="TableBody"/>
              <w:keepNext w:val="0"/>
            </w:pPr>
            <w:r>
              <w:t>Is the browser version faithful?</w:t>
            </w:r>
          </w:p>
        </w:tc>
        <w:tc>
          <w:tcPr>
            <w:tcW w:type="dxa" w:w="6811"/>
            <w:vAlign w:val="center"/>
            <w:shd w:fill="FFFFFF"/>
          </w:tcPr>
          <w:p>
            <w:pPr>
              <w:pStyle w:val="TableBody"/>
              <w:keepNext w:val="0"/>
            </w:pPr>
            <w:r>
              <w:t>PyTorch versus ONNX output agreement and measured browser latency</w:t>
            </w:r>
          </w:p>
        </w:tc>
      </w:tr>
    </w:tbl>
    <w:p>
      <w:pPr>
        <w:spacing w:after="0" w:line="240" w:lineRule="auto"/>
      </w:pPr>
      <w:r>
        <w:rPr>
          <w:sz w:val="6"/>
        </w:rPr>
      </w:r>
    </w:p>
    <w:p>
      <w:r>
        <w:rPr>
          <w:b w:val="0"/>
        </w:rPr>
        <w:t>Move log loss is useful alongside exact move agreement because it rewards assigning sensible probability to the move you played even when it is not the top choice. A stronger playing rating alone would not establish better imitation. For timing, average error alone can hide poor behavior on long thinks or in time trouble; inspect those subsets separately.</w:t>
      </w:r>
    </w:p>
    <w:p>
      <w:pPr>
        <w:pStyle w:val="Heading2"/>
      </w:pPr>
      <w:r>
        <w:t>What remains to be measured</w:t>
      </w:r>
    </w:p>
    <w:p>
      <w:r>
        <w:rPr>
          <w:b w:val="0"/>
        </w:rPr>
        <w:t>The immediate unknowns are the number of available games, the platforms they came from, the mix of time controls, and the quality of clock annotations. No personal games were inspected for this brief. Those facts determine how ambitious the first training experiment should be.</w:t>
      </w:r>
    </w:p>
    <w:p>
      <w:r>
        <w:rPr>
          <w:b w:val="0"/>
        </w:rPr>
        <w:t>The remaining engineering unknowns are the timing checkpoint’s behavior on the desired controls, the size and compatibility of a complete ONNX export, and performance on the target browsers. None prevents an initial prototype, but each should be measured before promising personal accuracy or a particular user experience.</w:t>
      </w:r>
    </w:p>
    <w:p>
      <w:pPr>
        <w:pStyle w:val="Heading1"/>
      </w:pPr>
      <w:r>
        <w:t>Sources</w:t>
      </w:r>
    </w:p>
    <w:p>
      <w:pPr>
        <w:pStyle w:val="Small"/>
      </w:pPr>
      <w:r>
        <w:rPr>
          <w:b w:val="0"/>
        </w:rPr>
        <w:t>Primary repositories, model files, papers, and documentation are linked below. Community exports are identified separately. References were checked for this brief on 27 October 2026; repository branches and hosted files can change.</w:t>
      </w:r>
    </w:p>
    <w:p>
      <w:pPr>
        <w:pStyle w:val="Source"/>
        <w:keepLines/>
      </w:pPr>
      <w:r>
        <w:t xml:space="preserve">[1] </w:t>
      </w:r>
      <w:hyperlink r:id="rId10">
        <w:r>
          <w:rPr>
            <w:color w:val="184E78"/>
          </w:rPr>
          <w:t>CSSLab Maia3 repository</w:t>
        </w:r>
      </w:hyperlink>
      <w:r>
        <w:t>. Official inference package, model definitions, registry, and installation instructions. Inspected commit 1e13597c42d4858b7cfd7cfdae01e297263364b2.</w:t>
      </w:r>
    </w:p>
    <w:p>
      <w:pPr>
        <w:pStyle w:val="Source"/>
        <w:keepLines/>
      </w:pPr>
      <w:r>
        <w:t xml:space="preserve">[2] </w:t>
      </w:r>
      <w:hyperlink r:id="rId11">
        <w:r>
          <w:rPr>
            <w:color w:val="184E78"/>
          </w:rPr>
          <w:t>Chessformer paper</w:t>
        </w:r>
      </w:hyperlink>
      <w:r>
        <w:t>. Maia3 architecture and standard training-data description.</w:t>
      </w:r>
    </w:p>
    <w:p>
      <w:pPr>
        <w:pStyle w:val="Source"/>
        <w:keepLines/>
      </w:pPr>
      <w:r>
        <w:t xml:space="preserve">[3] </w:t>
      </w:r>
      <w:hyperlink r:id="rId12">
        <w:r>
          <w:rPr>
            <w:color w:val="184E78"/>
          </w:rPr>
          <w:t>CSSLab Maia platform frontend</w:t>
        </w:r>
      </w:hyperlink>
      <w:r>
        <w:t>. Official browser implementation.</w:t>
      </w:r>
      <w:r>
        <w:t xml:space="preserve">  </w:t>
      </w:r>
      <w:hyperlink r:id="rId13">
        <w:r>
          <w:rPr>
            <w:color w:val="184E78"/>
          </w:rPr>
          <w:t>Model configuration</w:t>
        </w:r>
      </w:hyperlink>
      <w:r>
        <w:t xml:space="preserve">  </w:t>
      </w:r>
      <w:hyperlink r:id="rId14">
        <w:r>
          <w:rPr>
            <w:color w:val="184E78"/>
          </w:rPr>
          <w:t>Inference worker</w:t>
        </w:r>
      </w:hyperlink>
      <w:r>
        <w:t xml:space="preserve">  </w:t>
      </w:r>
      <w:hyperlink r:id="rId15">
        <w:r>
          <w:rPr>
            <w:color w:val="184E78"/>
          </w:rPr>
          <w:t>Analysis application</w:t>
        </w:r>
      </w:hyperlink>
    </w:p>
    <w:p>
      <w:pPr>
        <w:pStyle w:val="Source"/>
        <w:keepLines/>
      </w:pPr>
      <w:r>
        <w:t xml:space="preserve">[4] </w:t>
      </w:r>
      <w:hyperlink r:id="rId16">
        <w:r>
          <w:rPr>
            <w:color w:val="184E78"/>
          </w:rPr>
          <w:t>Maia3 issue 6 on timing support</w:t>
        </w:r>
      </w:hyperlink>
      <w:r>
        <w:t>. Maintainer explanation of the ordinary checkpoints and the separate ponder release.</w:t>
      </w:r>
    </w:p>
    <w:p>
      <w:pPr>
        <w:pStyle w:val="Source"/>
        <w:keepLines/>
      </w:pPr>
      <w:r>
        <w:t xml:space="preserve">[5] </w:t>
      </w:r>
      <w:hyperlink r:id="rId17">
        <w:r>
          <w:rPr>
            <w:color w:val="184E78"/>
          </w:rPr>
          <w:t>UofTCSSLab Maia3 23M ponder</w:t>
        </w:r>
      </w:hyperlink>
      <w:r>
        <w:t>. Dedicated checkpoint and hosted file listing. No model card documenting training coverage was present.</w:t>
      </w:r>
    </w:p>
    <w:p>
      <w:pPr>
        <w:pStyle w:val="Source"/>
        <w:keepLines/>
      </w:pPr>
      <w:r>
        <w:t xml:space="preserve">[6] </w:t>
      </w:r>
      <w:hyperlink r:id="rId18">
        <w:r>
          <w:rPr>
            <w:color w:val="184E78"/>
          </w:rPr>
          <w:t>Timing model implementation</w:t>
        </w:r>
      </w:hyperlink>
      <w:r>
        <w:t>. Author branch model code, clock conditioning, timing bins, and output calculation.</w:t>
      </w:r>
      <w:r>
        <w:t xml:space="preserve">  </w:t>
      </w:r>
      <w:hyperlink r:id="rId19">
        <w:r>
          <w:rPr>
            <w:color w:val="184E78"/>
          </w:rPr>
          <w:t>Branch README</w:t>
        </w:r>
      </w:hyperlink>
    </w:p>
    <w:p>
      <w:pPr>
        <w:pStyle w:val="Source"/>
        <w:keepLines/>
      </w:pPr>
      <w:r>
        <w:t xml:space="preserve">[7] </w:t>
      </w:r>
      <w:hyperlink r:id="rId20">
        <w:r>
          <w:rPr>
            <w:color w:val="184E78"/>
          </w:rPr>
          <w:t>Timing data implementation</w:t>
        </w:r>
      </w:hyperlink>
      <w:r>
        <w:t>. Clock features and elapsed-time labels in the author branch.</w:t>
      </w:r>
    </w:p>
    <w:p>
      <w:pPr>
        <w:pStyle w:val="Source"/>
        <w:keepLines/>
      </w:pPr>
      <w:r>
        <w:t xml:space="preserve">[8] </w:t>
      </w:r>
      <w:hyperlink r:id="rId21">
        <w:r>
          <w:rPr>
            <w:color w:val="184E78"/>
          </w:rPr>
          <w:t>Timing branch UCI wrapper</w:t>
        </w:r>
      </w:hyperlink>
      <w:r>
        <w:t>. Wrapper clock handling at the inspected revision.</w:t>
      </w:r>
    </w:p>
    <w:p>
      <w:pPr>
        <w:pStyle w:val="Source"/>
        <w:keepLines/>
      </w:pPr>
      <w:r>
        <w:t xml:space="preserve">[9] </w:t>
      </w:r>
      <w:hyperlink r:id="rId22">
        <w:r>
          <w:rPr>
            <w:color w:val="184E78"/>
          </w:rPr>
          <w:t>bqrio Maia3 ONNX models</w:t>
        </w:r>
      </w:hyperlink>
      <w:r>
        <w:t>. Community exports, file sizes, history variants, input signatures, and omitted timing head.</w:t>
      </w:r>
    </w:p>
    <w:p>
      <w:pPr>
        <w:pStyle w:val="Source"/>
        <w:keepLines/>
      </w:pPr>
      <w:r>
        <w:t xml:space="preserve">[10] </w:t>
      </w:r>
      <w:hyperlink r:id="rId23">
        <w:r>
          <w:rPr>
            <w:color w:val="184E78"/>
          </w:rPr>
          <w:t>maia3 js integration documentation</w:t>
        </w:r>
      </w:hyperlink>
      <w:r>
        <w:t>. Community JavaScript package, model variants, history support, and export instructions.</w:t>
      </w:r>
    </w:p>
    <w:p>
      <w:pPr>
        <w:pStyle w:val="Source"/>
        <w:keepLines/>
      </w:pPr>
      <w:r>
        <w:t xml:space="preserve">[11] </w:t>
      </w:r>
      <w:hyperlink r:id="rId24">
        <w:r>
          <w:rPr>
            <w:color w:val="184E78"/>
          </w:rPr>
          <w:t>ONNX Runtime Web documentation</w:t>
        </w:r>
      </w:hyperlink>
      <w:r>
        <w:t>. Browser execution options.</w:t>
      </w:r>
      <w:r>
        <w:t xml:space="preserve">  </w:t>
      </w:r>
      <w:hyperlink r:id="rId25">
        <w:r>
          <w:rPr>
            <w:color w:val="184E78"/>
          </w:rPr>
          <w:t>WebGPU guide</w:t>
        </w:r>
      </w:hyperlink>
    </w:p>
    <w:p>
      <w:pPr>
        <w:pStyle w:val="Source"/>
        <w:keepLines/>
      </w:pPr>
      <w:r>
        <w:t xml:space="preserve">[12] </w:t>
      </w:r>
      <w:hyperlink r:id="rId26">
        <w:r>
          <w:rPr>
            <w:color w:val="184E78"/>
          </w:rPr>
          <w:t>0x88 application documentation</w:t>
        </w:r>
      </w:hyperlink>
      <w:r>
        <w:t>. Documented Maia3 browser execution with WebGPU and WebAssembly.</w:t>
      </w:r>
      <w:r>
        <w:t xml:space="preserve">  </w:t>
      </w:r>
      <w:hyperlink r:id="rId27">
        <w:r>
          <w:rPr>
            <w:color w:val="184E78"/>
          </w:rPr>
          <w:t>Play application</w:t>
        </w:r>
      </w:hyperlink>
    </w:p>
    <w:p>
      <w:pPr>
        <w:pStyle w:val="Source"/>
        <w:keepLines/>
      </w:pPr>
      <w:r>
        <w:t xml:space="preserve">[13] </w:t>
      </w:r>
      <w:hyperlink r:id="rId28">
        <w:r>
          <w:rPr>
            <w:color w:val="184E78"/>
          </w:rPr>
          <w:t>Community Maia3 5M Stockfish fine tune</w:t>
        </w:r>
      </w:hyperlink>
      <w:r>
        <w:t>. Example of adapting Maia3 weights; not evidence of personal imitation accuracy.</w:t>
      </w:r>
    </w:p>
    <w:p>
      <w:pPr>
        <w:pStyle w:val="Source"/>
        <w:keepLines/>
      </w:pPr>
      <w:r>
        <w:t xml:space="preserve">[14] </w:t>
      </w:r>
      <w:hyperlink r:id="rId29">
        <w:r>
          <w:rPr>
            <w:color w:val="184E78"/>
          </w:rPr>
          <w:t>Maia4All paper</w:t>
        </w:r>
      </w:hyperlink>
      <w:r>
        <w:t>. Maia2-based personalization with prototype enrichment and player embeddings.</w:t>
      </w:r>
    </w:p>
    <w:p>
      <w:pPr>
        <w:pStyle w:val="Source"/>
        <w:keepLines/>
      </w:pPr>
      <w:r>
        <w:t xml:space="preserve">[15] </w:t>
      </w:r>
      <w:hyperlink r:id="rId30">
        <w:r>
          <w:rPr>
            <w:color w:val="184E78"/>
          </w:rPr>
          <w:t>CSSLab Maia4All repository</w:t>
        </w:r>
      </w:hyperlink>
      <w:r>
        <w:t>. Official project and release status.</w:t>
      </w:r>
    </w:p>
    <w:p>
      <w:pPr>
        <w:pStyle w:val="Source"/>
        <w:keepLines/>
      </w:pPr>
      <w:r>
        <w:t xml:space="preserve">[16] </w:t>
      </w:r>
      <w:hyperlink r:id="rId31">
        <w:r>
          <w:rPr>
            <w:color w:val="184E78"/>
          </w:rPr>
          <w:t>python chess PGN documentation</w:t>
        </w:r>
      </w:hyperlink>
      <w:r>
        <w:t>. Definitions of clock and elapsed-move-time annotations.</w:t>
      </w:r>
    </w:p>
    <w:p>
      <w:pPr>
        <w:pStyle w:val="Source"/>
        <w:keepLines/>
      </w:pPr>
      <w:r>
        <w:t xml:space="preserve">[17] </w:t>
      </w:r>
      <w:hyperlink r:id="rId32">
        <w:r>
          <w:rPr>
            <w:color w:val="184E78"/>
          </w:rPr>
          <w:t>Lichess user game export API</w:t>
        </w:r>
      </w:hyperlink>
      <w:r>
        <w:t>. Game export options, including clock data.</w:t>
      </w:r>
      <w:r>
        <w:t xml:space="preserve">  </w:t>
      </w:r>
      <w:hyperlink r:id="rId33">
        <w:r>
          <w:rPr>
            <w:color w:val="184E78"/>
          </w:rPr>
          <w:t>API specification</w:t>
        </w:r>
      </w:hyperlink>
    </w:p>
    <w:p>
      <w:pPr>
        <w:pStyle w:val="Source"/>
        <w:keepLines/>
      </w:pPr>
      <w:r>
        <w:t xml:space="preserve">[18] </w:t>
      </w:r>
      <w:hyperlink r:id="rId34">
        <w:r>
          <w:rPr>
            <w:color w:val="184E78"/>
          </w:rPr>
          <w:t>Lichess open database</w:t>
        </w:r>
      </w:hyperlink>
      <w:r>
        <w:t>. Public game archives and clock annotation availability.</w:t>
      </w:r>
    </w:p>
    <w:p>
      <w:pPr>
        <w:pStyle w:val="Source"/>
        <w:keepLines/>
      </w:pPr>
      <w:r>
        <w:t xml:space="preserve">[19] </w:t>
      </w:r>
      <w:hyperlink r:id="rId35">
        <w:r>
          <w:rPr>
            <w:color w:val="184E78"/>
          </w:rPr>
          <w:t>Chess com published data API</w:t>
        </w:r>
      </w:hyperlink>
      <w:r>
        <w:t>. Monthly game archives and PGN access.</w:t>
      </w:r>
    </w:p>
    <w:sectPr w:rsidR="00FC693F" w:rsidRPr="0006063C" w:rsidSect="00034616">
      <w:footerReference w:type="default" r:id="rId9"/>
      <w:pgSz w:w="12240" w:h="15840"/>
      <w:pgMar w:top="1037"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Maia3 background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4"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54" w:lineRule="auto"/>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line="254"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80" w:line="254"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line="254" w:lineRule="auto"/>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120"/>
      <w:contextualSpacing/>
    </w:pPr>
    <w:rPr>
      <w:rFonts w:ascii="Arial" w:hAnsi="Arial" w:eastAsia="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4" w:lineRule="auto" w:after="120"/>
      <w:contextualSpacing/>
    </w:pPr>
    <w:rPr>
      <w:rFonts w:ascii="Arial" w:hAnsi="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widowControl/>
      <w:spacing w:line="257" w:lineRule="auto" w:after="120"/>
    </w:pPr>
    <w:rPr>
      <w:rFonts w:ascii="Arial" w:hAnsi="Arial" w:eastAsia="Arial"/>
      <w:b w:val="0"/>
      <w:color w:val="000000"/>
      <w:sz w:val="19"/>
    </w:rPr>
  </w:style>
  <w:style w:type="paragraph" w:customStyle="1" w:styleId="Small">
    <w:name w:val="Small"/>
    <w:basedOn w:val="Normal"/>
    <w:pPr>
      <w:widowControl/>
      <w:spacing w:line="257" w:lineRule="auto" w:after="140"/>
    </w:pPr>
    <w:rPr>
      <w:rFonts w:ascii="Arial" w:hAnsi="Arial" w:eastAsia="Arial"/>
      <w:b w:val="0"/>
      <w:color w:val="000000"/>
      <w:sz w:val="19"/>
    </w:rPr>
  </w:style>
  <w:style w:type="paragraph" w:customStyle="1" w:styleId="TableBody">
    <w:name w:val="Table Body"/>
    <w:basedOn w:val="Normal"/>
    <w:pPr>
      <w:widowControl/>
      <w:spacing w:line="257" w:lineRule="auto" w:after="0"/>
    </w:pPr>
    <w:rPr>
      <w:rFonts w:ascii="Arial" w:hAnsi="Arial" w:eastAsia="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SSLab/maia3" TargetMode="External"/><Relationship Id="rId11" Type="http://schemas.openxmlformats.org/officeDocument/2006/relationships/hyperlink" Target="https://arxiv.org/html/2605.19091v1" TargetMode="External"/><Relationship Id="rId12" Type="http://schemas.openxmlformats.org/officeDocument/2006/relationships/hyperlink" Target="https://github.com/CSSLab/maia-platform-frontend" TargetMode="External"/><Relationship Id="rId13" Type="http://schemas.openxmlformats.org/officeDocument/2006/relationships/hyperlink" Target="https://github.com/CSSLab/maia-platform-frontend/blob/main/src/contexts/MaiaEngineContext.tsx" TargetMode="External"/><Relationship Id="rId14" Type="http://schemas.openxmlformats.org/officeDocument/2006/relationships/hyperlink" Target="https://github.com/CSSLab/maia-platform-frontend/blob/main/public/maia-worker.js" TargetMode="External"/><Relationship Id="rId15" Type="http://schemas.openxmlformats.org/officeDocument/2006/relationships/hyperlink" Target="https://www.maiachess.com/analysis" TargetMode="External"/><Relationship Id="rId16" Type="http://schemas.openxmlformats.org/officeDocument/2006/relationships/hyperlink" Target="https://github.com/CSSLab/maia3/issues/6" TargetMode="External"/><Relationship Id="rId17" Type="http://schemas.openxmlformats.org/officeDocument/2006/relationships/hyperlink" Target="https://huggingface.co/UofTCSSLab/Maia3-23M-ponder" TargetMode="External"/><Relationship Id="rId18" Type="http://schemas.openxmlformats.org/officeDocument/2006/relationships/hyperlink" Target="https://github.com/daniel-monroe/maia3/blob/95c0985aacb62bcaeedc30c3a9bbddfb43f91dd0/maia3/models.py" TargetMode="External"/><Relationship Id="rId19" Type="http://schemas.openxmlformats.org/officeDocument/2006/relationships/hyperlink" Target="https://github.com/daniel-monroe/maia3/blob/rmponder/README.md" TargetMode="External"/><Relationship Id="rId20" Type="http://schemas.openxmlformats.org/officeDocument/2006/relationships/hyperlink" Target="https://github.com/daniel-monroe/maia3/blob/95c0985aacb62bcaeedc30c3a9bbddfb43f91dd0/maia3/dataset.py" TargetMode="External"/><Relationship Id="rId21" Type="http://schemas.openxmlformats.org/officeDocument/2006/relationships/hyperlink" Target="https://github.com/daniel-monroe/maia3/blob/95c0985aacb62bcaeedc30c3a9bbddfb43f91dd0/maia3/uci.py" TargetMode="External"/><Relationship Id="rId22" Type="http://schemas.openxmlformats.org/officeDocument/2006/relationships/hyperlink" Target="https://huggingface.co/bqrio/maia3-onnx" TargetMode="External"/><Relationship Id="rId23" Type="http://schemas.openxmlformats.org/officeDocument/2006/relationships/hyperlink" Target="https://huggingface.co/cemoss17/maia3-onnx/blob/main/README.md" TargetMode="External"/><Relationship Id="rId24" Type="http://schemas.openxmlformats.org/officeDocument/2006/relationships/hyperlink" Target="https://onnxruntime.ai/docs/get-started/with-javascript/web.html" TargetMode="External"/><Relationship Id="rId25" Type="http://schemas.openxmlformats.org/officeDocument/2006/relationships/hyperlink" Target="https://onnxruntime.ai/docs/tutorials/web/ep-webgpu.html" TargetMode="External"/><Relationship Id="rId26" Type="http://schemas.openxmlformats.org/officeDocument/2006/relationships/hyperlink" Target="https://0x88.app/docs/" TargetMode="External"/><Relationship Id="rId27" Type="http://schemas.openxmlformats.org/officeDocument/2006/relationships/hyperlink" Target="https://0x88.app/app/play/" TargetMode="External"/><Relationship Id="rId28" Type="http://schemas.openxmlformats.org/officeDocument/2006/relationships/hyperlink" Target="https://huggingface.co/msulemans/chesslm-maia3-5m-stockfish-200k" TargetMode="External"/><Relationship Id="rId29" Type="http://schemas.openxmlformats.org/officeDocument/2006/relationships/hyperlink" Target="https://arxiv.org/html/2507.21488v1" TargetMode="External"/><Relationship Id="rId30" Type="http://schemas.openxmlformats.org/officeDocument/2006/relationships/hyperlink" Target="https://github.com/CSSLab/maia4all" TargetMode="External"/><Relationship Id="rId31" Type="http://schemas.openxmlformats.org/officeDocument/2006/relationships/hyperlink" Target="https://python-chess.readthedocs.io/en/latest/pgn.html" TargetMode="External"/><Relationship Id="rId32" Type="http://schemas.openxmlformats.org/officeDocument/2006/relationships/hyperlink" Target="https://lichess.org/api#tag/Games/operation/apiGamesUser" TargetMode="External"/><Relationship Id="rId33" Type="http://schemas.openxmlformats.org/officeDocument/2006/relationships/hyperlink" Target="https://github.com/lichess-org/api/blob/master/doc/specs/tags/games/api-games-user-username.yaml" TargetMode="External"/><Relationship Id="rId34" Type="http://schemas.openxmlformats.org/officeDocument/2006/relationships/hyperlink" Target="https://database.lichess.org/" TargetMode="External"/><Relationship Id="rId35" Type="http://schemas.openxmlformats.org/officeDocument/2006/relationships/hyperlink" Target="https://www.chess.com/news/view/published-data-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Maia3 Browser Deployment and Personalization</dc:title>
  <dc:subject>Browser inference, personal fine tuning, time controls, and move duration prediction</dc:subject>
  <dc:creator>OpenAI</dc:creator>
  <cp:keywords>Maia3, chess, browser, ONNX, personalization, time controls, move time</cp:keywords>
  <dc:description>generated by python-docx</dc:description>
  <cp:lastModifiedBy/>
  <cp:revision>1</cp:revision>
  <dcterms:created xsi:type="dcterms:W3CDTF">2013-12-23T23:15:00Z</dcterms:created>
  <dcterms:modified xsi:type="dcterms:W3CDTF">2013-12-23T23:15:00Z</dcterms:modified>
  <cp:category/>
</cp:coreProperties>
</file>