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760" w:line="264"/>
      </w:pPr>
      <w:r>
        <w:rPr>
          <w:b/>
          <w:bCs/>
          <w:i w:val="false"/>
          <w:iCs w:val="false"/>
          <w:color w:val="2E74B5"/>
          <w:sz w:val="22"/>
          <w:szCs w:val="22"/>
          <w:rFonts w:ascii="Calibri" w:cs="Calibri" w:eastAsia="Calibri" w:hAnsi="Calibri"/>
        </w:rPr>
        <w:t xml:space="preserve">INFORME TÉCNICO</w:t>
      </w:r>
    </w:p>
    <w:p>
      <w:pPr>
        <w:spacing w:after="100" w:before="0" w:line="520"/>
      </w:pPr>
      <w:r>
        <w:rPr>
          <w:b/>
          <w:bCs/>
          <w:i w:val="false"/>
          <w:iCs w:val="false"/>
          <w:color w:val="0B2545"/>
          <w:sz w:val="48"/>
          <w:szCs w:val="48"/>
          <w:rFonts w:ascii="Calibri" w:cs="Calibri" w:eastAsia="Calibri" w:hAnsi="Calibri"/>
        </w:rPr>
        <w:t xml:space="preserve">Análisis situacional del Sistema de Segunda Especialidad</w:t>
      </w:r>
    </w:p>
    <w:p>
      <w:pPr>
        <w:spacing w:after="400" w:before="0" w:line="264"/>
      </w:pPr>
      <w:r>
        <w:rPr>
          <w:b w:val="false"/>
          <w:bCs w:val="false"/>
          <w:i w:val="false"/>
          <w:iCs w:val="false"/>
          <w:color w:val="5B6573"/>
          <w:sz w:val="28"/>
          <w:szCs w:val="28"/>
          <w:rFonts w:ascii="Calibri" w:cs="Calibri" w:eastAsia="Calibri" w:hAnsi="Calibri"/>
        </w:rPr>
        <w:t xml:space="preserve">Estado inicial, cambios ejecutados y propuesta de actualización</w:t>
      </w:r>
    </w:p>
    <w:p>
      <w:pPr>
        <w:spacing w:after="60"/>
      </w:pPr>
      <w:r>
        <w:rPr>
          <w:b/>
          <w:bCs/>
          <w:i w:val="false"/>
          <w:iCs w:val="false"/>
          <w:color w:val="0B2545"/>
          <w:sz w:val="21"/>
          <w:szCs w:val="21"/>
          <w:rFonts w:ascii="Calibri" w:cs="Calibri" w:eastAsia="Calibri" w:hAnsi="Calibri"/>
        </w:rPr>
        <w:t xml:space="preserve">Unidad solicitante: </w:t>
      </w:r>
      <w:r>
        <w:rPr>
          <w:b w:val="false"/>
          <w:bCs w:val="false"/>
          <w:i w:val="false"/>
          <w:iCs w:val="false"/>
          <w:color w:val="0B2545"/>
          <w:sz w:val="21"/>
          <w:szCs w:val="21"/>
          <w:rFonts w:ascii="Calibri" w:cs="Calibri" w:eastAsia="Calibri" w:hAnsi="Calibri"/>
        </w:rPr>
        <w:t xml:space="preserve">Unidad de Segunda Especialidad</w:t>
      </w:r>
    </w:p>
    <w:p>
      <w:pPr>
        <w:spacing w:after="60"/>
      </w:pPr>
      <w:r>
        <w:rPr>
          <w:b/>
          <w:bCs/>
          <w:i w:val="false"/>
          <w:iCs w:val="false"/>
          <w:color w:val="0B2545"/>
          <w:sz w:val="21"/>
          <w:szCs w:val="21"/>
          <w:rFonts w:ascii="Calibri" w:cs="Calibri" w:eastAsia="Calibri" w:hAnsi="Calibri"/>
        </w:rPr>
        <w:t xml:space="preserve">Corte de revisión: </w:t>
      </w:r>
      <w:r>
        <w:rPr>
          <w:b w:val="false"/>
          <w:bCs w:val="false"/>
          <w:i w:val="false"/>
          <w:iCs w:val="false"/>
          <w:color w:val="0B2545"/>
          <w:sz w:val="21"/>
          <w:szCs w:val="21"/>
          <w:rFonts w:ascii="Calibri" w:cs="Calibri" w:eastAsia="Calibri" w:hAnsi="Calibri"/>
        </w:rPr>
        <w:t xml:space="preserve">27 de septiembre de 2026</w:t>
      </w:r>
    </w:p>
    <w:p>
      <w:pPr>
        <w:spacing w:after="60"/>
      </w:pPr>
      <w:r>
        <w:rPr>
          <w:b/>
          <w:bCs/>
          <w:i w:val="false"/>
          <w:iCs w:val="false"/>
          <w:color w:val="0B2545"/>
          <w:sz w:val="21"/>
          <w:szCs w:val="21"/>
          <w:rFonts w:ascii="Calibri" w:cs="Calibri" w:eastAsia="Calibri" w:hAnsi="Calibri"/>
        </w:rPr>
        <w:t xml:space="preserve">Base de evidencia: </w:t>
      </w:r>
      <w:r>
        <w:rPr>
          <w:b w:val="false"/>
          <w:bCs w:val="false"/>
          <w:i w:val="false"/>
          <w:iCs w:val="false"/>
          <w:color w:val="0B2545"/>
          <w:sz w:val="21"/>
          <w:szCs w:val="21"/>
          <w:rFonts w:ascii="Calibri" w:cs="Calibri" w:eastAsia="Calibri" w:hAnsi="Calibri"/>
        </w:rPr>
        <w:t xml:space="preserve">Repositorio del proyecto: commit inicial 620b0fe y estado actual ef3cdb1</w:t>
      </w:r>
    </w:p>
    <w:p>
      <w:pPr>
        <w:spacing w:after="60"/>
      </w:pPr>
      <w:r>
        <w:rPr>
          <w:b/>
          <w:bCs/>
          <w:i w:val="false"/>
          <w:iCs w:val="false"/>
          <w:color w:val="0B2545"/>
          <w:sz w:val="21"/>
          <w:szCs w:val="21"/>
          <w:rFonts w:ascii="Calibri" w:cs="Calibri" w:eastAsia="Calibri" w:hAnsi="Calibri"/>
        </w:rPr>
        <w:t xml:space="preserve">Propósito: </w:t>
      </w:r>
      <w:r>
        <w:rPr>
          <w:b w:val="false"/>
          <w:bCs w:val="false"/>
          <w:i w:val="false"/>
          <w:iCs w:val="false"/>
          <w:color w:val="0B2545"/>
          <w:sz w:val="21"/>
          <w:szCs w:val="21"/>
          <w:rFonts w:ascii="Calibri" w:cs="Calibri" w:eastAsia="Calibri" w:hAnsi="Calibri"/>
        </w:rPr>
        <w:t xml:space="preserve">Sustentar la priorización y planificación de la modernización del sistema</w:t>
      </w:r>
    </w:p>
    <w:p>
      <w:pPr>
        <w:spacing w:after="50" w:before="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color w:val="1F4D78"/>
                <w:sz w:val="21"/>
                <w:szCs w:val="21"/>
                <w:rFonts w:ascii="Calibri" w:cs="Calibri" w:eastAsia="Calibri" w:hAnsi="Calibri"/>
              </w:rPr>
              <w:t xml:space="preserve">Conclusión ejecutiva</w:t>
            </w:r>
          </w:p>
          <w:p>
            <w:pPr>
              <w:spacing w:after="0" w:line="25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20"/>
                <w:szCs w:val="20"/>
                <w:rFonts w:ascii="Calibri" w:cs="Calibri" w:eastAsia="Calibri" w:hAnsi="Calibri"/>
              </w:rPr>
              <w:t xml:space="preserve">El sistema ya cubría una operación académica y administrativa amplia, pero el sitio público dependía principalmente de contenido fijo en el código. Los cambios recientes corrigen esa brecha mediante gestión de contenido, admisión y especialidades; el siguiente paso debe consolidar calidad, seguridad, pruebas, operación y una arquitectura sostenible.</w:t>
            </w:r>
          </w:p>
        </w:tc>
      </w:tr>
    </w:tbl>
    <w:p>
      <w:r>
        <w:br w:type="page"/>
      </w:r>
    </w:p>
    <w:p>
      <w:pPr>
        <w:pStyle w:val="Heading1"/>
        <w:keepNext/>
        <w:spacing w:before="320" w:after="160"/>
      </w:pPr>
      <w:r>
        <w:rPr>
          <w:b/>
          <w:bCs/>
          <w:i w:val="false"/>
          <w:iCs w:val="false"/>
          <w:color w:val="2E74B5"/>
          <w:sz w:val="32"/>
          <w:szCs w:val="32"/>
          <w:rFonts w:ascii="Calibri" w:cs="Calibri" w:eastAsia="Calibri" w:hAnsi="Calibri"/>
        </w:rPr>
        <w:t xml:space="preserve">1. Resumen ejecutivo</w:t>
      </w:r>
    </w:p>
    <w:p>
      <w:pPr>
        <w:spacing w:after="120" w:before="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El proyecto integra cuatro componentes: un backend central, una aplicación administrativa, un sitio web público y una intranet. En el estado inicial identificado por el primer commit, el núcleo transaccional ya disponía de módulos para personas, programas, matrícula, pagos, documentos, reportes y seguridad. Sin embargo, la información institucional visible al postulante estaba mayormente incorporada de forma estática en las vistas del sitio público.</w:t>
      </w:r>
    </w:p>
    <w:p>
      <w:pPr>
        <w:spacing w:after="120" w:before="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Entre el estado inicial y el actual se incorporó un módulo de contenido web administrable, endpoints protegidos, tablas y migraciones para contenido institucional, autoridades, admisión y especialidades. Asimismo, se mejoraron flujos de constancias/documentos y reportes vinculados a emisión y pagos. Estos avances reducen la dependencia del equipo técnico para actualizar campañas y contenido académico.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color w:val="1F4D78"/>
                <w:sz w:val="21"/>
                <w:szCs w:val="21"/>
                <w:rFonts w:ascii="Calibri" w:cs="Calibri" w:eastAsia="Calibri" w:hAnsi="Calibri"/>
              </w:rPr>
              <w:t xml:space="preserve">Decisión recomendada</w:t>
            </w:r>
          </w:p>
          <w:p>
            <w:pPr>
              <w:spacing w:after="0" w:line="25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20"/>
                <w:szCs w:val="20"/>
                <w:rFonts w:ascii="Calibri" w:cs="Calibri" w:eastAsia="Calibri" w:hAnsi="Calibri"/>
              </w:rPr>
              <w:t xml:space="preserve">Aprobar un plan por fases: (1) estabilización y aseguramiento; (2) modernización de plataforma y experiencia; (3) integración, analítica y mejora continua. No se recomienda una reescritura total antes de documentar procesos, cubrir pruebas críticas y definir responsables funcionales.</w:t>
            </w:r>
          </w:p>
        </w:tc>
      </w:tr>
    </w:tbl>
    <w:p>
      <w:pPr>
        <w:pStyle w:val="Heading1"/>
        <w:keepNext/>
        <w:spacing w:before="320" w:after="160"/>
      </w:pPr>
      <w:r>
        <w:rPr>
          <w:b/>
          <w:bCs/>
          <w:i w:val="false"/>
          <w:iCs w:val="false"/>
          <w:color w:val="2E74B5"/>
          <w:sz w:val="32"/>
          <w:szCs w:val="32"/>
          <w:rFonts w:ascii="Calibri" w:cs="Calibri" w:eastAsia="Calibri" w:hAnsi="Calibri"/>
        </w:rPr>
        <w:t xml:space="preserve">2. Alcance, método y límites de la revisión</w:t>
      </w:r>
    </w:p>
    <w:p>
      <w:pPr>
        <w:spacing w:after="120" w:before="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Este análisis se elaboró mediante revisión del repositorio compartido, la estructura de aplicaciones, dependencias declaradas, rutas y controladores, y la comparación entre el commit inicial 620b0fe y el commit actual ef3cdb1. La comparación registra 46 archivos modificados o añadidos, con 3,027 inserciones y 1,531 eliminaciones.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Alcance funcional: backend, panel administrativo React, sitio público Vue e intranet Vue.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Alcance temporal: situación inicial representada por el primer commit disponible y cambios registrados en Git hasta el 27/09/2026.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No se realizaron pruebas de carga, pentesting, auditoría de base de datos ni entrevistas con usuarios. Los riesgos operativos requieren validación institucional.</w:t>
      </w:r>
    </w:p>
    <w:p>
      <w:pPr>
        <w:pStyle w:val="Heading1"/>
        <w:keepNext/>
        <w:spacing w:before="320" w:after="160"/>
      </w:pPr>
      <w:r>
        <w:rPr>
          <w:b/>
          <w:bCs/>
          <w:i w:val="false"/>
          <w:iCs w:val="false"/>
          <w:color w:val="2E74B5"/>
          <w:sz w:val="32"/>
          <w:szCs w:val="32"/>
          <w:rFonts w:ascii="Calibri" w:cs="Calibri" w:eastAsia="Calibri" w:hAnsi="Calibri"/>
        </w:rPr>
        <w:t xml:space="preserve">3. Situación inicial del sistema</w:t>
      </w:r>
    </w:p>
    <w:p>
      <w:pPr>
        <w:pStyle w:val="Heading2"/>
        <w:keepNext/>
        <w:spacing w:before="240" w:after="120"/>
      </w:pPr>
      <w:r>
        <w:rPr>
          <w:b/>
          <w:bCs/>
          <w:i w:val="false"/>
          <w:iCs w:val="false"/>
          <w:color w:val="2E74B5"/>
          <w:sz w:val="26"/>
          <w:szCs w:val="26"/>
          <w:rFonts w:ascii="Calibri" w:cs="Calibri" w:eastAsia="Calibri" w:hAnsi="Calibri"/>
        </w:rPr>
        <w:t xml:space="preserve">3.1 Arquitectura y componentes existentes</w:t>
      </w:r>
    </w:p>
    <w:tbl>
      <w:tblPr>
        <w:tblW w:type="dxa" w:w="936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D5DCE3" w:sz="4"/>
          <w:insideV w:val="single" w:color="D5DCE3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0B2545"/>
                <w:sz w:val="19"/>
                <w:szCs w:val="19"/>
                <w:rFonts w:ascii="Calibri" w:cs="Calibri" w:eastAsia="Calibri" w:hAnsi="Calibri"/>
              </w:rPr>
              <w:t xml:space="preserve">Componente</w:t>
            </w:r>
          </w:p>
        </w:tc>
        <w:tc>
          <w:tcPr>
            <w:tcW w:type="dxa" w:w="2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0B2545"/>
                <w:sz w:val="19"/>
                <w:szCs w:val="19"/>
                <w:rFonts w:ascii="Calibri" w:cs="Calibri" w:eastAsia="Calibri" w:hAnsi="Calibri"/>
              </w:rPr>
              <w:t xml:space="preserve">Tecnología identificada</w:t>
            </w:r>
          </w:p>
        </w:tc>
        <w:tc>
          <w:tcPr>
            <w:tcW w:type="dxa" w:w="496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0B2545"/>
                <w:sz w:val="19"/>
                <w:szCs w:val="19"/>
                <w:rFonts w:ascii="Calibri" w:cs="Calibri" w:eastAsia="Calibri" w:hAnsi="Calibri"/>
              </w:rPr>
              <w:t xml:space="preserve">Rol inicial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Backend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Node.js, Express, Sequelize; conectores MySQL/PostgreSQL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API central con dominios de seguridad, personas, programas, contabilidad, matrícula, intranet y web.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Panel administrativo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React 16, React Router 4, Material-UI 4, jQuery/DataTables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Operación de programas, docentes, usuarios, matrícula, notas, pagos, reportes, documentos y catálogos.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Sitio público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Vue 3, Vue Router 4, Vite, Bootstrap 5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Difusión institucional, admisión y presentación de especialidades.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Intranet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Vue 3, Vite, Pinia, DataTables, generación PDF</w:t>
            </w:r>
          </w:p>
        </w:tc>
        <w:tc>
          <w:tcPr>
            <w:tcW w:type="dxa" w:w="4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Acceso y operaciones de usuarios internos/estudiantes según los flujos disponibles.</w:t>
            </w:r>
          </w:p>
        </w:tc>
      </w:tr>
    </w:tbl>
    <w:p>
      <w:pPr>
        <w:spacing w:after="50" w:before="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</w:r>
    </w:p>
    <w:p>
      <w:pPr>
        <w:pStyle w:val="Heading2"/>
        <w:keepNext/>
        <w:spacing w:before="240" w:after="120"/>
      </w:pPr>
      <w:r>
        <w:rPr>
          <w:b/>
          <w:bCs/>
          <w:i w:val="false"/>
          <w:iCs w:val="false"/>
          <w:color w:val="2E74B5"/>
          <w:sz w:val="26"/>
          <w:szCs w:val="26"/>
          <w:rFonts w:ascii="Calibri" w:cs="Calibri" w:eastAsia="Calibri" w:hAnsi="Calibri"/>
        </w:rPr>
        <w:t xml:space="preserve">3.2 Frontend inicial</w:t>
      </w:r>
    </w:p>
    <w:p>
      <w:pPr>
        <w:spacing w:after="120" w:before="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El frontend administrativo ya era funcionalmente amplio y basado en rutas por rol. Concentraba mantenimiento de maestros, programas, planes, costos de admisión, estudiantes, matrícula, pagos, documentos, notas, reportes y seguridad. La separación de roles era un punto de partida valioso para la operación institucional.</w:t>
      </w:r>
    </w:p>
    <w:p>
      <w:pPr>
        <w:spacing w:after="120" w:before="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El sitio público ya contaba con rutas para inicio, nosotros, admisión y tres especialidades. En el estado inicial, títulos, requisitos, cronogramas, textos institucionales y contenido por programa estaban escritos directamente en componentes Vue. Cada actualización de campaña o información académica exigía desarrollo y despliegue.</w:t>
      </w:r>
    </w:p>
    <w:p>
      <w:pPr>
        <w:pStyle w:val="Heading2"/>
        <w:keepNext/>
        <w:spacing w:before="240" w:after="120"/>
      </w:pPr>
      <w:r>
        <w:rPr>
          <w:b/>
          <w:bCs/>
          <w:i w:val="false"/>
          <w:iCs w:val="false"/>
          <w:color w:val="2E74B5"/>
          <w:sz w:val="26"/>
          <w:szCs w:val="26"/>
          <w:rFonts w:ascii="Calibri" w:cs="Calibri" w:eastAsia="Calibri" w:hAnsi="Calibri"/>
        </w:rPr>
        <w:t xml:space="preserve">3.3 Backend inicial</w:t>
      </w:r>
    </w:p>
    <w:p>
      <w:pPr>
        <w:spacing w:after="120" w:before="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El backend exponía una API Express con autenticación para varias rutas internas, persistencia mediante Sequelize y migraciones/seeders segmentados por dominio. En el módulo web inicial se identificaron endpoints públicos de inscripciones, programas y admisiones. No se identificó una capa específica de administración editorial para “Nosotros”, autoridades, admisión o fichas de especialidad.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color w:val="1F4D78"/>
                <w:sz w:val="21"/>
                <w:szCs w:val="21"/>
                <w:rFonts w:ascii="Calibri" w:cs="Calibri" w:eastAsia="Calibri" w:hAnsi="Calibri"/>
              </w:rPr>
              <w:t xml:space="preserve">Diagnóstico de partida</w:t>
            </w:r>
          </w:p>
          <w:p>
            <w:pPr>
              <w:spacing w:after="0" w:line="25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20"/>
                <w:szCs w:val="20"/>
                <w:rFonts w:ascii="Calibri" w:cs="Calibri" w:eastAsia="Calibri" w:hAnsi="Calibri"/>
              </w:rPr>
              <w:t xml:space="preserve">La plataforma resolvía procesos internos relevantes, pero el frente público carecía de un modelo de contenido administrable y de una integración completa entre la información académica vigente y la comunicación al postulante.</w:t>
            </w:r>
          </w:p>
        </w:tc>
      </w:tr>
    </w:tbl>
    <w:p>
      <w:pPr>
        <w:pStyle w:val="Heading1"/>
        <w:keepNext/>
        <w:spacing w:before="320" w:after="160"/>
      </w:pPr>
      <w:r>
        <w:rPr>
          <w:b/>
          <w:bCs/>
          <w:i w:val="false"/>
          <w:iCs w:val="false"/>
          <w:color w:val="2E74B5"/>
          <w:sz w:val="32"/>
          <w:szCs w:val="32"/>
          <w:rFonts w:ascii="Calibri" w:cs="Calibri" w:eastAsia="Calibri" w:hAnsi="Calibri"/>
        </w:rPr>
        <w:t xml:space="preserve">4. Brechas detectadas en la situación inicial</w:t>
      </w:r>
    </w:p>
    <w:tbl>
      <w:tblPr>
        <w:tblW w:type="dxa" w:w="936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D5DCE3" w:sz="4"/>
          <w:insideV w:val="single" w:color="D5DCE3" w:sz="4"/>
        </w:tblBorders>
      </w:tblPr>
      <w:tblGrid>
        <w:gridCol w:w="1700"/>
        <w:gridCol w:w="2600"/>
        <w:gridCol w:w="3400"/>
        <w:gridCol w:w="1660"/>
      </w:tblGrid>
      <w:tr>
        <w:trPr>
          <w:tblHeader/>
        </w:trPr>
        <w:tc>
          <w:tcPr>
            <w:tcW w:type="dxa" w:w="1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0B2545"/>
                <w:sz w:val="19"/>
                <w:szCs w:val="19"/>
                <w:rFonts w:ascii="Calibri" w:cs="Calibri" w:eastAsia="Calibri" w:hAnsi="Calibri"/>
              </w:rPr>
              <w:t xml:space="preserve">Dimensión</w:t>
            </w:r>
          </w:p>
        </w:tc>
        <w:tc>
          <w:tcPr>
            <w:tcW w:type="dxa" w:w="2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0B2545"/>
                <w:sz w:val="19"/>
                <w:szCs w:val="19"/>
                <w:rFonts w:ascii="Calibri" w:cs="Calibri" w:eastAsia="Calibri" w:hAnsi="Calibri"/>
              </w:rPr>
              <w:t xml:space="preserve">Brecha observada</w:t>
            </w:r>
          </w:p>
        </w:tc>
        <w:tc>
          <w:tcPr>
            <w:tcW w:type="dxa" w:w="3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0B2545"/>
                <w:sz w:val="19"/>
                <w:szCs w:val="19"/>
                <w:rFonts w:ascii="Calibri" w:cs="Calibri" w:eastAsia="Calibri" w:hAnsi="Calibri"/>
              </w:rPr>
              <w:t xml:space="preserve">Efecto para la Unidad</w:t>
            </w:r>
          </w:p>
        </w:tc>
        <w:tc>
          <w:tcPr>
            <w:tcW w:type="dxa" w:w="166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0B2545"/>
                <w:sz w:val="19"/>
                <w:szCs w:val="19"/>
                <w:rFonts w:ascii="Calibri" w:cs="Calibri" w:eastAsia="Calibri" w:hAnsi="Calibri"/>
              </w:rPr>
              <w:t xml:space="preserve">Prioridad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Contenido público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Información institucional y de especialidades codificada en vistas.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Actualización lenta; riesgo de desactualización y dependencia técnica.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Alta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Experiencia del postulante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Información dispersa por páginas y sin modelo editorial centralizado.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Mayor esfuerzo para comparar oferta, requisitos, cronogramas y costos.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Alta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Gobierno de datos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Sin evidencia en el módulo web inicial de responsable editorial, publicación o trazabilidad de cambios.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Riesgo de publicar información no validada o difícil de auditar.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Alta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Calidad de software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No se observó suite automatizada de pruebas del backend ni CI/CD versionado.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Cambios con mayor riesgo de regresión.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Alta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Tecnología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Panel React basado en dependencias de 2019 y backend con varias librerías antiguas.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Deuda técnica, compatibilidad y exposición a vulnerabilidades.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Alta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Observabilidad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Se registran accesos, pero no se identificó monitoreo, métricas, alertas ni endpoint de salud.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Detección tardía de fallas en producción.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Media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Documentación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Sin especificación API ni arquitectura operativa integral identificada.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Curva de soporte alta y dependencia de conocimiento tácito.</w:t>
            </w:r>
          </w:p>
        </w:tc>
        <w:tc>
          <w:tcPr>
            <w:tcW w:type="dxa" w:w="1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Media</w:t>
            </w:r>
          </w:p>
        </w:tc>
      </w:tr>
    </w:tbl>
    <w:p>
      <w:pPr>
        <w:spacing w:after="50" w:before="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</w:r>
    </w:p>
    <w:p>
      <w:pPr>
        <w:pStyle w:val="Heading1"/>
        <w:keepNext/>
        <w:spacing w:before="320" w:after="160"/>
      </w:pPr>
      <w:r>
        <w:rPr>
          <w:b/>
          <w:bCs/>
          <w:i w:val="false"/>
          <w:iCs w:val="false"/>
          <w:color w:val="2E74B5"/>
          <w:sz w:val="32"/>
          <w:szCs w:val="32"/>
          <w:rFonts w:ascii="Calibri" w:cs="Calibri" w:eastAsia="Calibri" w:hAnsi="Calibri"/>
        </w:rPr>
        <w:t xml:space="preserve">5. Cambios realizados y aporte al cierre de brechas</w:t>
      </w:r>
    </w:p>
    <w:p>
      <w:pPr>
        <w:spacing w:after="120" w:before="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Los cambios registrados posteriormente se concentran en dos líneas: contenido web administrable y mejoras a procesos documentarios/reportes. El impacto es significativo porque conecta la oferta visible al público con datos que pueden gestionarse desde el panel administrativo.</w:t>
      </w:r>
    </w:p>
    <w:tbl>
      <w:tblPr>
        <w:tblW w:type="dxa" w:w="936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D5DCE3" w:sz="4"/>
          <w:insideV w:val="single" w:color="D5DCE3" w:sz="4"/>
        </w:tblBorders>
      </w:tblPr>
      <w:tblGrid>
        <w:gridCol w:w="1800"/>
        <w:gridCol w:w="3800"/>
        <w:gridCol w:w="4100"/>
      </w:tblGrid>
      <w:tr>
        <w:trPr>
          <w:tblHeader/>
        </w:trPr>
        <w:tc>
          <w:tcPr>
            <w:tcW w:type="dxa" w:w="18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0B2545"/>
                <w:sz w:val="19"/>
                <w:szCs w:val="19"/>
                <w:rFonts w:ascii="Calibri" w:cs="Calibri" w:eastAsia="Calibri" w:hAnsi="Calibri"/>
              </w:rPr>
              <w:t xml:space="preserve">Línea de cambio</w:t>
            </w:r>
          </w:p>
        </w:tc>
        <w:tc>
          <w:tcPr>
            <w:tcW w:type="dxa" w:w="38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0B2545"/>
                <w:sz w:val="19"/>
                <w:szCs w:val="19"/>
                <w:rFonts w:ascii="Calibri" w:cs="Calibri" w:eastAsia="Calibri" w:hAnsi="Calibri"/>
              </w:rPr>
              <w:t xml:space="preserve">Evidencia en el repositorio</w:t>
            </w:r>
          </w:p>
        </w:tc>
        <w:tc>
          <w:tcPr>
            <w:tcW w:type="dxa" w:w="41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0B2545"/>
                <w:sz w:val="19"/>
                <w:szCs w:val="19"/>
                <w:rFonts w:ascii="Calibri" w:cs="Calibri" w:eastAsia="Calibri" w:hAnsi="Calibri"/>
              </w:rPr>
              <w:t xml:space="preserve">Aporte funcional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Módulo editorial web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Nuevas entidades WebContent, WebAuthority, WebAdmission y WebSpecialty; migraciones y datos iniciales.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Persistencia de presentación, misión, visión, autoridades, admisión y especialidades.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API pública y administración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Rutas /api/web/about, /admission y /specialties/:slug; rutas manage protegidas con token.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Consulta pública y mantenimiento autenticado de contenido.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Panel administrativo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Nuevo módulo WebContent y rutas /web-content para perfiles habilitados.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Edición de contenido institucional, autoridades, admisión y fichas sin modificar código.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Sitio público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Vistas Nosotros, Admision y programas reestructuradas; nueva SpecialtyView.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Consumo dinámico de contenido y páginas de especialidad reutilizables.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Proceso documental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Cambios en pagos, libro de documentos, reporte general y tablas de generación/pendientes.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Control de fecha de emisión de constancia académica y soporte a operación documental.</w:t>
            </w:r>
          </w:p>
        </w:tc>
      </w:tr>
    </w:tbl>
    <w:p>
      <w:pPr>
        <w:spacing w:after="50" w:before="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</w:r>
    </w:p>
    <w:p>
      <w:pPr>
        <w:spacing w:after="120" w:before="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La implementación protege las operaciones editoriales con el middleware de autenticación existente y valida, en el controlador de autoridades, tipos de imagen JPG/PNG/WEBP y un límite de 5 MB. Son controles positivos que deben complementarse con políticas y pruebas de seguridad.</w:t>
      </w:r>
    </w:p>
    <w:p>
      <w:pPr>
        <w:pStyle w:val="Heading1"/>
        <w:keepNext/>
        <w:spacing w:before="320" w:after="160"/>
      </w:pPr>
      <w:r>
        <w:rPr>
          <w:b/>
          <w:bCs/>
          <w:i w:val="false"/>
          <w:iCs w:val="false"/>
          <w:color w:val="2E74B5"/>
          <w:sz w:val="32"/>
          <w:szCs w:val="32"/>
          <w:rFonts w:ascii="Calibri" w:cs="Calibri" w:eastAsia="Calibri" w:hAnsi="Calibri"/>
        </w:rPr>
        <w:t xml:space="preserve">6. Estado actual: fortalezas y riesgos residuales</w:t>
      </w:r>
    </w:p>
    <w:p>
      <w:pPr>
        <w:pStyle w:val="Heading2"/>
        <w:keepNext/>
        <w:spacing w:before="240" w:after="120"/>
      </w:pPr>
      <w:r>
        <w:rPr>
          <w:b/>
          <w:bCs/>
          <w:i w:val="false"/>
          <w:iCs w:val="false"/>
          <w:color w:val="2E74B5"/>
          <w:sz w:val="26"/>
          <w:szCs w:val="26"/>
          <w:rFonts w:ascii="Calibri" w:cs="Calibri" w:eastAsia="Calibri" w:hAnsi="Calibri"/>
        </w:rPr>
        <w:t xml:space="preserve">6.1 Fortalezas actuales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Base funcional amplia para administración académica, financiera y documental; no parte de cero.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Separación de aplicaciones por propósito: administración, sitio público, intranet y API.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Contenido web crítico persistente en base de datos y administrable con autenticación.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Fichas de especialidad vinculables a programas, planes, ciclos y cursos.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Uso de migraciones y seeders, que permite reproducir parte de la estructura de datos.</w:t>
      </w:r>
    </w:p>
    <w:p>
      <w:pPr>
        <w:pStyle w:val="Heading2"/>
        <w:keepNext/>
        <w:spacing w:before="240" w:after="120"/>
      </w:pPr>
      <w:r>
        <w:rPr>
          <w:b/>
          <w:bCs/>
          <w:i w:val="false"/>
          <w:iCs w:val="false"/>
          <w:color w:val="2E74B5"/>
          <w:sz w:val="26"/>
          <w:szCs w:val="26"/>
          <w:rFonts w:ascii="Calibri" w:cs="Calibri" w:eastAsia="Calibri" w:hAnsi="Calibri"/>
        </w:rPr>
        <w:t xml:space="preserve">6.2 Riesgos y deuda técnica a tratar</w:t>
      </w:r>
    </w:p>
    <w:tbl>
      <w:tblPr>
        <w:tblW w:type="dxa" w:w="936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D5DCE3" w:sz="4"/>
          <w:insideV w:val="single" w:color="D5DCE3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0B2545"/>
                <w:sz w:val="19"/>
                <w:szCs w:val="19"/>
                <w:rFonts w:ascii="Calibri" w:cs="Calibri" w:eastAsia="Calibri" w:hAnsi="Calibri"/>
              </w:rPr>
              <w:t xml:space="preserve">Riesgo</w:t>
            </w:r>
          </w:p>
        </w:tc>
        <w:tc>
          <w:tcPr>
            <w:tcW w:type="dxa" w:w="3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0B2545"/>
                <w:sz w:val="19"/>
                <w:szCs w:val="19"/>
                <w:rFonts w:ascii="Calibri" w:cs="Calibri" w:eastAsia="Calibri" w:hAnsi="Calibri"/>
              </w:rPr>
              <w:t xml:space="preserve">Lectura técnica</w:t>
            </w:r>
          </w:p>
        </w:tc>
        <w:tc>
          <w:tcPr>
            <w:tcW w:type="dxa" w:w="396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0B2545"/>
                <w:sz w:val="19"/>
                <w:szCs w:val="19"/>
                <w:rFonts w:ascii="Calibri" w:cs="Calibri" w:eastAsia="Calibri" w:hAnsi="Calibri"/>
              </w:rPr>
              <w:t xml:space="preserve">Tratamiento recomendado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Dependencias obsoletas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Panel React usa React 16/react-scripts 3; backend conserva paquetes antiguos.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Inventario SBOM, auditoría de vulnerabilidades y actualización incremental.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Cobertura de pruebas insuficiente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No se evidenció prueba automatizada del backend; intranet contiene una prueba de componente de ejemplo.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Pruebas unitarias, integración y E2E de procesos críticos.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Validación y autorización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Controles básicos; faltan evidencias de permisos granulares, auditoría editorial y rate limiting.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Formalizar RBAC, auditoría, validación por esquema y protección antiabuso.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Operación y despliegue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Scripts por entorno, sin pipeline CI/CD versionado identificado.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Estandarizar ambientes, secretos, backup/restore, despliegue y rollback.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Mantenibilidad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Coexisten estilos y generaciones tecnológicas distintas; hay archivos de copia/legado.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Definir arquitectura objetivo, retiro de legado y convenciones.</w:t>
            </w:r>
          </w:p>
        </w:tc>
      </w:tr>
    </w:tbl>
    <w:p>
      <w:pPr>
        <w:spacing w:after="50" w:before="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</w:r>
    </w:p>
    <w:p>
      <w:pPr>
        <w:pStyle w:val="Heading1"/>
        <w:keepNext/>
        <w:spacing w:before="320" w:after="160"/>
      </w:pPr>
      <w:r>
        <w:rPr>
          <w:b/>
          <w:bCs/>
          <w:i w:val="false"/>
          <w:iCs w:val="false"/>
          <w:color w:val="2E74B5"/>
          <w:sz w:val="32"/>
          <w:szCs w:val="32"/>
          <w:rFonts w:ascii="Calibri" w:cs="Calibri" w:eastAsia="Calibri" w:hAnsi="Calibri"/>
        </w:rPr>
        <w:t xml:space="preserve">7. Qué falta agregar para una plataforma actualizable</w:t>
      </w:r>
    </w:p>
    <w:p>
      <w:pPr>
        <w:pStyle w:val="Heading2"/>
        <w:keepNext/>
        <w:spacing w:before="240" w:after="120"/>
      </w:pPr>
      <w:r>
        <w:rPr>
          <w:b/>
          <w:bCs/>
          <w:i w:val="false"/>
          <w:iCs w:val="false"/>
          <w:color w:val="2E74B5"/>
          <w:sz w:val="26"/>
          <w:szCs w:val="26"/>
          <w:rFonts w:ascii="Calibri" w:cs="Calibri" w:eastAsia="Calibri" w:hAnsi="Calibri"/>
        </w:rPr>
        <w:t xml:space="preserve">7.1 Capacidades funcionales prioritarias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Flujo integral de admisión: postulación, carga documental, validación, pago, evaluación, resultado, matrícula y notificaciones con estado trazable.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Gestión editorial con ciclo de vida: borrador, revisión, aprobación, publicación, vigencia y reversión; con responsables académico y de comunicaciones.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Portal de postulante/estudiante: estado, requisitos pendientes, pagos, constancias, matrícula, notas y comunicaciones en una experiencia coherente.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Notificaciones multicanal con plantillas y consentimiento: correo institucional, mensajería autorizada y avisos dentro del portal.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Indicadores: embudo de admisión, conversión por especialidad, tiempos de atención, deuda documental, pagos y emisión de documentos.</w:t>
      </w:r>
    </w:p>
    <w:p>
      <w:pPr>
        <w:pStyle w:val="Heading2"/>
        <w:keepNext/>
        <w:spacing w:before="240" w:after="120"/>
      </w:pPr>
      <w:r>
        <w:rPr>
          <w:b/>
          <w:bCs/>
          <w:i w:val="false"/>
          <w:iCs w:val="false"/>
          <w:color w:val="2E74B5"/>
          <w:sz w:val="26"/>
          <w:szCs w:val="26"/>
          <w:rFonts w:ascii="Calibri" w:cs="Calibri" w:eastAsia="Calibri" w:hAnsi="Calibri"/>
        </w:rPr>
        <w:t xml:space="preserve">7.2 Capacidades no funcionales imprescindibles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Matriz de roles y privilegios revisada; mínimo privilegio y auditoría de acciones sensibles.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Backups verificados, plan de recuperación y políticas de retención para documentos y datos personales.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Catálogo y contrato de API (OpenAPI), versionado de endpoints y manejo consistente de errores.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Monitoreo de disponibilidad, errores, capacidad y eventos de seguridad; alertas con responsables.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Accesibilidad, diseño responsive, rendimiento y SEO para el sitio público.</w:t>
      </w:r>
    </w:p>
    <w:p>
      <w:pPr>
        <w:pStyle w:val="ListParagraph"/>
        <w:numPr>
          <w:ilvl w:val="0"/>
          <w:numId w:val="1"/>
        </w:numPr>
        <w:spacing w:after="8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Automatización de lint, pruebas, análisis de dependencias y despliegue controlado.</w:t>
      </w:r>
    </w:p>
    <w:p>
      <w:pPr>
        <w:pStyle w:val="Heading1"/>
        <w:keepNext/>
        <w:spacing w:before="320" w:after="160"/>
      </w:pPr>
      <w:r>
        <w:rPr>
          <w:b/>
          <w:bCs/>
          <w:i w:val="false"/>
          <w:iCs w:val="false"/>
          <w:color w:val="2E74B5"/>
          <w:sz w:val="32"/>
          <w:szCs w:val="32"/>
          <w:rFonts w:ascii="Calibri" w:cs="Calibri" w:eastAsia="Calibri" w:hAnsi="Calibri"/>
        </w:rPr>
        <w:t xml:space="preserve">8. Plan de actualización propuesto</w:t>
      </w:r>
    </w:p>
    <w:tbl>
      <w:tblPr>
        <w:tblW w:type="dxa" w:w="936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D5DCE3" w:sz="4"/>
          <w:insideV w:val="single" w:color="D5DCE3" w:sz="4"/>
        </w:tblBorders>
      </w:tblPr>
      <w:tblGrid>
        <w:gridCol w:w="1450"/>
        <w:gridCol w:w="1250"/>
        <w:gridCol w:w="2600"/>
        <w:gridCol w:w="4060"/>
      </w:tblGrid>
      <w:tr>
        <w:trPr>
          <w:tblHeader/>
        </w:trPr>
        <w:tc>
          <w:tcPr>
            <w:tcW w:type="dxa" w:w="14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0B2545"/>
                <w:sz w:val="19"/>
                <w:szCs w:val="19"/>
                <w:rFonts w:ascii="Calibri" w:cs="Calibri" w:eastAsia="Calibri" w:hAnsi="Calibri"/>
              </w:rPr>
              <w:t xml:space="preserve">Fase</w:t>
            </w:r>
          </w:p>
        </w:tc>
        <w:tc>
          <w:tcPr>
            <w:tcW w:type="dxa" w:w="12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0B2545"/>
                <w:sz w:val="19"/>
                <w:szCs w:val="19"/>
                <w:rFonts w:ascii="Calibri" w:cs="Calibri" w:eastAsia="Calibri" w:hAnsi="Calibri"/>
              </w:rPr>
              <w:t xml:space="preserve">Horizonte</w:t>
            </w:r>
          </w:p>
        </w:tc>
        <w:tc>
          <w:tcPr>
            <w:tcW w:type="dxa" w:w="2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0B2545"/>
                <w:sz w:val="19"/>
                <w:szCs w:val="19"/>
                <w:rFonts w:ascii="Calibri" w:cs="Calibri" w:eastAsia="Calibri" w:hAnsi="Calibri"/>
              </w:rPr>
              <w:t xml:space="preserve">Objetivo</w:t>
            </w:r>
          </w:p>
        </w:tc>
        <w:tc>
          <w:tcPr>
            <w:tcW w:type="dxa" w:w="406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0B2545"/>
                <w:sz w:val="19"/>
                <w:szCs w:val="19"/>
                <w:rFonts w:ascii="Calibri" w:cs="Calibri" w:eastAsia="Calibri" w:hAnsi="Calibri"/>
              </w:rPr>
              <w:t xml:space="preserve">Entregables verificables</w:t>
            </w:r>
          </w:p>
        </w:tc>
      </w:tr>
      <w:tr>
        <w:tc>
          <w:tcPr>
            <w:tcW w:type="dxa" w:w="14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0. Gobierno y diagnóstico</w:t>
            </w:r>
          </w:p>
        </w:tc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0-4 semanas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Alinear procesos, datos, responsables y alcance.</w:t>
            </w:r>
          </w:p>
        </w:tc>
        <w:tc>
          <w:tcPr>
            <w:tcW w:type="dxa" w:w="4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Mapa de procesos; inventario de datos/APIs; matriz RACI; registro de riesgos; línea base de indicadores.</w:t>
            </w:r>
          </w:p>
        </w:tc>
      </w:tr>
      <w:tr>
        <w:tc>
          <w:tcPr>
            <w:tcW w:type="dxa" w:w="14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1. Estabilización</w:t>
            </w:r>
          </w:p>
        </w:tc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1-3 meses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Reducir riesgos sin interrumpir operación.</w:t>
            </w:r>
          </w:p>
        </w:tc>
        <w:tc>
          <w:tcPr>
            <w:tcW w:type="dxa" w:w="4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Backups probados; ambientes definidos; CI mínimo; pruebas de admisión/pagos/documentos; auditoría de dependencias; monitoreo básico.</w:t>
            </w:r>
          </w:p>
        </w:tc>
      </w:tr>
      <w:tr>
        <w:tc>
          <w:tcPr>
            <w:tcW w:type="dxa" w:w="14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2. Experiencia e integración</w:t>
            </w:r>
          </w:p>
        </w:tc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3-6 meses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Unificar recorrido de postulante y gobernar contenido.</w:t>
            </w:r>
          </w:p>
        </w:tc>
        <w:tc>
          <w:tcPr>
            <w:tcW w:type="dxa" w:w="4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Portal priorizado; workflow editorial; notificaciones; API documentada; accesibilidad y responsive.</w:t>
            </w:r>
          </w:p>
        </w:tc>
      </w:tr>
      <w:tr>
        <w:tc>
          <w:tcPr>
            <w:tcW w:type="dxa" w:w="14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3. Modernización progresiva</w:t>
            </w:r>
          </w:p>
        </w:tc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6-12 meses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Renovar componentes de mayor riesgo y habilitar decisiones con datos.</w:t>
            </w:r>
          </w:p>
        </w:tc>
        <w:tc>
          <w:tcPr>
            <w:tcW w:type="dxa" w:w="4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Hoja de migración React/backend; observabilidad completa; dashboard; retirada controlada de legado.</w:t>
            </w:r>
          </w:p>
        </w:tc>
      </w:tr>
      <w:tr>
        <w:tc>
          <w:tcPr>
            <w:tcW w:type="dxa" w:w="14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4. Mejora continua</w:t>
            </w:r>
          </w:p>
        </w:tc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Permanente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Sostener seguridad, calidad y evolución funcional.</w:t>
            </w:r>
          </w:p>
        </w:tc>
        <w:tc>
          <w:tcPr>
            <w:tcW w:type="dxa" w:w="40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Comité mensual; SLA; tablero de calidad; pruebas recurrentes; backlog trimestral.</w:t>
            </w:r>
          </w:p>
        </w:tc>
      </w:tr>
    </w:tbl>
    <w:p>
      <w:pPr>
        <w:spacing w:after="50" w:before="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color w:val="1F4D78"/>
                <w:sz w:val="21"/>
                <w:szCs w:val="21"/>
                <w:rFonts w:ascii="Calibri" w:cs="Calibri" w:eastAsia="Calibri" w:hAnsi="Calibri"/>
              </w:rPr>
              <w:t xml:space="preserve">Criterio de priorización</w:t>
            </w:r>
          </w:p>
          <w:p>
            <w:pPr>
              <w:spacing w:after="0" w:line="25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20"/>
                <w:szCs w:val="20"/>
                <w:rFonts w:ascii="Calibri" w:cs="Calibri" w:eastAsia="Calibri" w:hAnsi="Calibri"/>
              </w:rPr>
              <w:t xml:space="preserve">Priorizar por impacto institucional, riesgo de continuidad, obligación normativa, volumen de usuarios y dependencia técnica. Cada iniciativa debe tener dueño funcional, dueño técnico, costo estimado, indicador de éxito y plan de reversión.</w:t>
            </w:r>
          </w:p>
        </w:tc>
      </w:tr>
    </w:tbl>
    <w:p>
      <w:pPr>
        <w:pStyle w:val="Heading1"/>
        <w:keepNext/>
        <w:spacing w:before="320" w:after="160"/>
      </w:pPr>
      <w:r>
        <w:rPr>
          <w:b/>
          <w:bCs/>
          <w:i w:val="false"/>
          <w:iCs w:val="false"/>
          <w:color w:val="2E74B5"/>
          <w:sz w:val="32"/>
          <w:szCs w:val="32"/>
          <w:rFonts w:ascii="Calibri" w:cs="Calibri" w:eastAsia="Calibri" w:hAnsi="Calibri"/>
        </w:rPr>
        <w:t xml:space="preserve">9. Indicadores de seguimiento sugeridos</w:t>
      </w:r>
    </w:p>
    <w:tbl>
      <w:tblPr>
        <w:tblW w:type="dxa" w:w="936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D5DCE3" w:sz="4"/>
          <w:insideV w:val="single" w:color="D5DCE3" w:sz="4"/>
        </w:tblBorders>
      </w:tblPr>
      <w:tblGrid>
        <w:gridCol w:w="1900"/>
        <w:gridCol w:w="3100"/>
        <w:gridCol w:w="2900"/>
        <w:gridCol w:w="1460"/>
      </w:tblGrid>
      <w:tr>
        <w:trPr>
          <w:tblHeader/>
        </w:trPr>
        <w:tc>
          <w:tcPr>
            <w:tcW w:type="dxa" w:w="1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0B2545"/>
                <w:sz w:val="19"/>
                <w:szCs w:val="19"/>
                <w:rFonts w:ascii="Calibri" w:cs="Calibri" w:eastAsia="Calibri" w:hAnsi="Calibri"/>
              </w:rPr>
              <w:t xml:space="preserve">Objetivo</w:t>
            </w:r>
          </w:p>
        </w:tc>
        <w:tc>
          <w:tcPr>
            <w:tcW w:type="dxa" w:w="31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0B2545"/>
                <w:sz w:val="19"/>
                <w:szCs w:val="19"/>
                <w:rFonts w:ascii="Calibri" w:cs="Calibri" w:eastAsia="Calibri" w:hAnsi="Calibri"/>
              </w:rPr>
              <w:t xml:space="preserve">Indicador</w:t>
            </w:r>
          </w:p>
        </w:tc>
        <w:tc>
          <w:tcPr>
            <w:tcW w:type="dxa" w:w="2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0B2545"/>
                <w:sz w:val="19"/>
                <w:szCs w:val="19"/>
                <w:rFonts w:ascii="Calibri" w:cs="Calibri" w:eastAsia="Calibri" w:hAnsi="Calibri"/>
              </w:rPr>
              <w:t xml:space="preserve">Meta inicial sugerida</w:t>
            </w:r>
          </w:p>
        </w:tc>
        <w:tc>
          <w:tcPr>
            <w:tcW w:type="dxa" w:w="146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0B2545"/>
                <w:sz w:val="19"/>
                <w:szCs w:val="19"/>
                <w:rFonts w:ascii="Calibri" w:cs="Calibri" w:eastAsia="Calibri" w:hAnsi="Calibri"/>
              </w:rPr>
              <w:t xml:space="preserve">Frecuencia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Admisión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% de postulantes que completan el flujo sin atención manual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Establecer línea base y mejorar 15% en 6 meses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Mensual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Atención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Tiempo medio de respuesta a consultas/documentos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Reducir respecto a línea base acordada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Mensual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Calidad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% de flujos críticos con pruebas automatizadas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&gt;= 70% en admisión, pagos y documentos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Por release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Disponibilidad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Disponibilidad de API y portal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&gt;= 99.5%, excluyendo mantenimiento planificado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Mensual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Seguridad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Vulnerabilidades críticas abiertas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0 antes de producción; altas con SLA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Semanal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Contenido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% de páginas clave revisadas dentro de su vigencia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&gt;= 95%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Mensual</w:t>
            </w:r>
          </w:p>
        </w:tc>
      </w:tr>
    </w:tbl>
    <w:p>
      <w:pPr>
        <w:spacing w:after="50" w:before="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</w:r>
    </w:p>
    <w:p>
      <w:pPr>
        <w:pStyle w:val="Heading1"/>
        <w:keepNext/>
        <w:spacing w:before="320" w:after="160"/>
      </w:pPr>
      <w:r>
        <w:rPr>
          <w:b/>
          <w:bCs/>
          <w:i w:val="false"/>
          <w:iCs w:val="false"/>
          <w:color w:val="2E74B5"/>
          <w:sz w:val="32"/>
          <w:szCs w:val="32"/>
          <w:rFonts w:ascii="Calibri" w:cs="Calibri" w:eastAsia="Calibri" w:hAnsi="Calibri"/>
        </w:rPr>
        <w:t xml:space="preserve">10. Modelo de gobierno recomendado</w:t>
      </w:r>
    </w:p>
    <w:p>
      <w:pPr>
        <w:spacing w:after="120" w:before="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La actualización debe tratarse como programa institucional y no solamente como proyecto de desarrollo. La Unidad de Segunda Especialidad debe liderar la definición del proceso y la validación del contenido; TI debe asegurar arquitectura, seguridad, disponibilidad y mantenimiento; y las áreas académica, contable y de comunicaciones deben participar como dueñas de datos y reglas operativas.</w:t>
      </w:r>
    </w:p>
    <w:tbl>
      <w:tblPr>
        <w:tblW w:type="dxa" w:w="9360"/>
        <w:tblBorders>
          <w:top w:val="single" w:color="B8C2CC" w:sz="4"/>
          <w:left w:val="single" w:color="B8C2CC" w:sz="4"/>
          <w:bottom w:val="single" w:color="B8C2CC" w:sz="4"/>
          <w:right w:val="single" w:color="B8C2CC" w:sz="4"/>
          <w:insideH w:val="single" w:color="D5DCE3" w:sz="4"/>
          <w:insideV w:val="single" w:color="D5DCE3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0B2545"/>
                <w:sz w:val="19"/>
                <w:szCs w:val="19"/>
                <w:rFonts w:ascii="Calibri" w:cs="Calibri" w:eastAsia="Calibri" w:hAnsi="Calibri"/>
              </w:rPr>
              <w:t xml:space="preserve">Rol</w:t>
            </w:r>
          </w:p>
        </w:tc>
        <w:tc>
          <w:tcPr>
            <w:tcW w:type="dxa" w:w="666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i w:val="false"/>
                <w:iCs w:val="false"/>
                <w:color w:val="0B2545"/>
                <w:sz w:val="19"/>
                <w:szCs w:val="19"/>
                <w:rFonts w:ascii="Calibri" w:cs="Calibri" w:eastAsia="Calibri" w:hAnsi="Calibri"/>
              </w:rPr>
              <w:t xml:space="preserve">Responsabilidad principal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Patrocinador institucional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Aprueba prioridades, recursos, riesgos y decisiones de alcance.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Dueño funcional - Segunda Especialidad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Valida procesos, reglas de negocio, contenido académico y aceptación funcional.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Responsable técnico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Define arquitectura, calidad, seguridad, despliegue y continuidad.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Equipo editorial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Mantiene contenido de admisión, autoridades, especialidades y campañas bajo workflow.</w:t>
            </w:r>
          </w:p>
        </w:tc>
      </w:tr>
      <w:t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Usuarios clave</w:t>
            </w:r>
          </w:p>
        </w:tc>
        <w:tc>
          <w:tcPr>
            <w:tcW w:type="dxa" w:w="6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18"/>
                <w:szCs w:val="18"/>
                <w:rFonts w:ascii="Calibri" w:cs="Calibri" w:eastAsia="Calibri" w:hAnsi="Calibri"/>
              </w:rPr>
              <w:t xml:space="preserve">Prueban escenarios reales, reportan incidencias y validan resultados por proceso.</w:t>
            </w:r>
          </w:p>
        </w:tc>
      </w:tr>
    </w:tbl>
    <w:p>
      <w:pPr>
        <w:spacing w:after="50" w:before="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</w:r>
    </w:p>
    <w:p>
      <w:pPr>
        <w:pStyle w:val="Heading1"/>
        <w:keepNext/>
        <w:spacing w:before="320" w:after="160"/>
      </w:pPr>
      <w:r>
        <w:rPr>
          <w:b/>
          <w:bCs/>
          <w:i w:val="false"/>
          <w:iCs w:val="false"/>
          <w:color w:val="2E74B5"/>
          <w:sz w:val="32"/>
          <w:szCs w:val="32"/>
          <w:rFonts w:ascii="Calibri" w:cs="Calibri" w:eastAsia="Calibri" w:hAnsi="Calibri"/>
        </w:rPr>
        <w:t xml:space="preserve">11. Recomendación final</w:t>
      </w:r>
    </w:p>
    <w:p>
      <w:pPr>
        <w:spacing w:after="120" w:before="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El sistema tiene una base funcional valiosa que conviene evolucionar, no reemplazar de manera inmediata. Los cambios recientes demuestran una dirección adecuada: desacoplar el contenido público del código y conectarlo con la información académica. Para que ese avance sea sostenible, el plan debe concentrarse primero en calidad, seguridad, continuidad y gobierno; luego, en la experiencia integrada de postulantes y estudiantes; finalmente, en la modernización tecnológica progresiva.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6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color w:val="1F4D78"/>
                <w:sz w:val="21"/>
                <w:szCs w:val="21"/>
                <w:rFonts w:ascii="Calibri" w:cs="Calibri" w:eastAsia="Calibri" w:hAnsi="Calibri"/>
              </w:rPr>
              <w:t xml:space="preserve">Próximo acuerdo propuesto</w:t>
            </w:r>
          </w:p>
          <w:p>
            <w:pPr>
              <w:spacing w:after="0" w:line="250"/>
            </w:pPr>
            <w:r>
              <w:rPr>
                <w:b w:val="false"/>
                <w:bCs w:val="false"/>
                <w:i w:val="false"/>
                <w:iCs w:val="false"/>
                <w:color w:val="0B2545"/>
                <w:sz w:val="20"/>
                <w:szCs w:val="20"/>
                <w:rFonts w:ascii="Calibri" w:cs="Calibri" w:eastAsia="Calibri" w:hAnsi="Calibri"/>
              </w:rPr>
              <w:t xml:space="preserve">En una sesión de trabajo de 90 minutos, validar este diagnóstico, nombrar dueños funcionales y técnicos, seleccionar cinco flujos críticos y aprobar la Fase 0. El resultado debe ser un backlog priorizado, con responsables, hitos y métricas de éxito.</w:t>
            </w:r>
          </w:p>
        </w:tc>
      </w:tr>
    </w:tbl>
    <w:p>
      <w:pPr>
        <w:pStyle w:val="Heading1"/>
        <w:keepNext/>
        <w:spacing w:before="320" w:after="160"/>
      </w:pPr>
      <w:r>
        <w:rPr>
          <w:b/>
          <w:bCs/>
          <w:i w:val="false"/>
          <w:iCs w:val="false"/>
          <w:color w:val="2E74B5"/>
          <w:sz w:val="32"/>
          <w:szCs w:val="32"/>
          <w:rFonts w:ascii="Calibri" w:cs="Calibri" w:eastAsia="Calibri" w:hAnsi="Calibri"/>
        </w:rPr>
        <w:t xml:space="preserve">Anexo A. Trazabilidad de la evidencia revisada</w:t>
      </w:r>
    </w:p>
    <w:p>
      <w:pPr>
        <w:spacing w:after="120" w:before="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Cambios contrastados entre el commit inicial 620b0fe (“Primer commit”) y el commit ef3cdb1 (“pc”). Se revisaron package.json de las cuatro aplicaciones; app.js y rutas/controladores web del backend; rutas del panel administrativo; router y vistas del sitio público; migraciones y modelos del módulo web; y el historial Git disponible.</w:t>
      </w:r>
    </w:p>
    <w:p>
      <w:pPr>
        <w:spacing w:after="120" w:before="0" w:line="264"/>
      </w:pPr>
      <w:r>
        <w:rPr>
          <w:b w:val="false"/>
          <w:bCs w:val="false"/>
          <w:i w:val="false"/>
          <w:iCs w:val="false"/>
          <w:color w:val="0B2545"/>
          <w:sz w:val="22"/>
          <w:szCs w:val="22"/>
          <w:rFonts w:ascii="Calibri" w:cs="Calibri" w:eastAsia="Calibri" w:hAnsi="Calibri"/>
        </w:rPr>
        <w:t xml:space="preserve">Este informe debe actualizarse luego de entrevistas con usuarios, revisión de infraestructura y validación de requisitos normativos y de protección de datos aplicables.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b w:val="false"/>
        <w:bCs w:val="false"/>
        <w:i w:val="false"/>
        <w:iCs w:val="false"/>
        <w:color w:val="5B6573"/>
        <w:sz w:val="16"/>
        <w:szCs w:val="16"/>
        <w:rFonts w:ascii="Calibri" w:cs="Calibri" w:eastAsia="Calibri" w:hAnsi="Calibri"/>
      </w:rPr>
      <w:t xml:space="preserve">Documento de trabajo para planificación de actualización | 27 de septiembre de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 w:val="false"/>
        <w:bCs w:val="false"/>
        <w:i w:val="false"/>
        <w:iCs w:val="false"/>
        <w:color w:val="5B6573"/>
        <w:sz w:val="17"/>
        <w:szCs w:val="17"/>
        <w:rFonts w:ascii="Calibri" w:cs="Calibri" w:eastAsia="Calibri" w:hAnsi="Calibri"/>
      </w:rPr>
      <w:t xml:space="preserve">UNIDAD DE SEGUNDA ESPECIALIDAD | ANÁLISIS SITUACIONAL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situacional del Sistema de Segunda Especialidad</dc:title>
  <dc:creator>Unidad de Segunda Especialidad</dc:creator>
  <dc:description>Estado inicial, cambios ejecutados y plan de actualización</dc:description>
  <cp:lastModifiedBy>Un-named</cp:lastModifiedBy>
  <cp:revision>1</cp:revision>
  <dcterms:created xsi:type="dcterms:W3CDTF">2026-09-27T18:47:28.564Z</dcterms:created>
  <dcterms:modified xsi:type="dcterms:W3CDTF">2026-09-27T18:47:28.564Z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