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毕业设计选题与实施方案</w:t>
      </w:r>
    </w:p>
    <w:p>
      <w:pPr>
        <w:spacing w:after="100"/>
      </w:pPr>
      <w:r>
        <w:rPr>
          <w:rFonts w:ascii="Microsoft YaHei" w:hAnsi="Microsoft YaHei" w:eastAsia="微软雅黑"/>
          <w:color w:val="000000"/>
          <w:sz w:val="18"/>
        </w:rPr>
        <w:t>方案版本 1.3　　更新日期 2026年10月22日</w:t>
      </w:r>
    </w:p>
    <w:p>
      <w:pPr>
        <w:pStyle w:val="Heading1"/>
      </w:pPr>
      <w:r>
        <w:t>论文题目与类型</w:t>
      </w:r>
    </w:p>
    <w:p>
      <w:pPr>
        <w:spacing w:after="80"/>
      </w:pPr>
      <w:r>
        <w:rPr>
          <w:rFonts w:ascii="Microsoft YaHei" w:hAnsi="Microsoft YaHei" w:eastAsia="微软雅黑"/>
          <w:b/>
          <w:color w:val="000000"/>
          <w:sz w:val="22"/>
        </w:rPr>
        <w:t>面向大模型分类应用的退化诊断与回归测试系统的设计与实现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论文类型：应用开发类／软件系统设计与实现类，具体登记名称以学院要求为准。交付功能完整、可部署的中文 Web 系统及论文；当前为设计方案。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模型更新后，平均准确率提高仍可能伴随部分“旧版正确、新版错误”的负向翻转，已有研究讨论该现象[1]。本系统面向固定标签文本分类和意图识别应用，帮助开发者定位退化并保存后续版本可重复执行的测试。</w:t>
      </w:r>
    </w:p>
    <w:p>
      <w:pPr>
        <w:pStyle w:val="Heading1"/>
      </w:pPr>
      <w:r>
        <w:t>成品功能与使用流程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</w:r>
      <w:r>
        <w:rPr>
          <w:rFonts w:ascii="Microsoft YaHei" w:hAnsi="Microsoft YaHei" w:eastAsia="微软雅黑"/>
          <w:b/>
          <w:color w:val="000000"/>
        </w:rPr>
        <w:t>数据与版本管理：</w:t>
      </w:r>
      <w:r>
        <w:rPr>
          <w:rFonts w:ascii="Microsoft YaHei" w:hAnsi="Microsoft YaHei" w:eastAsia="微软雅黑"/>
          <w:color w:val="000000"/>
        </w:rPr>
        <w:t>导入公开金标准、模型信息和真实预测，保存数据、权重、提示词及推理配置指纹。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</w:r>
      <w:r>
        <w:rPr>
          <w:rFonts w:ascii="Microsoft YaHei" w:hAnsi="Microsoft YaHei" w:eastAsia="微软雅黑"/>
          <w:b/>
          <w:color w:val="000000"/>
        </w:rPr>
        <w:t>模型运行与对比：</w:t>
      </w:r>
      <w:r>
        <w:rPr>
          <w:rFonts w:ascii="Microsoft YaHei" w:hAnsi="Microsoft YaHei" w:eastAsia="微软雅黑"/>
          <w:color w:val="000000"/>
        </w:rPr>
        <w:t>调用本地 Ollama 已安装模型或导入预测，展示准确率、macro-F1、负向翻转及失败。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</w:r>
      <w:r>
        <w:rPr>
          <w:rFonts w:ascii="Microsoft YaHei" w:hAnsi="Microsoft YaHei" w:eastAsia="微软雅黑"/>
          <w:b/>
          <w:color w:val="000000"/>
        </w:rPr>
        <w:t>退化诊断与审查：</w:t>
      </w:r>
      <w:r>
        <w:rPr>
          <w:rFonts w:ascii="Microsoft YaHei" w:hAnsi="Microsoft YaHei" w:eastAsia="微软雅黑"/>
          <w:color w:val="000000"/>
        </w:rPr>
        <w:t>发现可解释分组，在独立数据上确认，展示证据、未确认和样本不足状态，支持审查。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</w:r>
      <w:r>
        <w:rPr>
          <w:rFonts w:ascii="Microsoft YaHei" w:hAnsi="Microsoft YaHei" w:eastAsia="微软雅黑"/>
          <w:b/>
          <w:color w:val="000000"/>
        </w:rPr>
        <w:t>套件精选与重放：</w:t>
      </w:r>
      <w:r>
        <w:rPr>
          <w:rFonts w:ascii="Microsoft YaHei" w:hAnsi="Microsoft YaHei" w:eastAsia="微软雅黑"/>
          <w:color w:val="000000"/>
        </w:rPr>
        <w:t>按预算选择、冻结、导出测试用例，执行后续版本测试，保留结果与报告。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</w:r>
      <w:r>
        <w:rPr>
          <w:rFonts w:ascii="Microsoft YaHei" w:hAnsi="Microsoft YaHei" w:eastAsia="微软雅黑"/>
          <w:b/>
          <w:color w:val="000000"/>
        </w:rPr>
        <w:t>完整工程交付：</w:t>
      </w:r>
      <w:r>
        <w:rPr>
          <w:rFonts w:ascii="Microsoft YaHei" w:hAnsi="Microsoft YaHei" w:eastAsia="微软雅黑"/>
          <w:color w:val="000000"/>
        </w:rPr>
        <w:t>中文页面、持久任务与恢复、报告导出、源码、部署环境、测试记录、用户手册和论文。</w:t>
      </w:r>
    </w:p>
    <w:p>
      <w:pPr>
        <w:pStyle w:val="Heading1"/>
      </w:pPr>
      <w:r>
        <w:t>总体架构与技术栈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Vue 3／TypeScript／Vite 浏览器界面 → FastAPI 业务接口 → PostgreSQL 业务数据与任务；独立 Python Worker 执行推理、诊断、精选和重放，共享目录保存版本化产物，Docker Compose 部署业务服务。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后端采用 SQLAlchemy、scikit-learn、SciPy。实验采用 Transformers／PEFT；微调权重在相同后端和推理设置下运行，真实预测及来源信息导入系统。Ollama 由用户安装和管理；微调权重转换至 Ollama 为选做，不预先承诺兼容。</w:t>
      </w:r>
    </w:p>
    <w:p>
      <w:pPr>
        <w:pStyle w:val="Heading1"/>
      </w:pPr>
      <w:r>
        <w:t>新旧模型的真实来源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主实验固定公开 Qwen3 0.6B 权重[2]，仅用 MASSIVE 1.1 中文 zh-CN 训练集，以标准 LoRA 微调并按预定阶段保存 v1、v2、v3[3][4]。先比较 v1→v2，冻结测试套件，随后才揭示 v3 结果。版本号表示同一训练链的模型状态，不保证新版更好。训练脚本用于准备版本，不建设网页训练平台。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CPU TF-IDF＋逻辑回归通过重新训练、训练数据增量或正则化变化产生新权重，保留为低成本对照。API 仅选做参照；提示词更新属于应用配置变化，不能宣称修改厂商模型权重。不同规模横向比较不替代更新链实验。</w:t>
      </w:r>
    </w:p>
    <w:p>
      <w:r>
        <w:br w:type="page"/>
      </w:r>
    </w:p>
    <w:p>
      <w:pPr>
        <w:pStyle w:val="Heading1"/>
      </w:pPr>
      <w:r>
        <w:t>数据边界与拟验证改进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MASSIVE 提供 60 类公开意图标签，正确答案为数据集 intent 字段[3]，不由大模型生成。仅 TRAIN 用于训练；开发与测试分区隔离，发现 D、确认 C、最终审计 A 按样本 ID 固定且不重叠。确认及未来结果不得用于反向调参，统计结论受协议假设限制，不作安全认证。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系统策略融合分组覆盖、历史失败与文本多样性。比较随机、标签分层、历史失败优先、仅覆盖贪心、纯多样性五基线，并做去掉历史信息、多样性的两项消融。先开发调整，再冻结阈值、策略和套件，对预留未来版本评价；多个检查点不冒充独立试验。模型性能比较与精选策略效果分别报告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000000"/>
        </w:rPr>
        <w:t>论文主体为需求分析、系统设计、关键实现、软件测试与应用验证。使用现有 LoRA 方法准备真实版本，不要求发明训练优化算法；精选策略的收益仍待验证，不预先宣称算法首创或承诺发表。</w:t>
      </w:r>
    </w:p>
    <w:p>
      <w:pPr>
        <w:pStyle w:val="Heading1"/>
      </w:pPr>
      <w:r>
        <w:t>工作计划与阶段产物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7EDF3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时间</w:t>
            </w:r>
          </w:p>
        </w:tc>
        <w:tc>
          <w:tcPr>
            <w:tcW w:type="dxa" w:w="79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7EDF3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主要工作与阶段产物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2026年10月下旬</w:t>
              <w:br/>
              <w:t>至11月中旬</w:t>
            </w:r>
          </w:p>
        </w:tc>
        <w:tc>
          <w:tcPr>
            <w:tcW w:type="dxa" w:w="79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累计约 8—12 小时完成轻量 Demo：导入两版预测、逐例对比、样本查看与导出。不包含大权重下载或训练耗时保证。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2026年11月下旬</w:t>
              <w:br/>
              <w:t>至12月</w:t>
            </w:r>
          </w:p>
        </w:tc>
        <w:tc>
          <w:tcPr>
            <w:tcW w:type="dxa" w:w="79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以备考为主，整理文献及老师反馈，不安排密集开发。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2027年1月</w:t>
            </w:r>
          </w:p>
        </w:tc>
        <w:tc>
          <w:tcPr>
            <w:tcW w:type="dxa" w:w="79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先完成 0.6B 短程训练与推理预实验，测显存、耗时、输出有效率与自然负向翻转，再完成数据和诊断核心。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2027年2月</w:t>
            </w:r>
          </w:p>
        </w:tc>
        <w:tc>
          <w:tcPr>
            <w:tcW w:type="dxa" w:w="79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实现版本管理、套件精选、真实重放、中文界面、报告及任务恢复，形成完整系统初版。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2027年3月</w:t>
            </w:r>
          </w:p>
        </w:tc>
        <w:tc>
          <w:tcPr>
            <w:tcW w:type="dxa" w:w="79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完成开发实验与冻结，进行预留未来版本评价、五基线、两消融及软件测试。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2027年4月</w:t>
            </w:r>
          </w:p>
        </w:tc>
        <w:tc>
          <w:tcPr>
            <w:tcW w:type="dxa" w:w="79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修复问题、验证部署，完成论文、用户手册及答辩演示。</w:t>
            </w:r>
          </w:p>
        </w:tc>
      </w:tr>
    </w:tbl>
    <w:p>
      <w:pPr>
        <w:pStyle w:val="Heading1"/>
      </w:pPr>
      <w:r>
        <w:t>资源风险与验收边界</w:t>
      </w:r>
    </w:p>
    <w:p>
      <w:pPr>
        <w:spacing w:after="80"/>
      </w:pPr>
      <w:r>
        <w:rPr>
          <w:rFonts w:ascii="Microsoft YaHei" w:hAnsi="Microsoft YaHei" w:eastAsia="微软雅黑"/>
          <w:color w:val="000000"/>
          <w:sz w:val="19"/>
        </w:rPr>
        <w:t>硬件为桌面 RTX 3060、6GB 显存。0.6B 微调的资源、速度及诊断效果尚未实测，1.7B 为资源允许后的选做。资源不足时缩小训练配置并重新登记；自然退化或证据不足时如实报告，不故意训练坏模型。Demo 验证流程，不充当效果证据；功能完备和效果结论分别验收。</w:t>
      </w:r>
    </w:p>
    <w:p>
      <w:pPr>
        <w:pStyle w:val="Heading1"/>
      </w:pPr>
      <w:r>
        <w:t>原始依据</w:t>
      </w:r>
    </w:p>
    <w:p>
      <w:pPr>
        <w:spacing w:after="40" w:line="240" w:lineRule="auto"/>
      </w:pPr>
      <w:r>
        <w:rPr>
          <w:rFonts w:ascii="Microsoft YaHei" w:hAnsi="Microsoft YaHei" w:eastAsia="微软雅黑"/>
          <w:color w:val="000000"/>
          <w:sz w:val="16"/>
        </w:rPr>
        <w:t xml:space="preserve">[1] Regression Bugs Are In Your Model! ACL 2021　</w:t>
      </w:r>
      <w:hyperlink r:id="rId9">
        <w:r>
          <w:rPr>
            <w:sz w:val="15"/>
          </w:rPr>
          <w:t>https://aclanthology.org/2021.acl-long.515/</w:t>
        </w:r>
      </w:hyperlink>
    </w:p>
    <w:p>
      <w:pPr>
        <w:spacing w:after="40" w:line="240" w:lineRule="auto"/>
      </w:pPr>
      <w:r>
        <w:rPr>
          <w:rFonts w:ascii="Microsoft YaHei" w:hAnsi="Microsoft YaHei" w:eastAsia="微软雅黑"/>
          <w:color w:val="000000"/>
          <w:sz w:val="16"/>
        </w:rPr>
        <w:t xml:space="preserve">[2] Qwen3 0.6B 官方模型卡　</w:t>
      </w:r>
      <w:hyperlink r:id="rId10">
        <w:r>
          <w:rPr>
            <w:sz w:val="15"/>
          </w:rPr>
          <w:t>https://huggingface.co/Qwen/Qwen3-0.6B</w:t>
        </w:r>
      </w:hyperlink>
    </w:p>
    <w:p>
      <w:pPr>
        <w:spacing w:after="40" w:line="240" w:lineRule="auto"/>
      </w:pPr>
      <w:r>
        <w:rPr>
          <w:rFonts w:ascii="Microsoft YaHei" w:hAnsi="Microsoft YaHei" w:eastAsia="微软雅黑"/>
          <w:color w:val="000000"/>
          <w:sz w:val="16"/>
        </w:rPr>
        <w:t xml:space="preserve">[3] MASSIVE 官方仓库　</w:t>
      </w:r>
      <w:hyperlink r:id="rId11">
        <w:r>
          <w:rPr>
            <w:sz w:val="15"/>
          </w:rPr>
          <w:t>https://github.com/alexa/massive</w:t>
        </w:r>
      </w:hyperlink>
    </w:p>
    <w:p>
      <w:pPr>
        <w:spacing w:after="40" w:line="240" w:lineRule="auto"/>
      </w:pPr>
      <w:r>
        <w:rPr>
          <w:rFonts w:ascii="Microsoft YaHei" w:hAnsi="Microsoft YaHei" w:eastAsia="微软雅黑"/>
          <w:color w:val="000000"/>
          <w:sz w:val="16"/>
        </w:rPr>
        <w:t xml:space="preserve">[4] PEFT LoRA 官方说明　</w:t>
      </w:r>
      <w:hyperlink r:id="rId12">
        <w:r>
          <w:rPr>
            <w:sz w:val="15"/>
          </w:rPr>
          <w:t>https://huggingface.co/docs/peft/v0.21.0/package_reference/lora</w:t>
        </w:r>
      </w:hyperlink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80"/>
    </w:pPr>
    <w:rPr>
      <w:rFonts w:ascii="Microsoft YaHei" w:hAnsi="Microsoft YaHe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64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lanthology.org/2021.acl-long.515/" TargetMode="External"/><Relationship Id="rId10" Type="http://schemas.openxmlformats.org/officeDocument/2006/relationships/hyperlink" Target="https://huggingface.co/Qwen/Qwen3-0.6B" TargetMode="External"/><Relationship Id="rId11" Type="http://schemas.openxmlformats.org/officeDocument/2006/relationships/hyperlink" Target="https://github.com/alexa/massive" TargetMode="External"/><Relationship Id="rId12" Type="http://schemas.openxmlformats.org/officeDocument/2006/relationships/hyperlink" Target="https://huggingface.co/docs/peft/v0.21.0/package_reference/lo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毕业设计选题与实施方案</dc:title>
  <dc:subject>面向大模型分类应用的退化诊断与回归测试系统的设计与实现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