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ALGO - Janvier 2019 - PROMO 2021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Complexité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meillleure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moyenne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amortie</w:t>
      </w:r>
      <w:r w:rsidDel="00000000" w:rsidR="00000000" w:rsidRPr="00000000">
        <w:rPr>
          <w:rtl w:val="0"/>
        </w:rPr>
        <w:t xml:space="preserve">: dépend des cas moyen (exemple: realloc pour le insert tout les n *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Algorithme de tris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Tris comparatif</w:t>
        <w:tab/>
        <w:tab/>
        <w:tab/>
        <w:tab/>
        <w:tab/>
        <w:t xml:space="preserve">Pire cas</w:t>
        <w:tab/>
        <w:tab/>
        <w:t xml:space="preserve">Meilleur cas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bulle</w:t>
        <w:tab/>
        <w:tab/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  <w:tab/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sélection</w:t>
        <w:tab/>
        <w:tab/>
        <w:tab/>
        <w:tab/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  <w:tab/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  <w:tab/>
        <w:tab/>
        <w:tab/>
        <w:tab/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  <w:tab/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 (ou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)</w:t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 tas (ou heap sort)</w:t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quicksort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introspectif</w:t>
        <w:tab/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(= quick sort, si nb recursion &gt; Klog(n) on tri</w:t>
      </w:r>
    </w:p>
    <w:p w:rsidR="00000000" w:rsidDel="00000000" w:rsidP="00000000" w:rsidRDefault="00000000" w:rsidRPr="00000000" w14:paraId="0000001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le tableau restant avec tri par tas)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Tris non comparatifs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sort</w:t>
        <w:tab/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(n)</w:t>
        <w:tab/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radix sort</w:t>
        <w:tab/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(n)</w:t>
        <w:tab/>
        <w:tab/>
        <w:tab/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Propriété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Stable</w:t>
      </w:r>
      <w:r w:rsidDel="00000000" w:rsidR="00000000" w:rsidRPr="00000000">
        <w:rPr>
          <w:rtl w:val="0"/>
        </w:rPr>
        <w:t xml:space="preserve"> préserve l’ordre des éléments égaux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sort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place </w:t>
      </w:r>
      <w:r w:rsidDel="00000000" w:rsidR="00000000" w:rsidRPr="00000000">
        <w:rPr>
          <w:rtl w:val="0"/>
        </w:rPr>
        <w:t xml:space="preserve">consomation mémoire &lt;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Θ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(nlog(n))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tous sauf merge sort</w:t>
      </w:r>
    </w:p>
    <w:p w:rsidR="00000000" w:rsidDel="00000000" w:rsidP="00000000" w:rsidRDefault="00000000" w:rsidRPr="00000000" w14:paraId="0000002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3. CG : quelques algo vu en cours</w:t>
      </w:r>
    </w:p>
    <w:p w:rsidR="00000000" w:rsidDel="00000000" w:rsidP="00000000" w:rsidRDefault="00000000" w:rsidRPr="00000000" w14:paraId="0000002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Karatsuba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: multiplication de polynôme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Strassen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: multiplication matricielle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Diviser pour régner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: diviser un problème en sous problème que l’on sait résoudre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merge sort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quick sort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recherche dichotomique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Karatsuba</w:t>
      </w:r>
    </w:p>
    <w:p w:rsidR="00000000" w:rsidDel="00000000" w:rsidP="00000000" w:rsidRDefault="00000000" w:rsidRPr="00000000" w14:paraId="0000002A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Leur 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omplexité se calcule avec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le théorème général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 Programmation dynamique</w:t>
      </w:r>
    </w:p>
    <w:p w:rsidR="00000000" w:rsidDel="00000000" w:rsidP="00000000" w:rsidRDefault="00000000" w:rsidRPr="00000000" w14:paraId="0000002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Def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méthode algorithme pour résoudre des problèmes d’optimisations - même mécanisme que</w:t>
      </w:r>
    </w:p>
    <w:p w:rsidR="00000000" w:rsidDel="00000000" w:rsidP="00000000" w:rsidRDefault="00000000" w:rsidRPr="00000000" w14:paraId="0000002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diviser pour régner. Ex: fibonacci : pour calculer n, on calcule n - 1, jusqu’à 1, qu’on connaît.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Distance de Levenshtein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Chaîne de multiplication matricielle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Problème sac à dos (problème d'optimisation combinatoire)</w:t>
      </w:r>
    </w:p>
    <w:p w:rsidR="00000000" w:rsidDel="00000000" w:rsidP="00000000" w:rsidRDefault="00000000" w:rsidRPr="00000000" w14:paraId="0000003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Wiki de chacun des algo</w:t>
      </w:r>
    </w:p>
    <w:p w:rsidR="00000000" w:rsidDel="00000000" w:rsidP="00000000" w:rsidRDefault="00000000" w:rsidRPr="00000000" w14:paraId="0000003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http://www.dil.univ-mrs.fr/~gcolas/algo-licence/slides/tris.pdf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https://fr.wikipedia.org/wiki/Programmation_dynamique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https://fr.wikipedia.org/wiki/Probl%C3%A8me_du_sac_%C3%A0_dos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https://epiportal.com/ING/Module%20IF%20-%20Sciences%20de%20base%2C%20Informatique%20Fondamentale/ALGO%20-%20Algorithmie/fiches/refcard.pdf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(arbre rouge noire en moins, pas au programme)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piportal.com/ING/Module%20IF%20-%20Sciences%20de%20base%2C%20Informatique%20Fondamentale/ALGO%20-%20Algorithmie/fiches/refcard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il.univ-mrs.fr/~gcolas/algo-licence/slides/tris.pdf" TargetMode="External"/><Relationship Id="rId7" Type="http://schemas.openxmlformats.org/officeDocument/2006/relationships/hyperlink" Target="https://fr.wikipedia.org/wiki/Programmation_dynamique" TargetMode="External"/><Relationship Id="rId8" Type="http://schemas.openxmlformats.org/officeDocument/2006/relationships/hyperlink" Target="https://fr.wikipedia.org/wiki/Probl%C3%A8me_du_sac_%C3%A0_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