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BaseAgent Multi-Agent Validation Report: Recreating CardioKB</w:t>
      </w:r>
    </w:p>
    <w:p>
      <w:r>
        <w:t>Date: April 21, 2026</w:t>
      </w:r>
    </w:p>
    <w:p>
      <w:r>
        <w:t>Prepared by: Asma Nawaz</w:t>
      </w:r>
    </w:p>
    <w:p>
      <w:r>
        <w:t>Purpose: Validate BaseAgent AgentTeam multi-agent orchestrator for CardioKB construction</w:t>
      </w:r>
    </w:p>
    <w:p>
      <w:pPr>
        <w:pStyle w:val="Heading1"/>
      </w:pPr>
      <w:r>
        <w:t>1. Executive Summary</w:t>
      </w:r>
    </w:p>
    <w:p>
      <w:r>
        <w:t>BaseAgent AgentTeam multi-agent orchestrator was tasked with recreating CardioKB using 8 specialized agents coordinated by a supervisor LLM. The system successfully built a knowledge graph with 263,627 nodes, 3,647,782 edges, all 19 node types, and 82 edge types.</w:t>
      </w:r>
    </w:p>
    <w:p>
      <w:pPr>
        <w:pStyle w:val="Heading2"/>
      </w:pPr>
      <w:r>
        <w:t>Build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Original CardioKB</w:t>
            </w:r>
          </w:p>
        </w:tc>
        <w:tc>
          <w:tcPr>
            <w:tcW w:type="dxa" w:w="2160"/>
          </w:tcPr>
          <w:p>
            <w:r>
              <w:t>Single-Agent</w:t>
            </w:r>
          </w:p>
        </w:tc>
        <w:tc>
          <w:tcPr>
            <w:tcW w:type="dxa" w:w="2160"/>
          </w:tcPr>
          <w:p>
            <w:r>
              <w:t>Multi-Agent</w:t>
            </w:r>
          </w:p>
        </w:tc>
      </w:tr>
      <w:tr>
        <w:tc>
          <w:tcPr>
            <w:tcW w:type="dxa" w:w="2160"/>
          </w:tcPr>
          <w:p>
            <w:r>
              <w:t>Total Nodes</w:t>
            </w:r>
          </w:p>
        </w:tc>
        <w:tc>
          <w:tcPr>
            <w:tcW w:type="dxa" w:w="2160"/>
          </w:tcPr>
          <w:p>
            <w:r>
              <w:t>4,896,258</w:t>
            </w:r>
          </w:p>
        </w:tc>
        <w:tc>
          <w:tcPr>
            <w:tcW w:type="dxa" w:w="2160"/>
          </w:tcPr>
          <w:p>
            <w:r>
              <w:t>1,036,899</w:t>
            </w:r>
          </w:p>
        </w:tc>
        <w:tc>
          <w:tcPr>
            <w:tcW w:type="dxa" w:w="2160"/>
          </w:tcPr>
          <w:p>
            <w:r>
              <w:t>263,627</w:t>
            </w:r>
          </w:p>
        </w:tc>
      </w:tr>
      <w:tr>
        <w:tc>
          <w:tcPr>
            <w:tcW w:type="dxa" w:w="2160"/>
          </w:tcPr>
          <w:p>
            <w:r>
              <w:t>Total Edges</w:t>
            </w:r>
          </w:p>
        </w:tc>
        <w:tc>
          <w:tcPr>
            <w:tcW w:type="dxa" w:w="2160"/>
          </w:tcPr>
          <w:p>
            <w:r>
              <w:t>7,683,150</w:t>
            </w:r>
          </w:p>
        </w:tc>
        <w:tc>
          <w:tcPr>
            <w:tcW w:type="dxa" w:w="2160"/>
          </w:tcPr>
          <w:p>
            <w:r>
              <w:t>10,800,305</w:t>
            </w:r>
          </w:p>
        </w:tc>
        <w:tc>
          <w:tcPr>
            <w:tcW w:type="dxa" w:w="2160"/>
          </w:tcPr>
          <w:p>
            <w:r>
              <w:t>3,647,782</w:t>
            </w:r>
          </w:p>
        </w:tc>
      </w:tr>
      <w:tr>
        <w:tc>
          <w:tcPr>
            <w:tcW w:type="dxa" w:w="2160"/>
          </w:tcPr>
          <w:p>
            <w:r>
              <w:t>Node Types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Edge Types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Build Time</w:t>
            </w:r>
          </w:p>
        </w:tc>
        <w:tc>
          <w:tcPr>
            <w:tcW w:type="dxa" w:w="2160"/>
          </w:tcPr>
          <w:p>
            <w:r>
              <w:t>~4 hours</w:t>
            </w:r>
          </w:p>
        </w:tc>
        <w:tc>
          <w:tcPr>
            <w:tcW w:type="dxa" w:w="2160"/>
          </w:tcPr>
          <w:p>
            <w:r>
              <w:t>~12 hours</w:t>
            </w:r>
          </w:p>
        </w:tc>
        <w:tc>
          <w:tcPr>
            <w:tcW w:type="dxa" w:w="2160"/>
          </w:tcPr>
          <w:p>
            <w:r>
              <w:t>~6 hours</w:t>
            </w:r>
          </w:p>
        </w:tc>
      </w:tr>
      <w:tr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claude-sonnet-4-6</w:t>
            </w:r>
          </w:p>
        </w:tc>
        <w:tc>
          <w:tcPr>
            <w:tcW w:type="dxa" w:w="2160"/>
          </w:tcPr>
          <w:p>
            <w:r>
              <w:t>claude-sonnet-4-6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Custom Python</w:t>
            </w:r>
          </w:p>
        </w:tc>
        <w:tc>
          <w:tcPr>
            <w:tcW w:type="dxa" w:w="2160"/>
          </w:tcPr>
          <w:p>
            <w:r>
              <w:t>Single BaseAgent</w:t>
            </w:r>
          </w:p>
        </w:tc>
        <w:tc>
          <w:tcPr>
            <w:tcW w:type="dxa" w:w="2160"/>
          </w:tcPr>
          <w:p>
            <w:r>
              <w:t>AgentTeam (8 agents)</w:t>
            </w:r>
          </w:p>
        </w:tc>
      </w:tr>
    </w:tbl>
    <w:p>
      <w:pPr>
        <w:pStyle w:val="Heading1"/>
      </w:pPr>
      <w:r>
        <w:t>2. Multi-Agent Architecture</w:t>
      </w:r>
    </w:p>
    <w:p>
      <w:r>
        <w:t>The system uses 8 specialist agents: foundation (core nodes), variant (ClinVar), annotation (GO, pathways), expression (Bgee, TISSUES), interaction (STRING, DoRothEA), association (OpenTargets, SIDER), clinical (trials, ClinPGx), and longevity (DrugAge, AnAge). Agents run sequentially with a supervisor LLM deciding which agent to invoke next.</w:t>
      </w:r>
    </w:p>
    <w:p>
      <w:pPr>
        <w:pStyle w:val="Heading1"/>
      </w:pPr>
      <w:r>
        <w:t>3. Node Types (19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Node Type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Multi-Agent</w:t>
            </w:r>
          </w:p>
        </w:tc>
        <w:tc>
          <w:tcPr>
            <w:tcW w:type="dxa" w:w="2160"/>
          </w:tcPr>
          <w:p>
            <w:r>
              <w:t>% of Original</w:t>
            </w:r>
          </w:p>
        </w:tc>
      </w:tr>
      <w:tr>
        <w:tc>
          <w:tcPr>
            <w:tcW w:type="dxa" w:w="2160"/>
          </w:tcPr>
          <w:p>
            <w:r>
              <w:t>Variant</w:t>
            </w:r>
          </w:p>
        </w:tc>
        <w:tc>
          <w:tcPr>
            <w:tcW w:type="dxa" w:w="2160"/>
          </w:tcPr>
          <w:p>
            <w:r>
              <w:t>4,488,042</w:t>
            </w:r>
          </w:p>
        </w:tc>
        <w:tc>
          <w:tcPr>
            <w:tcW w:type="dxa" w:w="2160"/>
          </w:tcPr>
          <w:p>
            <w:r>
              <w:t>200,907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</w:tr>
      <w:tr>
        <w:tc>
          <w:tcPr>
            <w:tcW w:type="dxa" w:w="2160"/>
          </w:tcPr>
          <w:p>
            <w:r>
              <w:t>ClinicalTrial</w:t>
            </w:r>
          </w:p>
        </w:tc>
        <w:tc>
          <w:tcPr>
            <w:tcW w:type="dxa" w:w="2160"/>
          </w:tcPr>
          <w:p>
            <w:r>
              <w:t>85,691</w:t>
            </w:r>
          </w:p>
        </w:tc>
        <w:tc>
          <w:tcPr>
            <w:tcW w:type="dxa" w:w="2160"/>
          </w:tcPr>
          <w:p>
            <w:r>
              <w:t>17,226</w:t>
            </w:r>
          </w:p>
        </w:tc>
        <w:tc>
          <w:tcPr>
            <w:tcW w:type="dxa" w:w="2160"/>
          </w:tcPr>
          <w:p>
            <w:r>
              <w:t>20.1%</w:t>
            </w:r>
          </w:p>
        </w:tc>
      </w:tr>
      <w:tr>
        <w:tc>
          <w:tcPr>
            <w:tcW w:type="dxa" w:w="2160"/>
          </w:tcPr>
          <w:p>
            <w:r>
              <w:t>Symptom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15,947</w:t>
            </w:r>
          </w:p>
        </w:tc>
        <w:tc>
          <w:tcPr>
            <w:tcW w:type="dxa" w:w="2160"/>
          </w:tcPr>
          <w:p>
            <w:r>
              <w:t>1651%</w:t>
            </w:r>
          </w:p>
        </w:tc>
      </w:tr>
      <w:tr>
        <w:tc>
          <w:tcPr>
            <w:tcW w:type="dxa" w:w="2160"/>
          </w:tcPr>
          <w:p>
            <w:r>
              <w:t>Phenotype</w:t>
            </w:r>
          </w:p>
        </w:tc>
        <w:tc>
          <w:tcPr>
            <w:tcW w:type="dxa" w:w="2160"/>
          </w:tcPr>
          <w:p>
            <w:r>
              <w:t>19,389</w:t>
            </w:r>
          </w:p>
        </w:tc>
        <w:tc>
          <w:tcPr>
            <w:tcW w:type="dxa" w:w="2160"/>
          </w:tcPr>
          <w:p>
            <w:r>
              <w:t>5,128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</w:tr>
      <w:tr>
        <w:tc>
          <w:tcPr>
            <w:tcW w:type="dxa" w:w="2160"/>
          </w:tcPr>
          <w:p>
            <w:r>
              <w:t>Species</w:t>
            </w:r>
          </w:p>
        </w:tc>
        <w:tc>
          <w:tcPr>
            <w:tcW w:type="dxa" w:w="2160"/>
          </w:tcPr>
          <w:p>
            <w:r>
              <w:t>4,645</w:t>
            </w:r>
          </w:p>
        </w:tc>
        <w:tc>
          <w:tcPr>
            <w:tcW w:type="dxa" w:w="2160"/>
          </w:tcPr>
          <w:p>
            <w:r>
              <w:t>4,645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BiologicalProcess</w:t>
            </w:r>
          </w:p>
        </w:tc>
        <w:tc>
          <w:tcPr>
            <w:tcW w:type="dxa" w:w="2160"/>
          </w:tcPr>
          <w:p>
            <w:r>
              <w:t>24,547</w:t>
            </w:r>
          </w:p>
        </w:tc>
        <w:tc>
          <w:tcPr>
            <w:tcW w:type="dxa" w:w="2160"/>
          </w:tcPr>
          <w:p>
            <w:r>
              <w:t>4,197</w:t>
            </w:r>
          </w:p>
        </w:tc>
        <w:tc>
          <w:tcPr>
            <w:tcW w:type="dxa" w:w="2160"/>
          </w:tcPr>
          <w:p>
            <w:r>
              <w:t>17.1%</w:t>
            </w:r>
          </w:p>
        </w:tc>
      </w:tr>
      <w:tr>
        <w:tc>
          <w:tcPr>
            <w:tcW w:type="dxa" w:w="2160"/>
          </w:tcPr>
          <w:p>
            <w:r>
              <w:t>Drug</w:t>
            </w:r>
          </w:p>
        </w:tc>
        <w:tc>
          <w:tcPr>
            <w:tcW w:type="dxa" w:w="2160"/>
          </w:tcPr>
          <w:p>
            <w:r>
              <w:t>24,429</w:t>
            </w:r>
          </w:p>
        </w:tc>
        <w:tc>
          <w:tcPr>
            <w:tcW w:type="dxa" w:w="2160"/>
          </w:tcPr>
          <w:p>
            <w:r>
              <w:t>3,872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</w:tr>
      <w:tr>
        <w:tc>
          <w:tcPr>
            <w:tcW w:type="dxa" w:w="2160"/>
          </w:tcPr>
          <w:p>
            <w:r>
              <w:t>BodyPart</w:t>
            </w:r>
          </w:p>
        </w:tc>
        <w:tc>
          <w:tcPr>
            <w:tcW w:type="dxa" w:w="2160"/>
          </w:tcPr>
          <w:p>
            <w:r>
              <w:t>14,937</w:t>
            </w:r>
          </w:p>
        </w:tc>
        <w:tc>
          <w:tcPr>
            <w:tcW w:type="dxa" w:w="2160"/>
          </w:tcPr>
          <w:p>
            <w:r>
              <w:t>3,480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</w:tr>
      <w:tr>
        <w:tc>
          <w:tcPr>
            <w:tcW w:type="dxa" w:w="2160"/>
          </w:tcPr>
          <w:p>
            <w:r>
              <w:t>SideEffect</w:t>
            </w:r>
          </w:p>
        </w:tc>
        <w:tc>
          <w:tcPr>
            <w:tcW w:type="dxa" w:w="2160"/>
          </w:tcPr>
          <w:p>
            <w:r>
              <w:t>5,734</w:t>
            </w:r>
          </w:p>
        </w:tc>
        <w:tc>
          <w:tcPr>
            <w:tcW w:type="dxa" w:w="2160"/>
          </w:tcPr>
          <w:p>
            <w:r>
              <w:t>2,227</w:t>
            </w:r>
          </w:p>
        </w:tc>
        <w:tc>
          <w:tcPr>
            <w:tcW w:type="dxa" w:w="2160"/>
          </w:tcPr>
          <w:p>
            <w:r>
              <w:t>38.8%</w:t>
            </w:r>
          </w:p>
        </w:tc>
      </w:tr>
      <w:tr>
        <w:tc>
          <w:tcPr>
            <w:tcW w:type="dxa" w:w="2160"/>
          </w:tcPr>
          <w:p>
            <w:r>
              <w:t>Pathway</w:t>
            </w:r>
          </w:p>
        </w:tc>
        <w:tc>
          <w:tcPr>
            <w:tcW w:type="dxa" w:w="2160"/>
          </w:tcPr>
          <w:p>
            <w:r>
              <w:t>2,806</w:t>
            </w:r>
          </w:p>
        </w:tc>
        <w:tc>
          <w:tcPr>
            <w:tcW w:type="dxa" w:w="2160"/>
          </w:tcPr>
          <w:p>
            <w:r>
              <w:t>1,645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MolecularFunction</w:t>
            </w:r>
          </w:p>
        </w:tc>
        <w:tc>
          <w:tcPr>
            <w:tcW w:type="dxa" w:w="2160"/>
          </w:tcPr>
          <w:p>
            <w:r>
              <w:t>10,123</w:t>
            </w:r>
          </w:p>
        </w:tc>
        <w:tc>
          <w:tcPr>
            <w:tcW w:type="dxa" w:w="2160"/>
          </w:tcPr>
          <w:p>
            <w:r>
              <w:t>1,134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Disease</w:t>
            </w:r>
          </w:p>
        </w:tc>
        <w:tc>
          <w:tcPr>
            <w:tcW w:type="dxa" w:w="2160"/>
          </w:tcPr>
          <w:p>
            <w:r>
              <w:t>12,096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</w:tr>
      <w:tr>
        <w:tc>
          <w:tcPr>
            <w:tcW w:type="dxa" w:w="2160"/>
          </w:tcPr>
          <w:p>
            <w:r>
              <w:t>Gene</w:t>
            </w:r>
          </w:p>
        </w:tc>
        <w:tc>
          <w:tcPr>
            <w:tcW w:type="dxa" w:w="2160"/>
          </w:tcPr>
          <w:p>
            <w:r>
              <w:t>194,559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CellularComponent</w:t>
            </w:r>
          </w:p>
        </w:tc>
        <w:tc>
          <w:tcPr>
            <w:tcW w:type="dxa" w:w="2160"/>
          </w:tcPr>
          <w:p>
            <w:r>
              <w:t>4,069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</w:tr>
      <w:tr>
        <w:tc>
          <w:tcPr>
            <w:tcW w:type="dxa" w:w="2160"/>
          </w:tcPr>
          <w:p>
            <w:r>
              <w:t>TranscriptionFactor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107.6%</w:t>
            </w:r>
          </w:p>
        </w:tc>
      </w:tr>
      <w:tr>
        <w:tc>
          <w:tcPr>
            <w:tcW w:type="dxa" w:w="2160"/>
          </w:tcPr>
          <w:p>
            <w:r>
              <w:t>PharmacologicClass</w:t>
            </w:r>
          </w:p>
        </w:tc>
        <w:tc>
          <w:tcPr>
            <w:tcW w:type="dxa" w:w="2160"/>
          </w:tcPr>
          <w:p>
            <w:r>
              <w:t>1,646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21.0%</w:t>
            </w:r>
          </w:p>
        </w:tc>
      </w:tr>
      <w:tr>
        <w:tc>
          <w:tcPr>
            <w:tcW w:type="dxa" w:w="2160"/>
          </w:tcPr>
          <w:p>
            <w:r>
              <w:t>GeneFamily</w:t>
            </w:r>
          </w:p>
        </w:tc>
        <w:tc>
          <w:tcPr>
            <w:tcW w:type="dxa" w:w="2160"/>
          </w:tcPr>
          <w:p>
            <w:r>
              <w:t>1,934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</w:tr>
      <w:tr>
        <w:tc>
          <w:tcPr>
            <w:tcW w:type="dxa" w:w="2160"/>
          </w:tcPr>
          <w:p>
            <w:r>
              <w:t>DrugLabel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AgeingProperty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1"/>
      </w:pPr>
      <w:r>
        <w:t>4. Bugs Found (3 New for Multi-Agent)</w:t>
      </w:r>
    </w:p>
    <w:p>
      <w:r>
        <w:t>Bug 6: Timeout errors not retried - Extended retry logic to handle network timeouts.</w:t>
      </w:r>
    </w:p>
    <w:p>
      <w:r>
        <w:t>Bug 7: Assistant message prefill on think-only responses - Added continuation prompt.</w:t>
      </w:r>
    </w:p>
    <w:p>
      <w:r>
        <w:t>Bug 8: Environment variables cleared after first agent - Save and restore env vars.</w:t>
      </w:r>
    </w:p>
    <w:p>
      <w:pPr>
        <w:pStyle w:val="Heading1"/>
      </w:pPr>
      <w:r>
        <w:t>5. Key Findings</w:t>
      </w:r>
    </w:p>
    <w:p>
      <w:r>
        <w:t>- Multi-agent completed in ~6 hours (vs 12 hours single-agent)</w:t>
      </w:r>
    </w:p>
    <w:p>
      <w:r>
        <w:t>- Graph is smaller but more focused on CVD-relevant data</w:t>
      </w:r>
    </w:p>
    <w:p>
      <w:r>
        <w:t>- 3 new bugs discovered specific to multi-agent operation</w:t>
      </w:r>
    </w:p>
    <w:p>
      <w:r>
        <w:t>- Architecture provides better modularity and error isolation</w:t>
      </w:r>
    </w:p>
    <w:p>
      <w:r>
        <w:t>- All 26 data sources represented in final graph</w:t>
      </w:r>
    </w:p>
    <w:p>
      <w:pPr>
        <w:pStyle w:val="Heading1"/>
      </w:pPr>
      <w:r>
        <w:t>6. Recommendations</w:t>
      </w:r>
    </w:p>
    <w:p>
      <w:r>
        <w:t>- Consider hybrid approach: single-agent for simple builds, multi-agent for complex tasks</w:t>
      </w:r>
    </w:p>
    <w:p>
      <w:r>
        <w:t>- Add parallel execution for independent agents</w:t>
      </w:r>
    </w:p>
    <w:p>
      <w:r>
        <w:t>- Tune CVD filtering - multi-agent was too aggressive for some node types</w:t>
      </w:r>
    </w:p>
    <w:p>
      <w:r>
        <w:t>- Fix all 8 bugs identified across validation runs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