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96A" w:rsidRPr="0024638D" w:rsidRDefault="00C93988" w:rsidP="00CA6CB7">
      <w:pPr>
        <w:ind w:left="-567" w:right="-567"/>
      </w:pPr>
      <w:r w:rsidRPr="008D7AC0">
        <w:rPr>
          <w:sz w:val="28"/>
          <w:u w:val="single"/>
        </w:rPr>
        <w:t>Corpus : Le tableau noir :</w:t>
      </w:r>
    </w:p>
    <w:p w:rsidR="00C93988" w:rsidRPr="008D7AC0" w:rsidRDefault="00C93988" w:rsidP="00C93988">
      <w:pPr>
        <w:pStyle w:val="Paragraphedeliste"/>
        <w:numPr>
          <w:ilvl w:val="0"/>
          <w:numId w:val="1"/>
        </w:numPr>
        <w:ind w:right="-567"/>
        <w:rPr>
          <w:b/>
          <w:sz w:val="28"/>
        </w:rPr>
      </w:pPr>
      <w:r w:rsidRPr="008D7AC0">
        <w:rPr>
          <w:b/>
          <w:sz w:val="28"/>
        </w:rPr>
        <w:t>Brouillon</w:t>
      </w:r>
    </w:p>
    <w:p w:rsidR="00C93988" w:rsidRPr="008D7AC0" w:rsidRDefault="00C93988" w:rsidP="00C93988">
      <w:pPr>
        <w:pStyle w:val="Paragraphedeliste"/>
        <w:numPr>
          <w:ilvl w:val="0"/>
          <w:numId w:val="2"/>
        </w:numPr>
        <w:ind w:right="-567"/>
        <w:rPr>
          <w:b/>
          <w:sz w:val="28"/>
        </w:rPr>
      </w:pPr>
      <w:r w:rsidRPr="008D7AC0">
        <w:rPr>
          <w:b/>
          <w:sz w:val="28"/>
        </w:rPr>
        <w:t>Résumé analytique des docs.</w:t>
      </w:r>
    </w:p>
    <w:p w:rsidR="00C93988" w:rsidRPr="008D7AC0" w:rsidRDefault="00C93988" w:rsidP="00C93988">
      <w:pPr>
        <w:pStyle w:val="Paragraphedeliste"/>
        <w:numPr>
          <w:ilvl w:val="0"/>
          <w:numId w:val="2"/>
        </w:numPr>
        <w:ind w:right="-567"/>
        <w:rPr>
          <w:b/>
          <w:sz w:val="28"/>
        </w:rPr>
      </w:pPr>
      <w:r w:rsidRPr="008D7AC0">
        <w:rPr>
          <w:b/>
          <w:sz w:val="28"/>
        </w:rPr>
        <w:t>2 ou 3 axes d’étude.</w:t>
      </w:r>
    </w:p>
    <w:p w:rsidR="00C93988" w:rsidRPr="008D7AC0" w:rsidRDefault="00C93988" w:rsidP="00C93988">
      <w:pPr>
        <w:pStyle w:val="Paragraphedeliste"/>
        <w:numPr>
          <w:ilvl w:val="0"/>
          <w:numId w:val="2"/>
        </w:numPr>
        <w:ind w:right="-567"/>
        <w:rPr>
          <w:b/>
          <w:sz w:val="28"/>
        </w:rPr>
      </w:pPr>
      <w:r w:rsidRPr="008D7AC0">
        <w:rPr>
          <w:b/>
          <w:sz w:val="28"/>
        </w:rPr>
        <w:t xml:space="preserve">Tableau </w:t>
      </w:r>
      <w:r w:rsidRPr="008D7AC0">
        <w:rPr>
          <w:b/>
          <w:sz w:val="28"/>
        </w:rPr>
        <w:sym w:font="Wingdings" w:char="F0E0"/>
      </w:r>
      <w:r w:rsidRPr="008D7AC0">
        <w:rPr>
          <w:b/>
          <w:sz w:val="28"/>
        </w:rPr>
        <w:t xml:space="preserve"> confronter les idées des docs avec les axes.</w:t>
      </w:r>
    </w:p>
    <w:p w:rsidR="00C93988" w:rsidRPr="008D7AC0" w:rsidRDefault="00C93988" w:rsidP="00C93988">
      <w:pPr>
        <w:pStyle w:val="Paragraphedeliste"/>
        <w:numPr>
          <w:ilvl w:val="0"/>
          <w:numId w:val="2"/>
        </w:numPr>
        <w:ind w:right="-567"/>
        <w:rPr>
          <w:b/>
          <w:sz w:val="28"/>
        </w:rPr>
      </w:pPr>
      <w:r w:rsidRPr="008D7AC0">
        <w:rPr>
          <w:b/>
          <w:sz w:val="28"/>
        </w:rPr>
        <w:t>Problématique.</w:t>
      </w:r>
    </w:p>
    <w:p w:rsidR="00C93988" w:rsidRPr="008D7AC0" w:rsidRDefault="000E0A79" w:rsidP="00C93988">
      <w:pPr>
        <w:ind w:left="-567" w:right="-567"/>
        <w:rPr>
          <w:sz w:val="28"/>
        </w:rPr>
      </w:pPr>
      <w:r w:rsidRPr="008D7AC0">
        <w:rPr>
          <w:sz w:val="28"/>
        </w:rPr>
        <w:t>Doc.1 :</w:t>
      </w:r>
      <w:r w:rsidR="008D7AC0" w:rsidRPr="008D7AC0">
        <w:rPr>
          <w:b/>
          <w:sz w:val="28"/>
        </w:rPr>
        <w:t xml:space="preserve"> Le cancre</w:t>
      </w:r>
    </w:p>
    <w:p w:rsidR="000E0A79" w:rsidRPr="008D7AC0" w:rsidRDefault="000E0A79" w:rsidP="00C93988">
      <w:pPr>
        <w:ind w:left="-567" w:right="-567"/>
        <w:rPr>
          <w:color w:val="365F91" w:themeColor="accent1" w:themeShade="BF"/>
          <w:sz w:val="28"/>
        </w:rPr>
      </w:pPr>
      <w:r w:rsidRPr="008D7AC0">
        <w:rPr>
          <w:color w:val="365F91" w:themeColor="accent1" w:themeShade="BF"/>
          <w:sz w:val="28"/>
        </w:rPr>
        <w:t>Poeme de jacques Prévert. Le cancre, 1946.</w:t>
      </w:r>
      <w:r w:rsidRPr="008D7AC0">
        <w:rPr>
          <w:color w:val="365F91" w:themeColor="accent1" w:themeShade="BF"/>
          <w:sz w:val="28"/>
        </w:rPr>
        <w:br/>
        <w:t>Poème sur un cancre qui va au tableau et au lieu de travailler dessine sur le tableau noir.</w:t>
      </w:r>
      <w:r w:rsidR="001714B7" w:rsidRPr="008D7AC0">
        <w:rPr>
          <w:color w:val="365F91" w:themeColor="accent1" w:themeShade="BF"/>
          <w:sz w:val="28"/>
        </w:rPr>
        <w:t xml:space="preserve"> </w:t>
      </w:r>
      <w:r w:rsidR="00CC629C" w:rsidRPr="008D7AC0">
        <w:rPr>
          <w:color w:val="365F91" w:themeColor="accent1" w:themeShade="BF"/>
          <w:sz w:val="28"/>
        </w:rPr>
        <w:br/>
      </w:r>
      <w:r w:rsidR="001714B7" w:rsidRPr="008D7AC0">
        <w:rPr>
          <w:color w:val="365F91" w:themeColor="accent1" w:themeShade="BF"/>
          <w:sz w:val="28"/>
        </w:rPr>
        <w:t>Le tableau noir est le mal, la tristesse.</w:t>
      </w:r>
      <w:r w:rsidR="00CC629C" w:rsidRPr="008D7AC0">
        <w:rPr>
          <w:color w:val="365F91" w:themeColor="accent1" w:themeShade="BF"/>
          <w:sz w:val="28"/>
        </w:rPr>
        <w:t xml:space="preserve"> Il y a d’écrit dessus, des problèmes que le cancre efface pour dessiner.</w:t>
      </w:r>
    </w:p>
    <w:p w:rsidR="000E0A79" w:rsidRPr="008D7AC0" w:rsidRDefault="000E0A79" w:rsidP="00C93988">
      <w:pPr>
        <w:ind w:left="-567" w:right="-567"/>
        <w:rPr>
          <w:sz w:val="28"/>
        </w:rPr>
      </w:pPr>
      <w:r w:rsidRPr="008D7AC0">
        <w:rPr>
          <w:sz w:val="28"/>
        </w:rPr>
        <w:t>Doc.2 :</w:t>
      </w:r>
      <w:r w:rsidR="008D7AC0" w:rsidRPr="008D7AC0">
        <w:rPr>
          <w:b/>
          <w:sz w:val="28"/>
        </w:rPr>
        <w:t xml:space="preserve"> Craie et tableau noir,  matière à penser</w:t>
      </w:r>
    </w:p>
    <w:p w:rsidR="000E0A79" w:rsidRPr="008D7AC0" w:rsidRDefault="000E0A79" w:rsidP="00C93988">
      <w:pPr>
        <w:ind w:left="-567" w:right="-567"/>
        <w:rPr>
          <w:color w:val="365F91" w:themeColor="accent1" w:themeShade="BF"/>
          <w:sz w:val="28"/>
        </w:rPr>
      </w:pPr>
      <w:r w:rsidRPr="008D7AC0">
        <w:rPr>
          <w:color w:val="365F91" w:themeColor="accent1" w:themeShade="BF"/>
          <w:sz w:val="28"/>
        </w:rPr>
        <w:t>Texte dans le journal « le monde ». Catherine Mary. 25 novembre 2013</w:t>
      </w:r>
      <w:r w:rsidRPr="008D7AC0">
        <w:rPr>
          <w:color w:val="365F91" w:themeColor="accent1" w:themeShade="BF"/>
          <w:sz w:val="28"/>
        </w:rPr>
        <w:br/>
      </w:r>
      <w:r w:rsidR="001714B7" w:rsidRPr="008D7AC0">
        <w:rPr>
          <w:color w:val="365F91" w:themeColor="accent1" w:themeShade="BF"/>
          <w:sz w:val="28"/>
        </w:rPr>
        <w:t>Le tableau noir est préféré par certain mathématicien au lieu des nouveaux</w:t>
      </w:r>
      <w:r w:rsidR="008D7AC0" w:rsidRPr="008D7AC0">
        <w:rPr>
          <w:color w:val="365F91" w:themeColor="accent1" w:themeShade="BF"/>
          <w:sz w:val="28"/>
        </w:rPr>
        <w:t xml:space="preserve"> outil é</w:t>
      </w:r>
      <w:r w:rsidR="001714B7" w:rsidRPr="008D7AC0">
        <w:rPr>
          <w:color w:val="365F91" w:themeColor="accent1" w:themeShade="BF"/>
          <w:sz w:val="28"/>
        </w:rPr>
        <w:t>lectronique</w:t>
      </w:r>
      <w:r w:rsidR="00CC629C" w:rsidRPr="008D7AC0">
        <w:rPr>
          <w:color w:val="365F91" w:themeColor="accent1" w:themeShade="BF"/>
          <w:sz w:val="28"/>
        </w:rPr>
        <w:t>.</w:t>
      </w:r>
      <w:r w:rsidR="00CC629C" w:rsidRPr="008D7AC0">
        <w:rPr>
          <w:color w:val="365F91" w:themeColor="accent1" w:themeShade="BF"/>
          <w:sz w:val="28"/>
        </w:rPr>
        <w:br/>
        <w:t>Ils s’en serve constamment pour discuter. C’est un outil de groupe.</w:t>
      </w:r>
    </w:p>
    <w:p w:rsidR="000E0A79" w:rsidRPr="008D7AC0" w:rsidRDefault="000E0A79" w:rsidP="00C93988">
      <w:pPr>
        <w:ind w:left="-567" w:right="-567"/>
        <w:rPr>
          <w:sz w:val="28"/>
        </w:rPr>
      </w:pPr>
      <w:r w:rsidRPr="008D7AC0">
        <w:rPr>
          <w:sz w:val="28"/>
        </w:rPr>
        <w:t>Doc.3 :</w:t>
      </w:r>
      <w:r w:rsidR="008D7AC0" w:rsidRPr="008D7AC0">
        <w:rPr>
          <w:b/>
          <w:color w:val="000000" w:themeColor="text1"/>
          <w:sz w:val="28"/>
        </w:rPr>
        <w:t xml:space="preserve"> L’interrogation au tableau noir</w:t>
      </w:r>
    </w:p>
    <w:p w:rsidR="0021142A" w:rsidRPr="008D7AC0" w:rsidRDefault="0021142A" w:rsidP="00C93988">
      <w:pPr>
        <w:ind w:left="-567" w:right="-567"/>
        <w:rPr>
          <w:color w:val="365F91" w:themeColor="accent1" w:themeShade="BF"/>
          <w:sz w:val="28"/>
        </w:rPr>
      </w:pPr>
      <w:r w:rsidRPr="008D7AC0">
        <w:rPr>
          <w:color w:val="365F91" w:themeColor="accent1" w:themeShade="BF"/>
          <w:sz w:val="28"/>
        </w:rPr>
        <w:t>Image, L’interrogation au tableau noir sur un exercice de géométrie. (1958)</w:t>
      </w:r>
      <w:r w:rsidR="00C73E9E" w:rsidRPr="008D7AC0">
        <w:rPr>
          <w:color w:val="365F91" w:themeColor="accent1" w:themeShade="BF"/>
          <w:sz w:val="28"/>
        </w:rPr>
        <w:br/>
        <w:t xml:space="preserve">Un élève devant un </w:t>
      </w:r>
      <w:r w:rsidR="00C73E9E" w:rsidRPr="00255799">
        <w:rPr>
          <w:color w:val="365F91" w:themeColor="accent1" w:themeShade="BF"/>
          <w:sz w:val="28"/>
        </w:rPr>
        <w:t>tableau noir sur lequel est écrit un exercice de géométrie.</w:t>
      </w:r>
      <w:r w:rsidR="00C73E9E" w:rsidRPr="008D7AC0">
        <w:rPr>
          <w:color w:val="365F91" w:themeColor="accent1" w:themeShade="BF"/>
          <w:sz w:val="28"/>
        </w:rPr>
        <w:t xml:space="preserve"> </w:t>
      </w:r>
    </w:p>
    <w:p w:rsidR="0021142A" w:rsidRPr="00255799" w:rsidRDefault="0021142A" w:rsidP="00C93988">
      <w:pPr>
        <w:ind w:left="-567" w:right="-567"/>
        <w:rPr>
          <w:sz w:val="28"/>
        </w:rPr>
      </w:pPr>
      <w:r w:rsidRPr="008D7AC0">
        <w:rPr>
          <w:sz w:val="28"/>
        </w:rPr>
        <w:t>Doc.4</w:t>
      </w:r>
      <w:r w:rsidR="0014026C" w:rsidRPr="008D7AC0">
        <w:rPr>
          <w:sz w:val="28"/>
        </w:rPr>
        <w:t> :</w:t>
      </w:r>
      <w:r w:rsidR="008D7AC0" w:rsidRPr="008D7AC0">
        <w:rPr>
          <w:b/>
          <w:sz w:val="28"/>
        </w:rPr>
        <w:t xml:space="preserve"> Le tableau noir, d’hier à aujourd’hui</w:t>
      </w:r>
    </w:p>
    <w:p w:rsidR="000E0A79" w:rsidRPr="00255799" w:rsidRDefault="000E0A79" w:rsidP="00C93988">
      <w:pPr>
        <w:ind w:left="-567" w:right="-567"/>
        <w:rPr>
          <w:sz w:val="28"/>
        </w:rPr>
      </w:pPr>
      <w:r w:rsidRPr="008D7AC0">
        <w:rPr>
          <w:color w:val="365F91" w:themeColor="accent1" w:themeShade="BF"/>
          <w:sz w:val="28"/>
        </w:rPr>
        <w:t>Texte de Tété Enyon Guemadji-Gbedemah sur le site cursus.edu. 13 août 2011</w:t>
      </w:r>
      <w:r w:rsidR="001714B7" w:rsidRPr="008D7AC0">
        <w:rPr>
          <w:color w:val="365F91" w:themeColor="accent1" w:themeShade="BF"/>
          <w:sz w:val="28"/>
        </w:rPr>
        <w:br/>
        <w:t xml:space="preserve">Le tableau noir est evincé des </w:t>
      </w:r>
      <w:r w:rsidR="001714B7" w:rsidRPr="00255799">
        <w:rPr>
          <w:color w:val="365F91" w:themeColor="accent1" w:themeShade="BF"/>
          <w:sz w:val="28"/>
        </w:rPr>
        <w:t>salle</w:t>
      </w:r>
      <w:r w:rsidR="00CC629C" w:rsidRPr="00255799">
        <w:rPr>
          <w:color w:val="365F91" w:themeColor="accent1" w:themeShade="BF"/>
          <w:sz w:val="28"/>
        </w:rPr>
        <w:t>s</w:t>
      </w:r>
      <w:r w:rsidR="001714B7" w:rsidRPr="00255799">
        <w:rPr>
          <w:color w:val="365F91" w:themeColor="accent1" w:themeShade="BF"/>
          <w:sz w:val="28"/>
        </w:rPr>
        <w:t xml:space="preserve"> de classe. Remplacé par un tableau vert foncé puis un tableau papier. Dans certaine classe, il est remplacé par des outils audiovisuel, des projecteurs</w:t>
      </w:r>
      <w:r w:rsidR="00CC629C" w:rsidRPr="00255799">
        <w:rPr>
          <w:color w:val="365F91" w:themeColor="accent1" w:themeShade="BF"/>
          <w:sz w:val="28"/>
        </w:rPr>
        <w:t>, des outils plus moderne</w:t>
      </w:r>
      <w:r w:rsidR="00CC629C" w:rsidRPr="00255799">
        <w:rPr>
          <w:sz w:val="28"/>
        </w:rPr>
        <w:t>.</w:t>
      </w:r>
    </w:p>
    <w:tbl>
      <w:tblPr>
        <w:tblStyle w:val="Grilledutableau"/>
        <w:tblpPr w:leftFromText="141" w:rightFromText="141" w:vertAnchor="text" w:horzAnchor="margin" w:tblpXSpec="center" w:tblpY="120"/>
        <w:tblW w:w="10881" w:type="dxa"/>
        <w:tblLook w:val="04A0"/>
      </w:tblPr>
      <w:tblGrid>
        <w:gridCol w:w="2518"/>
        <w:gridCol w:w="1843"/>
        <w:gridCol w:w="2551"/>
        <w:gridCol w:w="1701"/>
        <w:gridCol w:w="2268"/>
      </w:tblGrid>
      <w:tr w:rsidR="008D7AC0" w:rsidRPr="008D7AC0" w:rsidTr="008D7AC0">
        <w:tc>
          <w:tcPr>
            <w:tcW w:w="2518" w:type="dxa"/>
            <w:tcBorders>
              <w:top w:val="nil"/>
              <w:left w:val="nil"/>
              <w:tr2bl w:val="single" w:sz="4" w:space="0" w:color="auto"/>
            </w:tcBorders>
            <w:shd w:val="clear" w:color="auto" w:fill="FFFFFF" w:themeFill="background1"/>
          </w:tcPr>
          <w:p w:rsidR="008D7AC0" w:rsidRPr="008D7AC0" w:rsidRDefault="008D7AC0" w:rsidP="008D7AC0">
            <w:pPr>
              <w:ind w:right="-567"/>
            </w:pPr>
          </w:p>
        </w:tc>
        <w:tc>
          <w:tcPr>
            <w:tcW w:w="1843" w:type="dxa"/>
          </w:tcPr>
          <w:p w:rsidR="008D7AC0" w:rsidRPr="008D7AC0" w:rsidRDefault="008D7AC0" w:rsidP="008D7AC0">
            <w:pPr>
              <w:ind w:right="-567"/>
              <w:rPr>
                <w:b/>
              </w:rPr>
            </w:pPr>
            <w:r w:rsidRPr="008D7AC0">
              <w:rPr>
                <w:b/>
              </w:rPr>
              <w:t>Le cancre</w:t>
            </w:r>
          </w:p>
        </w:tc>
        <w:tc>
          <w:tcPr>
            <w:tcW w:w="2551" w:type="dxa"/>
          </w:tcPr>
          <w:p w:rsidR="008D7AC0" w:rsidRPr="008D7AC0" w:rsidRDefault="008D7AC0" w:rsidP="008D7AC0">
            <w:pPr>
              <w:ind w:right="-567"/>
              <w:rPr>
                <w:b/>
              </w:rPr>
            </w:pPr>
            <w:r w:rsidRPr="008D7AC0">
              <w:rPr>
                <w:b/>
              </w:rPr>
              <w:t xml:space="preserve">Craie et tableau noir, </w:t>
            </w:r>
            <w:r w:rsidRPr="008D7AC0">
              <w:rPr>
                <w:b/>
              </w:rPr>
              <w:br/>
              <w:t>matière à penser</w:t>
            </w:r>
          </w:p>
        </w:tc>
        <w:tc>
          <w:tcPr>
            <w:tcW w:w="1701" w:type="dxa"/>
          </w:tcPr>
          <w:p w:rsidR="008D7AC0" w:rsidRPr="008D7AC0" w:rsidRDefault="008D7AC0" w:rsidP="008D7AC0">
            <w:pPr>
              <w:ind w:right="-567"/>
              <w:rPr>
                <w:b/>
                <w:color w:val="000000" w:themeColor="text1"/>
              </w:rPr>
            </w:pPr>
            <w:r w:rsidRPr="008D7AC0">
              <w:rPr>
                <w:b/>
                <w:color w:val="000000" w:themeColor="text1"/>
              </w:rPr>
              <w:t xml:space="preserve">L’interrogation </w:t>
            </w:r>
            <w:r w:rsidRPr="008D7AC0">
              <w:rPr>
                <w:b/>
                <w:color w:val="000000" w:themeColor="text1"/>
              </w:rPr>
              <w:br/>
              <w:t>au tableau noir</w:t>
            </w:r>
          </w:p>
        </w:tc>
        <w:tc>
          <w:tcPr>
            <w:tcW w:w="2268" w:type="dxa"/>
          </w:tcPr>
          <w:p w:rsidR="008D7AC0" w:rsidRPr="008D7AC0" w:rsidRDefault="008D7AC0" w:rsidP="008D7AC0">
            <w:pPr>
              <w:tabs>
                <w:tab w:val="left" w:pos="2444"/>
              </w:tabs>
              <w:ind w:right="-567"/>
              <w:rPr>
                <w:b/>
              </w:rPr>
            </w:pPr>
            <w:r w:rsidRPr="008D7AC0">
              <w:rPr>
                <w:b/>
              </w:rPr>
              <w:t>Le tableau noir,</w:t>
            </w:r>
            <w:r w:rsidRPr="008D7AC0">
              <w:rPr>
                <w:b/>
              </w:rPr>
              <w:br/>
              <w:t xml:space="preserve"> d’hier à aujourd’hui</w:t>
            </w:r>
          </w:p>
        </w:tc>
      </w:tr>
      <w:tr w:rsidR="00255799" w:rsidRPr="008D7AC0" w:rsidTr="00255799">
        <w:tc>
          <w:tcPr>
            <w:tcW w:w="2518" w:type="dxa"/>
          </w:tcPr>
          <w:p w:rsidR="008D7AC0" w:rsidRPr="008D7AC0" w:rsidRDefault="008D7AC0" w:rsidP="008D7AC0">
            <w:pPr>
              <w:ind w:right="-567"/>
            </w:pPr>
            <w:r w:rsidRPr="008D7AC0">
              <w:t>Axe A</w:t>
            </w:r>
            <w:r w:rsidR="0032051D">
              <w:br/>
              <w:t>L’utilité du</w:t>
            </w:r>
            <w:r w:rsidRPr="008D7AC0">
              <w:t xml:space="preserve"> tableau</w:t>
            </w:r>
          </w:p>
        </w:tc>
        <w:tc>
          <w:tcPr>
            <w:tcW w:w="1843" w:type="dxa"/>
            <w:shd w:val="clear" w:color="auto" w:fill="00B050"/>
          </w:tcPr>
          <w:p w:rsidR="008D7AC0" w:rsidRPr="008D7AC0" w:rsidRDefault="008D7AC0" w:rsidP="008D7AC0">
            <w:pPr>
              <w:ind w:right="-567"/>
            </w:pPr>
          </w:p>
        </w:tc>
        <w:tc>
          <w:tcPr>
            <w:tcW w:w="2551" w:type="dxa"/>
            <w:shd w:val="clear" w:color="auto" w:fill="00B050"/>
          </w:tcPr>
          <w:p w:rsidR="008D7AC0" w:rsidRPr="008D7AC0" w:rsidRDefault="008D7AC0" w:rsidP="00255799">
            <w:pPr>
              <w:ind w:right="-567"/>
            </w:pPr>
          </w:p>
        </w:tc>
        <w:tc>
          <w:tcPr>
            <w:tcW w:w="1701" w:type="dxa"/>
            <w:shd w:val="clear" w:color="auto" w:fill="00B050"/>
          </w:tcPr>
          <w:p w:rsidR="008D7AC0" w:rsidRPr="008D7AC0" w:rsidRDefault="008D7AC0" w:rsidP="008D7AC0">
            <w:pPr>
              <w:ind w:right="-567"/>
            </w:pPr>
          </w:p>
        </w:tc>
        <w:tc>
          <w:tcPr>
            <w:tcW w:w="2268" w:type="dxa"/>
            <w:shd w:val="clear" w:color="auto" w:fill="00B050"/>
          </w:tcPr>
          <w:p w:rsidR="008D7AC0" w:rsidRPr="008D7AC0" w:rsidRDefault="008D7AC0" w:rsidP="00255799">
            <w:pPr>
              <w:ind w:right="-567"/>
            </w:pPr>
          </w:p>
        </w:tc>
      </w:tr>
      <w:tr w:rsidR="00255799" w:rsidRPr="008D7AC0" w:rsidTr="00255799">
        <w:tc>
          <w:tcPr>
            <w:tcW w:w="2518" w:type="dxa"/>
          </w:tcPr>
          <w:p w:rsidR="008D7AC0" w:rsidRPr="008D7AC0" w:rsidRDefault="008D7AC0" w:rsidP="008D7AC0">
            <w:pPr>
              <w:ind w:right="-567"/>
            </w:pPr>
            <w:r w:rsidRPr="008D7AC0">
              <w:t>Axe B</w:t>
            </w:r>
            <w:r w:rsidRPr="008D7AC0">
              <w:br/>
              <w:t>Les nouvelles technologie</w:t>
            </w:r>
          </w:p>
        </w:tc>
        <w:tc>
          <w:tcPr>
            <w:tcW w:w="1843" w:type="dxa"/>
            <w:shd w:val="clear" w:color="auto" w:fill="FF0000"/>
          </w:tcPr>
          <w:p w:rsidR="008D7AC0" w:rsidRPr="008D7AC0" w:rsidRDefault="008D7AC0" w:rsidP="008D7AC0">
            <w:pPr>
              <w:ind w:right="-567"/>
            </w:pPr>
          </w:p>
        </w:tc>
        <w:tc>
          <w:tcPr>
            <w:tcW w:w="2551" w:type="dxa"/>
            <w:shd w:val="clear" w:color="auto" w:fill="00B050"/>
          </w:tcPr>
          <w:p w:rsidR="008D7AC0" w:rsidRPr="008D7AC0" w:rsidRDefault="008D7AC0" w:rsidP="00255799">
            <w:pPr>
              <w:ind w:right="-567"/>
            </w:pPr>
          </w:p>
        </w:tc>
        <w:tc>
          <w:tcPr>
            <w:tcW w:w="1701" w:type="dxa"/>
            <w:shd w:val="clear" w:color="auto" w:fill="FF0000"/>
          </w:tcPr>
          <w:p w:rsidR="008D7AC0" w:rsidRPr="008D7AC0" w:rsidRDefault="008D7AC0" w:rsidP="008D7AC0">
            <w:pPr>
              <w:ind w:right="-567"/>
            </w:pPr>
          </w:p>
        </w:tc>
        <w:tc>
          <w:tcPr>
            <w:tcW w:w="2268" w:type="dxa"/>
            <w:shd w:val="clear" w:color="auto" w:fill="00B050"/>
          </w:tcPr>
          <w:p w:rsidR="008D7AC0" w:rsidRPr="008D7AC0" w:rsidRDefault="008D7AC0" w:rsidP="00255799">
            <w:pPr>
              <w:ind w:right="-567"/>
            </w:pPr>
          </w:p>
        </w:tc>
      </w:tr>
      <w:tr w:rsidR="004D5F9F" w:rsidRPr="008D7AC0" w:rsidTr="00255799">
        <w:tc>
          <w:tcPr>
            <w:tcW w:w="2518" w:type="dxa"/>
          </w:tcPr>
          <w:p w:rsidR="004D5F9F" w:rsidRPr="008D7AC0" w:rsidRDefault="004D5F9F" w:rsidP="008D7AC0">
            <w:pPr>
              <w:ind w:right="-567"/>
            </w:pPr>
            <w:r>
              <w:t>Axe C</w:t>
            </w:r>
            <w:r>
              <w:br/>
              <w:t>L’angoisse du tableau</w:t>
            </w:r>
          </w:p>
        </w:tc>
        <w:tc>
          <w:tcPr>
            <w:tcW w:w="1843" w:type="dxa"/>
            <w:shd w:val="clear" w:color="auto" w:fill="FF0000"/>
          </w:tcPr>
          <w:p w:rsidR="004D5F9F" w:rsidRPr="008D7AC0" w:rsidRDefault="004D5F9F" w:rsidP="008D7AC0">
            <w:pPr>
              <w:ind w:right="-567"/>
            </w:pPr>
          </w:p>
        </w:tc>
        <w:tc>
          <w:tcPr>
            <w:tcW w:w="2551" w:type="dxa"/>
            <w:shd w:val="clear" w:color="auto" w:fill="00B050"/>
          </w:tcPr>
          <w:p w:rsidR="004D5F9F" w:rsidRPr="008D7AC0" w:rsidRDefault="004D5F9F" w:rsidP="00255799">
            <w:pPr>
              <w:ind w:right="-567"/>
            </w:pPr>
          </w:p>
        </w:tc>
        <w:tc>
          <w:tcPr>
            <w:tcW w:w="1701" w:type="dxa"/>
            <w:shd w:val="clear" w:color="auto" w:fill="FF0000"/>
          </w:tcPr>
          <w:p w:rsidR="004D5F9F" w:rsidRPr="008D7AC0" w:rsidRDefault="004D5F9F" w:rsidP="008D7AC0">
            <w:pPr>
              <w:ind w:right="-567"/>
            </w:pPr>
          </w:p>
        </w:tc>
        <w:tc>
          <w:tcPr>
            <w:tcW w:w="2268" w:type="dxa"/>
            <w:shd w:val="clear" w:color="auto" w:fill="00B050"/>
          </w:tcPr>
          <w:p w:rsidR="004D5F9F" w:rsidRPr="008D7AC0" w:rsidRDefault="004D5F9F" w:rsidP="00255799">
            <w:pPr>
              <w:ind w:right="-567"/>
            </w:pPr>
          </w:p>
        </w:tc>
      </w:tr>
    </w:tbl>
    <w:p w:rsidR="001714B7" w:rsidRPr="008D7AC0" w:rsidRDefault="001714B7" w:rsidP="00C93988">
      <w:pPr>
        <w:ind w:left="-567" w:right="-567"/>
      </w:pPr>
    </w:p>
    <w:p w:rsidR="001714B7" w:rsidRPr="008D7AC0" w:rsidRDefault="001714B7" w:rsidP="00C93988">
      <w:pPr>
        <w:ind w:left="-567" w:right="-567"/>
        <w:rPr>
          <w:sz w:val="28"/>
        </w:rPr>
      </w:pPr>
    </w:p>
    <w:p w:rsidR="008D7AC0" w:rsidRPr="008D7AC0" w:rsidRDefault="008D7AC0" w:rsidP="00C93988">
      <w:pPr>
        <w:ind w:left="-567" w:right="-567"/>
        <w:rPr>
          <w:b/>
          <w:sz w:val="28"/>
          <w:u w:val="single"/>
        </w:rPr>
      </w:pPr>
      <w:r w:rsidRPr="008D7AC0">
        <w:rPr>
          <w:b/>
          <w:sz w:val="28"/>
          <w:u w:val="single"/>
        </w:rPr>
        <w:t>Problématique :</w:t>
      </w:r>
    </w:p>
    <w:p w:rsidR="008D7AC0" w:rsidRPr="0032051D" w:rsidRDefault="008D7AC0" w:rsidP="00C93988">
      <w:pPr>
        <w:ind w:left="-567" w:right="-567"/>
        <w:rPr>
          <w:color w:val="365F91" w:themeColor="accent1" w:themeShade="BF"/>
          <w:sz w:val="28"/>
        </w:rPr>
      </w:pPr>
      <w:r w:rsidRPr="0032051D">
        <w:rPr>
          <w:color w:val="365F91" w:themeColor="accent1" w:themeShade="BF"/>
          <w:sz w:val="28"/>
        </w:rPr>
        <w:t xml:space="preserve">Le grand tableau est-il encore utile en tant qu’outil pédagogique  ? </w:t>
      </w:r>
      <w:r w:rsidR="0032051D">
        <w:rPr>
          <w:color w:val="365F91" w:themeColor="accent1" w:themeShade="BF"/>
          <w:sz w:val="28"/>
        </w:rPr>
        <w:br/>
      </w:r>
    </w:p>
    <w:sectPr w:rsidR="008D7AC0" w:rsidRPr="0032051D" w:rsidSect="00CA6CB7">
      <w:pgSz w:w="11906" w:h="16838"/>
      <w:pgMar w:top="426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B0945"/>
    <w:multiLevelType w:val="hybridMultilevel"/>
    <w:tmpl w:val="BCE8AEEC"/>
    <w:lvl w:ilvl="0" w:tplc="1BBA12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E44C51"/>
    <w:multiLevelType w:val="hybridMultilevel"/>
    <w:tmpl w:val="77BCD888"/>
    <w:lvl w:ilvl="0" w:tplc="2BB29480">
      <w:numFmt w:val="bullet"/>
      <w:lvlText w:val=""/>
      <w:lvlJc w:val="left"/>
      <w:pPr>
        <w:ind w:left="-207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A6CB7"/>
    <w:rsid w:val="00042E06"/>
    <w:rsid w:val="000E0A79"/>
    <w:rsid w:val="0014026C"/>
    <w:rsid w:val="001714B7"/>
    <w:rsid w:val="0021142A"/>
    <w:rsid w:val="0024638D"/>
    <w:rsid w:val="00255799"/>
    <w:rsid w:val="002D6755"/>
    <w:rsid w:val="0032051D"/>
    <w:rsid w:val="00402F82"/>
    <w:rsid w:val="004D5F9F"/>
    <w:rsid w:val="005F602F"/>
    <w:rsid w:val="0070296A"/>
    <w:rsid w:val="008A0742"/>
    <w:rsid w:val="008D7AC0"/>
    <w:rsid w:val="0093255E"/>
    <w:rsid w:val="009F0CB3"/>
    <w:rsid w:val="009F33CA"/>
    <w:rsid w:val="00C73E9E"/>
    <w:rsid w:val="00C93988"/>
    <w:rsid w:val="00CA6CB7"/>
    <w:rsid w:val="00CC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9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3988"/>
    <w:pPr>
      <w:ind w:left="720"/>
      <w:contextualSpacing/>
    </w:pPr>
  </w:style>
  <w:style w:type="table" w:styleId="Grilledutableau">
    <w:name w:val="Table Grid"/>
    <w:basedOn w:val="TableauNormal"/>
    <w:uiPriority w:val="59"/>
    <w:rsid w:val="00171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A84E7-0BC4-46F2-A5ED-DCBAA250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10</cp:revision>
  <dcterms:created xsi:type="dcterms:W3CDTF">2016-03-10T14:19:00Z</dcterms:created>
  <dcterms:modified xsi:type="dcterms:W3CDTF">2016-04-07T14:03:00Z</dcterms:modified>
</cp:coreProperties>
</file>