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que le contrat soit valablement formé, il doit valider les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conditions classiques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droit des contrats concernant le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consentement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capacité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l’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objet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cause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Des spécificités concernent la forme du contrat et les étapes de sa formation.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 En application de la loi du 17 juin 2005 et de l’ordonnance du 21 juin 2004,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deux adaptations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ont été rendues nécessaires au développement du commerce électronique :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même force probante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 attribuée à l’écrit papier et l’écrit électronique ;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 la signature autographe et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signature électronique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ont aussi même force, à condition que l’intégrité de la signature électronique ait été respectée.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Certains contrats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ne peuvent pas être passés par la voie électronique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s’agit des engagements ayant des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conséquences juridiques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les parties qui peuvent être « particulièrement graves » et dans lesquels il convient de protéger la partie la plus faible.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L’article L. 134-2 du Code de la consommation pose que le contrat électronique doit être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conservé par le professionnel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Les contrats dont le montant est supérieur à 120 euros doivent être archivés par le professionnel pendant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10 ans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 professionnel doit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assurer au consommateur l’accès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à ce contrat à tout moment sur simple demande. 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La formation du contrat électronique passe par trois étapes :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 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étape 1 : la mise à disposition des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conditions contractuelles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Le professionnel met à disposition du consommateur des informations de manière à le mettre en mesure de contracter en toute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connaissance de cause ;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étape 2 : le premier clic, ou la  vérification de la commande. Le consommateur doit avoir les moyens de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vérifier sa commande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et, éventuellement, de se repentir. Par conséquent, il doit pouvoir vérifier le total de sa commande, son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prix total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corriger certaines erreurs ;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–      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étape 3 : le deuxième clic, ou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confirmation de la commande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entraîne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formation du contrat entre les parties.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 consommateur dispose d’un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droit de rétractation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qui lui permet de revenir sur la parole donnée pour se désengager de la relation contractuelle. Le délai de rétractation est de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7 jours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court à partir de la réception du bien ou de l’acceptation de la prestation de service. En matière de vente de biens, le point de départ est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réception du bien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En matière de fourniture de services, le point de départ est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l’acceptation de l’offre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Dans ce dernier cas, si le consommateur a donné son accord pour le début d’exécution du service avant l’expiration de ce délai, il perd son droit de rétractation. 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En matière d’exécution du contrat, le prestataire de service a une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obligation de résultat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Il doit fournir un bien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conforme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à la commande du consommateur.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plus, il doit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livrer le bien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au consommateur sous un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délai de 30 jours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délai qui débute le lendemain du jour où le consommateur lui a transmis le contrat.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Enfin, il est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responsable de plein droit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(c’est-à-dire automatiquement) de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bonne exécution des obligations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résultant du contrat (exemples : garantie des vices cachés, garantie d’éviction). Il peut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s’exonérer de sa responsabilité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dans trois cas :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faute du client,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force majeure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et le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fait imprévisible et insurmontable d’un tiers. 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lastRenderedPageBreak/>
        <w:t>Le consommateur a diverses obligations, notamment celles de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prendre livraison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la chose et surtout d’en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payer le prix convenu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. Le plus souvent, le paiement se fait par carte bancaire et il est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irrévocabl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e. En pratique, le consommateur indique son numéro de carte bancaire sur un site sécurisé.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Face aux utilisations frauduleuses, le législateur a pris des dispositions pour protéger le titulaire de la carte. Celui-ci n’est pas responsable si la carte a été utilisée à distance et frauduleusement. Les sommes débitées à la suite de cette utilisation devront être restituées au titulaire de la carte. 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Dans le cas d’une transaction électronique internationale à l’intérieur de l’Union européenne,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les contrats électroniques conclus avec des consommateurs relèvent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règlement Rome I.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 règlement pose que la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loi applicable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est celle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lieu de résidence habituelle du consommateur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mais « sans modifier en substance la marge de manœuvre du professionnel lors de la conception de ses contrats ».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Ce règlement s’applique aux transactions entre une personne physique consommateur, pour un contrat dont l’objet est autre que professionnel, et toute autre personne agissant dans le cadre de ses activités professionnelles.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Il n’existe pas de juridiction supranationale qui pourrait être saisie en cas de litige à propos d’un contrat électronique.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Pour déterminer le juge compétent, on distingue deux cas :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-        si le défendeur est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domicilié dans l’UE, le tribunal compétent est celui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domicile du défendeur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ou celui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lieu de l’exécution du contrat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;</w:t>
      </w:r>
    </w:p>
    <w:p w:rsidR="002E6CE4" w:rsidRPr="004971FE" w:rsidRDefault="002E6CE4" w:rsidP="002E6CE4">
      <w:pPr>
        <w:shd w:val="clear" w:color="auto" w:fill="FFFFFF"/>
        <w:spacing w:before="100" w:beforeAutospacing="1" w:after="312" w:line="247" w:lineRule="atLeast"/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</w:pP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-        si le défendeur n’est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pas domicilié dans l’UE, les règles du Code de procédure civile sont transposées dans l’ordre international et le tribunal compétent en matière contractuelle est celui du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domicile du défendeur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, ou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lieu de la livraison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effective de la chose, ou du</w:t>
      </w:r>
      <w:r w:rsidRPr="004971FE">
        <w:rPr>
          <w:rFonts w:ascii="Trebuchet MS" w:eastAsia="Times New Roman" w:hAnsi="Trebuchet MS" w:cs="Times New Roman"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szCs w:val="18"/>
          <w:lang w:eastAsia="fr-FR"/>
        </w:rPr>
        <w:t>lieu de l’exécution</w:t>
      </w:r>
      <w:r w:rsidRPr="004971FE">
        <w:rPr>
          <w:rFonts w:ascii="Trebuchet MS" w:eastAsia="Times New Roman" w:hAnsi="Trebuchet MS" w:cs="Times New Roman"/>
          <w:bCs/>
          <w:color w:val="030303"/>
          <w:sz w:val="18"/>
          <w:lang w:eastAsia="fr-FR"/>
        </w:rPr>
        <w:t> </w:t>
      </w:r>
      <w:r w:rsidRPr="004971FE">
        <w:rPr>
          <w:rFonts w:ascii="Trebuchet MS" w:eastAsia="Times New Roman" w:hAnsi="Trebuchet MS" w:cs="Times New Roman"/>
          <w:color w:val="030303"/>
          <w:sz w:val="18"/>
          <w:szCs w:val="18"/>
          <w:lang w:eastAsia="fr-FR"/>
        </w:rPr>
        <w:t>de la prestation de service.</w:t>
      </w:r>
    </w:p>
    <w:p w:rsidR="00CE6766" w:rsidRPr="004971FE" w:rsidRDefault="00CE6766"/>
    <w:sectPr w:rsidR="00CE6766" w:rsidRPr="004971FE" w:rsidSect="00CE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E6CE4"/>
    <w:rsid w:val="002E6CE4"/>
    <w:rsid w:val="00365A90"/>
    <w:rsid w:val="004971FE"/>
    <w:rsid w:val="00CE6766"/>
    <w:rsid w:val="00F5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itrechapitre">
    <w:name w:val="styletitrechapitre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itrei">
    <w:name w:val="styletitrei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E6CE4"/>
  </w:style>
  <w:style w:type="paragraph" w:customStyle="1" w:styleId="styletextecourant">
    <w:name w:val="styletextecourant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itrea">
    <w:name w:val="styletitrea"/>
    <w:basedOn w:val="Normal"/>
    <w:rsid w:val="002E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9368">
                      <w:marLeft w:val="136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2016-02-28T15:06:00Z</dcterms:created>
  <dcterms:modified xsi:type="dcterms:W3CDTF">2016-02-29T15:03:00Z</dcterms:modified>
</cp:coreProperties>
</file>